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BF65" w14:textId="353093CF" w:rsidR="00FC1FE5" w:rsidRPr="00743DE2" w:rsidRDefault="00FC1FE5" w:rsidP="00FC1FE5">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C15621C" wp14:editId="2B617ED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3BC9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w:t>
      </w:r>
      <w:r>
        <w:rPr>
          <w:rFonts w:ascii="Arial" w:hAnsi="Arial" w:cs="Arial"/>
          <w:b/>
          <w:kern w:val="2"/>
          <w:lang w:eastAsia="zh-CN"/>
        </w:rPr>
        <w:t>1</w:t>
      </w:r>
      <w:r w:rsidRPr="00743DE2">
        <w:rPr>
          <w:rFonts w:ascii="Arial" w:hAnsi="Arial" w:cs="Arial"/>
          <w:b/>
          <w:kern w:val="2"/>
          <w:lang w:eastAsia="zh-CN"/>
        </w:rPr>
        <w:t>-e</w:t>
      </w:r>
      <w:r w:rsidRPr="00743DE2">
        <w:rPr>
          <w:rFonts w:ascii="Arial" w:hAnsi="Arial" w:cs="Arial"/>
          <w:b/>
          <w:kern w:val="2"/>
          <w:lang w:eastAsia="zh-CN"/>
        </w:rPr>
        <w:tab/>
      </w:r>
      <w:r w:rsidR="009C68CD" w:rsidRPr="009C68CD">
        <w:rPr>
          <w:rFonts w:ascii="Arial" w:hAnsi="Arial" w:cs="Arial"/>
          <w:b/>
          <w:kern w:val="2"/>
          <w:lang w:eastAsia="zh-CN"/>
        </w:rPr>
        <w:t>R1-2003808</w:t>
      </w:r>
      <w:bookmarkStart w:id="0" w:name="_GoBack"/>
      <w:bookmarkEnd w:id="0"/>
    </w:p>
    <w:p w14:paraId="509F5890" w14:textId="77777777" w:rsidR="00FC1FE5" w:rsidRDefault="00FC1FE5" w:rsidP="00FC1FE5">
      <w:pPr>
        <w:spacing w:after="60"/>
        <w:ind w:left="1555" w:hanging="1555"/>
        <w:jc w:val="left"/>
        <w:rPr>
          <w:rFonts w:ascii="Arial" w:hAnsi="Arial" w:cs="Arial"/>
          <w:b/>
          <w:kern w:val="2"/>
          <w:lang w:eastAsia="zh-CN"/>
        </w:rPr>
      </w:pPr>
      <w:r w:rsidRPr="0091717F">
        <w:rPr>
          <w:rFonts w:ascii="Arial" w:hAnsi="Arial" w:cs="Arial"/>
          <w:b/>
          <w:kern w:val="2"/>
          <w:lang w:eastAsia="zh-CN"/>
        </w:rPr>
        <w:t>eMeeting, May 25-June 5, 2020</w:t>
      </w:r>
    </w:p>
    <w:p w14:paraId="7FA9CC3B" w14:textId="5F86A956"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Agenda Item:</w:t>
      </w:r>
      <w:r w:rsidRPr="00743DE2">
        <w:rPr>
          <w:rFonts w:ascii="Arial" w:hAnsi="Arial" w:cs="Arial"/>
          <w:b/>
          <w:lang w:eastAsia="zh-CN"/>
        </w:rPr>
        <w:tab/>
        <w:t>7.2.4.</w:t>
      </w:r>
      <w:r w:rsidR="006777BF">
        <w:rPr>
          <w:rFonts w:ascii="Arial" w:hAnsi="Arial" w:cs="Arial"/>
          <w:b/>
          <w:lang w:eastAsia="zh-CN"/>
        </w:rPr>
        <w:t>7</w:t>
      </w:r>
    </w:p>
    <w:p w14:paraId="300CDDAF" w14:textId="64D8F240" w:rsidR="001154C4" w:rsidRPr="00743DE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Source:</w:t>
      </w:r>
      <w:r w:rsidRPr="00743DE2">
        <w:rPr>
          <w:rFonts w:ascii="Arial" w:hAnsi="Arial" w:cs="Arial"/>
          <w:b/>
          <w:kern w:val="2"/>
          <w:lang w:eastAsia="zh-CN"/>
        </w:rPr>
        <w:tab/>
      </w:r>
      <w:r w:rsidRPr="00743DE2">
        <w:rPr>
          <w:rFonts w:ascii="Arial" w:hAnsi="Arial" w:cs="Arial"/>
          <w:b/>
          <w:bCs/>
          <w:caps/>
          <w:shd w:val="clear" w:color="auto" w:fill="FFFFFF"/>
        </w:rPr>
        <w:t>FUTUREWEI</w:t>
      </w:r>
    </w:p>
    <w:p w14:paraId="64EF5FFF" w14:textId="5A3E5181"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Title:</w:t>
      </w:r>
      <w:r w:rsidRPr="00743DE2">
        <w:rPr>
          <w:rFonts w:ascii="Arial" w:hAnsi="Arial" w:cs="Arial"/>
          <w:b/>
          <w:lang w:eastAsia="zh-CN"/>
        </w:rPr>
        <w:tab/>
      </w:r>
      <w:r w:rsidR="006777BF" w:rsidRPr="006777BF">
        <w:rPr>
          <w:rFonts w:ascii="Arial" w:hAnsi="Arial" w:cs="Arial"/>
          <w:b/>
          <w:lang w:eastAsia="zh-CN"/>
        </w:rPr>
        <w:t>Remaining details of cross-RAT scheduling</w:t>
      </w:r>
    </w:p>
    <w:p w14:paraId="5EEABCA1" w14:textId="76639245" w:rsidR="001154C4" w:rsidRPr="00D74B9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Document for:</w:t>
      </w:r>
      <w:r w:rsidRPr="00743DE2">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2E96E17A"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w:t>
      </w:r>
      <w:r w:rsidR="008E560B">
        <w:rPr>
          <w:lang w:eastAsia="zh-CN"/>
        </w:rPr>
        <w:t xml:space="preserve"> Some issues were addressed at RAN1#100-e</w:t>
      </w:r>
      <w:r w:rsidR="00FC1FE5">
        <w:rPr>
          <w:lang w:eastAsia="zh-CN"/>
        </w:rPr>
        <w:t xml:space="preserve"> and RAN1#100b-e</w:t>
      </w:r>
      <w:r w:rsidR="008E560B">
        <w:rPr>
          <w:lang w:eastAsia="zh-CN"/>
        </w:rPr>
        <w:t xml:space="preserve">, but </w:t>
      </w:r>
      <w:r w:rsidR="006C4937">
        <w:rPr>
          <w:lang w:eastAsia="zh-CN"/>
        </w:rPr>
        <w:t>a few remain to be corrected</w:t>
      </w:r>
      <w:r w:rsidR="008E560B">
        <w:rPr>
          <w:lang w:eastAsia="zh-CN"/>
        </w:rPr>
        <w:t xml:space="preserve">. In this contribution, we address </w:t>
      </w:r>
      <w:r w:rsidR="006777BF">
        <w:rPr>
          <w:lang w:eastAsia="zh-CN"/>
        </w:rPr>
        <w:t>the issue of power control for cross RAT scheduling.</w:t>
      </w:r>
    </w:p>
    <w:p w14:paraId="676F8917" w14:textId="1A4299A6" w:rsidR="00CE6FD9" w:rsidRPr="007F5EC6" w:rsidRDefault="00CE6FD9" w:rsidP="00495A39"/>
    <w:p w14:paraId="35954F20" w14:textId="6C142BD5" w:rsidR="00816E9B" w:rsidRDefault="00EE4568" w:rsidP="00493C77">
      <w:pPr>
        <w:pStyle w:val="Heading1"/>
      </w:pPr>
      <w:r>
        <w:t>Discussion</w:t>
      </w:r>
    </w:p>
    <w:p w14:paraId="30A6C7BA" w14:textId="144BA234" w:rsidR="00833380" w:rsidRDefault="006777BF" w:rsidP="006777BF">
      <w:r>
        <w:t xml:space="preserve">Power control for cross-RAT scheduling was discussed </w:t>
      </w:r>
      <w:r w:rsidR="009C68CD">
        <w:t>at RAN1#100b-e</w:t>
      </w:r>
      <w:r>
        <w:t xml:space="preserve"> When a SL LTE UE is present on a carrier where there is a</w:t>
      </w:r>
      <w:r w:rsidR="009C68CD">
        <w:t xml:space="preserve">n </w:t>
      </w:r>
      <w:r>
        <w:t xml:space="preserve">eNB, open-loop power control is applied to limit interference. </w:t>
      </w:r>
    </w:p>
    <w:p w14:paraId="7622B24C" w14:textId="0CAA3351" w:rsidR="00833380" w:rsidRDefault="00833380" w:rsidP="006777BF">
      <w:r>
        <w:t>During RAN1#100b-e, it was discussed whether open-loop control needed to be applied in the case of cross-RAT scheduling. It was pointed out that RAN4 has defined no scenario where a gNB and LTE sidelink share the same band. However, RAN1 specifications are generally written to cover all cases, and RAN4 may add additional constraints. Thus, in our view, if the changes to support open-loop control for cross-RAT are simple enough, RAN1 should take the effort to implement them.</w:t>
      </w:r>
    </w:p>
    <w:p w14:paraId="5CE27B4B" w14:textId="7622D087" w:rsidR="006777BF" w:rsidRDefault="008E66D0" w:rsidP="006777BF">
      <w:r>
        <w:t>For LTE-V2X, p</w:t>
      </w:r>
      <w:r w:rsidR="006777BF">
        <w:t xml:space="preserve">ower control is applied for </w:t>
      </w:r>
      <w:r>
        <w:t>both mode 3 and mode 4, as per TR36.213:</w:t>
      </w:r>
    </w:p>
    <w:p w14:paraId="490F0FA7" w14:textId="77777777" w:rsidR="008E66D0" w:rsidRPr="008E66D0" w:rsidRDefault="008E66D0" w:rsidP="008E66D0">
      <w:pPr>
        <w:rPr>
          <w:i/>
          <w:iCs/>
          <w:sz w:val="20"/>
          <w:szCs w:val="20"/>
        </w:rPr>
      </w:pPr>
      <w:r w:rsidRPr="008E66D0">
        <w:rPr>
          <w:rFonts w:eastAsia="Malgun Gothic" w:hint="eastAsia"/>
          <w:i/>
          <w:iCs/>
          <w:sz w:val="20"/>
          <w:szCs w:val="20"/>
          <w:lang w:eastAsia="ko-KR"/>
        </w:rPr>
        <w:t xml:space="preserve">For sidelink transmission mode 3, </w:t>
      </w:r>
      <w:r w:rsidRPr="008E66D0">
        <w:rPr>
          <w:i/>
          <w:iCs/>
          <w:sz w:val="20"/>
          <w:szCs w:val="20"/>
        </w:rPr>
        <w:t xml:space="preserve">the UE transmit power </w:t>
      </w:r>
      <w:r w:rsidRPr="008E66D0">
        <w:rPr>
          <w:i/>
          <w:iCs/>
          <w:position w:val="-12"/>
          <w:sz w:val="20"/>
          <w:szCs w:val="20"/>
        </w:rPr>
        <w:object w:dxaOrig="639" w:dyaOrig="360" w14:anchorId="431EA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75pt" o:ole="">
            <v:imagedata r:id="rId8" o:title=""/>
          </v:shape>
          <o:OLEObject Type="Embed" ProgID="Equation.3" ShapeID="_x0000_i1025" DrawAspect="Content" ObjectID="_1651068565" r:id="rId9"/>
        </w:object>
      </w:r>
      <w:r w:rsidRPr="008E66D0">
        <w:rPr>
          <w:i/>
          <w:iCs/>
          <w:sz w:val="20"/>
          <w:szCs w:val="20"/>
        </w:rPr>
        <w:t xml:space="preserve"> for PSSCH transmission is given by</w:t>
      </w:r>
    </w:p>
    <w:p w14:paraId="61D84CE9" w14:textId="77777777" w:rsidR="008E66D0" w:rsidRPr="008E66D0" w:rsidRDefault="008E66D0" w:rsidP="008E66D0">
      <w:pPr>
        <w:pStyle w:val="EQ"/>
        <w:jc w:val="center"/>
        <w:rPr>
          <w:i/>
          <w:iCs/>
          <w:sz w:val="18"/>
          <w:szCs w:val="18"/>
        </w:rPr>
      </w:pPr>
      <w:r w:rsidRPr="008E66D0">
        <w:rPr>
          <w:i/>
          <w:iCs/>
          <w:position w:val="-92"/>
          <w:sz w:val="18"/>
          <w:szCs w:val="18"/>
        </w:rPr>
        <w:object w:dxaOrig="8199" w:dyaOrig="1960" w14:anchorId="0A84BC8E">
          <v:shape id="_x0000_i1026" type="#_x0000_t75" style="width:411pt;height:99pt" o:ole="">
            <v:imagedata r:id="rId10" o:title=""/>
          </v:shape>
          <o:OLEObject Type="Embed" ProgID="Equation.3" ShapeID="_x0000_i1026" DrawAspect="Content" ObjectID="_1651068566" r:id="rId11"/>
        </w:object>
      </w:r>
      <w:r w:rsidRPr="008E66D0">
        <w:rPr>
          <w:i/>
          <w:iCs/>
          <w:sz w:val="18"/>
          <w:szCs w:val="18"/>
        </w:rPr>
        <w:t xml:space="preserve"> [dBm] ,</w:t>
      </w:r>
    </w:p>
    <w:p w14:paraId="420B7F47" w14:textId="77777777" w:rsidR="008E66D0" w:rsidRPr="008E66D0" w:rsidRDefault="008E66D0" w:rsidP="008E66D0">
      <w:pPr>
        <w:rPr>
          <w:rFonts w:eastAsia="Malgun Gothic"/>
          <w:i/>
          <w:iCs/>
          <w:sz w:val="20"/>
          <w:szCs w:val="20"/>
          <w:lang w:eastAsia="ko-KR"/>
        </w:rPr>
      </w:pPr>
      <w:r w:rsidRPr="008E66D0">
        <w:rPr>
          <w:i/>
          <w:iCs/>
          <w:sz w:val="20"/>
          <w:szCs w:val="20"/>
        </w:rPr>
        <w:t xml:space="preserve">where </w:t>
      </w:r>
      <w:r w:rsidRPr="008E66D0">
        <w:rPr>
          <w:i/>
          <w:iCs/>
          <w:position w:val="-12"/>
          <w:sz w:val="20"/>
          <w:szCs w:val="20"/>
        </w:rPr>
        <w:object w:dxaOrig="620" w:dyaOrig="360" w14:anchorId="214253CD">
          <v:shape id="_x0000_i1027" type="#_x0000_t75" style="width:31.15pt;height:18.75pt" o:ole="">
            <v:imagedata r:id="rId12" o:title=""/>
          </v:shape>
          <o:OLEObject Type="Embed" ProgID="Equation.DSMT4" ShapeID="_x0000_i1027" DrawAspect="Content" ObjectID="_1651068567" r:id="rId13"/>
        </w:object>
      </w:r>
      <w:r w:rsidRPr="008E66D0">
        <w:rPr>
          <w:i/>
          <w:iCs/>
          <w:sz w:val="20"/>
          <w:szCs w:val="20"/>
        </w:rPr>
        <w:t xml:space="preserve"> is defined in [6], and</w:t>
      </w:r>
      <w:r w:rsidRPr="008E66D0" w:rsidDel="000101FF">
        <w:rPr>
          <w:i/>
          <w:iCs/>
          <w:sz w:val="20"/>
          <w:szCs w:val="20"/>
        </w:rPr>
        <w:t xml:space="preserve"> </w:t>
      </w:r>
      <w:r w:rsidRPr="008E66D0">
        <w:rPr>
          <w:i/>
          <w:iCs/>
          <w:position w:val="-12"/>
          <w:sz w:val="20"/>
          <w:szCs w:val="20"/>
        </w:rPr>
        <w:object w:dxaOrig="760" w:dyaOrig="360" w14:anchorId="0895AC81">
          <v:shape id="_x0000_i1028" type="#_x0000_t75" style="width:38.25pt;height:18.75pt" o:ole="">
            <v:imagedata r:id="rId14" o:title=""/>
          </v:shape>
          <o:OLEObject Type="Embed" ProgID="Equation.3" ShapeID="_x0000_i1028" DrawAspect="Content" ObjectID="_1651068568" r:id="rId15"/>
        </w:object>
      </w:r>
      <w:r w:rsidRPr="008E66D0">
        <w:rPr>
          <w:i/>
          <w:iCs/>
          <w:sz w:val="20"/>
          <w:szCs w:val="20"/>
        </w:rPr>
        <w:t xml:space="preserve">is the bandwidth of the PSSCH resource assignment expressed in number of resource blocks and </w:t>
      </w:r>
      <w:r w:rsidRPr="008E66D0">
        <w:rPr>
          <w:i/>
          <w:iCs/>
          <w:position w:val="-14"/>
          <w:sz w:val="20"/>
          <w:szCs w:val="20"/>
        </w:rPr>
        <w:object w:dxaOrig="1020" w:dyaOrig="380" w14:anchorId="710779D9">
          <v:shape id="_x0000_i1029" type="#_x0000_t75" style="width:51pt;height:20.25pt" o:ole="">
            <v:imagedata r:id="rId16" o:title=""/>
          </v:shape>
          <o:OLEObject Type="Embed" ProgID="Equation.3" ShapeID="_x0000_i1029" DrawAspect="Content" ObjectID="_1651068569" r:id="rId17"/>
        </w:object>
      </w:r>
      <w:r w:rsidRPr="008E66D0">
        <w:rPr>
          <w:i/>
          <w:iCs/>
          <w:sz w:val="20"/>
          <w:szCs w:val="20"/>
        </w:rPr>
        <w:t xml:space="preserve"> where</w:t>
      </w:r>
      <w:r w:rsidRPr="008E66D0">
        <w:rPr>
          <w:i/>
          <w:iCs/>
          <w:position w:val="-12"/>
          <w:sz w:val="20"/>
          <w:szCs w:val="20"/>
        </w:rPr>
        <w:object w:dxaOrig="420" w:dyaOrig="360" w14:anchorId="46DA6162">
          <v:shape id="_x0000_i1030" type="#_x0000_t75" style="width:21.75pt;height:18.75pt" o:ole="">
            <v:imagedata r:id="rId18" o:title=""/>
          </v:shape>
          <o:OLEObject Type="Embed" ProgID="Equation.3" ShapeID="_x0000_i1030" DrawAspect="Content" ObjectID="_1651068570" r:id="rId19"/>
        </w:object>
      </w:r>
      <w:r w:rsidRPr="008E66D0" w:rsidDel="00B0780C">
        <w:rPr>
          <w:i/>
          <w:iCs/>
          <w:sz w:val="20"/>
          <w:szCs w:val="20"/>
        </w:rPr>
        <w:t xml:space="preserve"> </w:t>
      </w:r>
      <w:r w:rsidRPr="008E66D0">
        <w:rPr>
          <w:i/>
          <w:iCs/>
          <w:sz w:val="20"/>
          <w:szCs w:val="20"/>
        </w:rPr>
        <w:t xml:space="preserve">is defined in Subclause 5.1.1.1. </w:t>
      </w:r>
      <w:r w:rsidRPr="008E66D0">
        <w:rPr>
          <w:i/>
          <w:iCs/>
          <w:position w:val="-14"/>
          <w:sz w:val="20"/>
          <w:szCs w:val="20"/>
        </w:rPr>
        <w:object w:dxaOrig="900" w:dyaOrig="380" w14:anchorId="42D6C7A4">
          <v:shape id="_x0000_i1031" type="#_x0000_t75" style="width:44.25pt;height:20.25pt" o:ole="">
            <v:imagedata r:id="rId20" o:title=""/>
          </v:shape>
          <o:OLEObject Type="Embed" ProgID="Equation.3" ShapeID="_x0000_i1031" DrawAspect="Content" ObjectID="_1651068571" r:id="rId21"/>
        </w:object>
      </w:r>
      <w:r w:rsidRPr="008E66D0">
        <w:rPr>
          <w:i/>
          <w:iCs/>
          <w:sz w:val="20"/>
          <w:szCs w:val="20"/>
        </w:rPr>
        <w:t xml:space="preserve"> and </w:t>
      </w:r>
      <w:r w:rsidRPr="008E66D0">
        <w:rPr>
          <w:i/>
          <w:iCs/>
          <w:position w:val="-14"/>
          <w:sz w:val="20"/>
          <w:szCs w:val="20"/>
        </w:rPr>
        <w:object w:dxaOrig="780" w:dyaOrig="380" w14:anchorId="44B5ACA7">
          <v:shape id="_x0000_i1032" type="#_x0000_t75" style="width:38.25pt;height:20.25pt" o:ole="">
            <v:imagedata r:id="rId22" o:title=""/>
          </v:shape>
          <o:OLEObject Type="Embed" ProgID="Equation.3" ShapeID="_x0000_i1032" DrawAspect="Content" ObjectID="_1651068572" r:id="rId23"/>
        </w:object>
      </w:r>
      <w:r w:rsidRPr="008E66D0">
        <w:rPr>
          <w:i/>
          <w:iCs/>
          <w:sz w:val="20"/>
          <w:szCs w:val="20"/>
        </w:rPr>
        <w:t xml:space="preserve"> are provided by higher layer parameters p0SL-V2V and alphaSL-V2V, respectively and that are associated with the corresponding PSSCH resource configuration.</w:t>
      </w:r>
    </w:p>
    <w:p w14:paraId="4E1EB191" w14:textId="77777777" w:rsidR="008E66D0" w:rsidRPr="008E66D0" w:rsidRDefault="008E66D0" w:rsidP="008E66D0">
      <w:pPr>
        <w:rPr>
          <w:i/>
          <w:iCs/>
          <w:sz w:val="20"/>
          <w:szCs w:val="20"/>
        </w:rPr>
      </w:pPr>
      <w:r w:rsidRPr="008E66D0">
        <w:rPr>
          <w:rFonts w:eastAsia="Malgun Gothic" w:hint="eastAsia"/>
          <w:i/>
          <w:iCs/>
          <w:sz w:val="20"/>
          <w:szCs w:val="20"/>
          <w:lang w:eastAsia="ko-KR"/>
        </w:rPr>
        <w:t xml:space="preserve">For sidelink transmission mode 4, </w:t>
      </w:r>
      <w:r w:rsidRPr="008E66D0">
        <w:rPr>
          <w:i/>
          <w:iCs/>
          <w:sz w:val="20"/>
          <w:szCs w:val="20"/>
        </w:rPr>
        <w:t xml:space="preserve">the UE transmit power </w:t>
      </w:r>
      <w:r w:rsidRPr="008E66D0">
        <w:rPr>
          <w:i/>
          <w:iCs/>
          <w:position w:val="-12"/>
          <w:sz w:val="20"/>
          <w:szCs w:val="20"/>
        </w:rPr>
        <w:object w:dxaOrig="639" w:dyaOrig="360" w14:anchorId="08AD66DA">
          <v:shape id="_x0000_i1033" type="#_x0000_t75" style="width:33.75pt;height:18.75pt" o:ole="">
            <v:imagedata r:id="rId8" o:title=""/>
          </v:shape>
          <o:OLEObject Type="Embed" ProgID="Equation.3" ShapeID="_x0000_i1033" DrawAspect="Content" ObjectID="_1651068573" r:id="rId24"/>
        </w:object>
      </w:r>
      <w:r w:rsidRPr="008E66D0">
        <w:rPr>
          <w:i/>
          <w:iCs/>
          <w:sz w:val="20"/>
          <w:szCs w:val="20"/>
        </w:rPr>
        <w:t xml:space="preserve"> for PSSCH transmission</w:t>
      </w:r>
      <w:r w:rsidRPr="008E66D0">
        <w:rPr>
          <w:rFonts w:eastAsia="Malgun Gothic" w:hint="eastAsia"/>
          <w:i/>
          <w:iCs/>
          <w:sz w:val="20"/>
          <w:szCs w:val="20"/>
          <w:lang w:eastAsia="ko-KR"/>
        </w:rPr>
        <w:t xml:space="preserve"> in subframe n</w:t>
      </w:r>
      <w:r w:rsidRPr="008E66D0">
        <w:rPr>
          <w:i/>
          <w:iCs/>
          <w:sz w:val="20"/>
          <w:szCs w:val="20"/>
        </w:rPr>
        <w:t xml:space="preserve"> is given by</w:t>
      </w:r>
    </w:p>
    <w:p w14:paraId="0A8EDB4D" w14:textId="24419109" w:rsidR="008E66D0" w:rsidRPr="008E66D0" w:rsidRDefault="008E66D0" w:rsidP="008E66D0">
      <w:pPr>
        <w:pStyle w:val="EQ"/>
        <w:jc w:val="center"/>
        <w:rPr>
          <w:i/>
          <w:iCs/>
          <w:sz w:val="18"/>
          <w:szCs w:val="18"/>
        </w:rPr>
      </w:pPr>
      <w:r w:rsidRPr="008E66D0">
        <w:rPr>
          <w:i/>
          <w:iCs/>
          <w:position w:val="-48"/>
          <w:sz w:val="18"/>
          <w:szCs w:val="18"/>
        </w:rPr>
        <w:object w:dxaOrig="4500" w:dyaOrig="1080" w14:anchorId="7F4F670C">
          <v:shape id="_x0000_i1034" type="#_x0000_t75" style="width:226.15pt;height:54.75pt" o:ole="">
            <v:imagedata r:id="rId25" o:title=""/>
          </v:shape>
          <o:OLEObject Type="Embed" ProgID="Equation.DSMT4" ShapeID="_x0000_i1034" DrawAspect="Content" ObjectID="_1651068574" r:id="rId26"/>
        </w:object>
      </w:r>
      <w:r w:rsidRPr="008E66D0">
        <w:rPr>
          <w:i/>
          <w:iCs/>
          <w:sz w:val="18"/>
          <w:szCs w:val="18"/>
        </w:rPr>
        <w:t xml:space="preserve"> [dBm] ,</w:t>
      </w:r>
    </w:p>
    <w:p w14:paraId="52084932" w14:textId="77777777" w:rsidR="008E66D0" w:rsidRPr="008E66D0" w:rsidRDefault="008E66D0" w:rsidP="008E66D0">
      <w:pPr>
        <w:rPr>
          <w:rFonts w:eastAsia="Malgun Gothic"/>
          <w:i/>
          <w:iCs/>
          <w:sz w:val="20"/>
          <w:szCs w:val="20"/>
          <w:lang w:eastAsia="ko-KR"/>
        </w:rPr>
      </w:pPr>
      <w:r w:rsidRPr="008E66D0">
        <w:rPr>
          <w:i/>
          <w:iCs/>
          <w:sz w:val="20"/>
          <w:szCs w:val="20"/>
        </w:rPr>
        <w:t xml:space="preserve">where </w:t>
      </w:r>
      <w:r w:rsidRPr="008E66D0">
        <w:rPr>
          <w:i/>
          <w:iCs/>
          <w:position w:val="-12"/>
          <w:sz w:val="20"/>
          <w:szCs w:val="20"/>
        </w:rPr>
        <w:object w:dxaOrig="620" w:dyaOrig="360" w14:anchorId="168D63CA">
          <v:shape id="_x0000_i1035" type="#_x0000_t75" style="width:31.15pt;height:18.75pt" o:ole="">
            <v:imagedata r:id="rId27" o:title=""/>
          </v:shape>
          <o:OLEObject Type="Embed" ProgID="Equation.3" ShapeID="_x0000_i1035" DrawAspect="Content" ObjectID="_1651068575" r:id="rId28"/>
        </w:object>
      </w:r>
      <w:r w:rsidRPr="008E66D0">
        <w:rPr>
          <w:i/>
          <w:iCs/>
          <w:sz w:val="20"/>
          <w:szCs w:val="20"/>
        </w:rPr>
        <w:t xml:space="preserve"> is defined in [6], </w:t>
      </w:r>
      <w:r w:rsidRPr="008E66D0">
        <w:rPr>
          <w:i/>
          <w:iCs/>
          <w:position w:val="-12"/>
          <w:sz w:val="20"/>
          <w:szCs w:val="20"/>
        </w:rPr>
        <w:object w:dxaOrig="760" w:dyaOrig="360" w14:anchorId="493A03DE">
          <v:shape id="_x0000_i1036" type="#_x0000_t75" style="width:38.25pt;height:18.75pt" o:ole="">
            <v:imagedata r:id="rId14" o:title=""/>
          </v:shape>
          <o:OLEObject Type="Embed" ProgID="Equation.3" ShapeID="_x0000_i1036" DrawAspect="Content" ObjectID="_1651068576" r:id="rId29"/>
        </w:object>
      </w:r>
      <w:r w:rsidRPr="008E66D0">
        <w:rPr>
          <w:i/>
          <w:iCs/>
          <w:sz w:val="20"/>
          <w:szCs w:val="20"/>
        </w:rPr>
        <w:t xml:space="preserve"> is the bandwidth of the PSSCH resource assignment expressed in number of resource blocks, </w:t>
      </w:r>
      <w:r w:rsidRPr="008E66D0">
        <w:rPr>
          <w:i/>
          <w:iCs/>
          <w:position w:val="-12"/>
          <w:sz w:val="20"/>
          <w:szCs w:val="20"/>
        </w:rPr>
        <w:object w:dxaOrig="1160" w:dyaOrig="360" w14:anchorId="51B33111">
          <v:shape id="_x0000_i1037" type="#_x0000_t75" style="width:59.25pt;height:18.75pt" o:ole="">
            <v:imagedata r:id="rId30" o:title=""/>
          </v:shape>
          <o:OLEObject Type="Embed" ProgID="Equation.3" ShapeID="_x0000_i1037" DrawAspect="Content" ObjectID="_1651068577" r:id="rId31"/>
        </w:object>
      </w:r>
      <w:r w:rsidRPr="008E66D0">
        <w:rPr>
          <w:i/>
          <w:iCs/>
          <w:sz w:val="20"/>
          <w:szCs w:val="20"/>
        </w:rPr>
        <w:t xml:space="preserve">, and </w:t>
      </w:r>
      <w:r w:rsidRPr="008E66D0">
        <w:rPr>
          <w:i/>
          <w:iCs/>
          <w:position w:val="-14"/>
          <w:sz w:val="20"/>
          <w:szCs w:val="20"/>
        </w:rPr>
        <w:object w:dxaOrig="1020" w:dyaOrig="380" w14:anchorId="626E35B6">
          <v:shape id="_x0000_i1038" type="#_x0000_t75" style="width:51pt;height:20.25pt" o:ole="">
            <v:imagedata r:id="rId16" o:title=""/>
          </v:shape>
          <o:OLEObject Type="Embed" ProgID="Equation.3" ShapeID="_x0000_i1038" DrawAspect="Content" ObjectID="_1651068578" r:id="rId32"/>
        </w:object>
      </w:r>
      <w:r w:rsidRPr="008E66D0">
        <w:rPr>
          <w:i/>
          <w:iCs/>
          <w:sz w:val="20"/>
          <w:szCs w:val="20"/>
        </w:rPr>
        <w:t xml:space="preserve"> where</w:t>
      </w:r>
      <w:r w:rsidRPr="008E66D0">
        <w:rPr>
          <w:i/>
          <w:iCs/>
          <w:position w:val="-12"/>
          <w:sz w:val="20"/>
          <w:szCs w:val="20"/>
        </w:rPr>
        <w:object w:dxaOrig="420" w:dyaOrig="360" w14:anchorId="390F6D78">
          <v:shape id="_x0000_i1039" type="#_x0000_t75" style="width:21.75pt;height:18.75pt" o:ole="">
            <v:imagedata r:id="rId18" o:title=""/>
          </v:shape>
          <o:OLEObject Type="Embed" ProgID="Equation.3" ShapeID="_x0000_i1039" DrawAspect="Content" ObjectID="_1651068579" r:id="rId33"/>
        </w:object>
      </w:r>
      <w:r w:rsidRPr="008E66D0" w:rsidDel="00B0780C">
        <w:rPr>
          <w:i/>
          <w:iCs/>
          <w:sz w:val="20"/>
          <w:szCs w:val="20"/>
        </w:rPr>
        <w:t xml:space="preserve"> </w:t>
      </w:r>
      <w:r w:rsidRPr="008E66D0">
        <w:rPr>
          <w:i/>
          <w:iCs/>
          <w:sz w:val="20"/>
          <w:szCs w:val="20"/>
        </w:rPr>
        <w:t xml:space="preserve">is defined in Subclause 5.1.1.1. </w:t>
      </w:r>
      <w:r w:rsidRPr="008E66D0">
        <w:rPr>
          <w:i/>
          <w:iCs/>
          <w:position w:val="-14"/>
          <w:sz w:val="20"/>
          <w:szCs w:val="20"/>
        </w:rPr>
        <w:object w:dxaOrig="900" w:dyaOrig="380" w14:anchorId="1FE77315">
          <v:shape id="_x0000_i1040" type="#_x0000_t75" style="width:44.25pt;height:20.25pt" o:ole="">
            <v:imagedata r:id="rId34" o:title=""/>
          </v:shape>
          <o:OLEObject Type="Embed" ProgID="Equation.3" ShapeID="_x0000_i1040" DrawAspect="Content" ObjectID="_1651068580" r:id="rId35"/>
        </w:object>
      </w:r>
      <w:r w:rsidRPr="008E66D0">
        <w:rPr>
          <w:i/>
          <w:iCs/>
          <w:sz w:val="20"/>
          <w:szCs w:val="20"/>
        </w:rPr>
        <w:t xml:space="preserve"> and </w:t>
      </w:r>
      <w:r w:rsidRPr="008E66D0">
        <w:rPr>
          <w:i/>
          <w:iCs/>
          <w:position w:val="-14"/>
          <w:sz w:val="20"/>
          <w:szCs w:val="20"/>
        </w:rPr>
        <w:object w:dxaOrig="800" w:dyaOrig="380" w14:anchorId="0D36A1FB">
          <v:shape id="_x0000_i1041" type="#_x0000_t75" style="width:39.75pt;height:20.25pt" o:ole="">
            <v:imagedata r:id="rId36" o:title=""/>
          </v:shape>
          <o:OLEObject Type="Embed" ProgID="Equation.3" ShapeID="_x0000_i1041" DrawAspect="Content" ObjectID="_1651068581" r:id="rId37"/>
        </w:object>
      </w:r>
      <w:r w:rsidRPr="008E66D0">
        <w:rPr>
          <w:i/>
          <w:iCs/>
          <w:sz w:val="20"/>
          <w:szCs w:val="20"/>
        </w:rPr>
        <w:t xml:space="preserve"> are provided by higher layer parameters p0SL-V2V and alphaSL-V2V, respectively and that are associated with the corresponding PSSCH resource configuration.</w:t>
      </w:r>
      <w:r w:rsidRPr="008E66D0">
        <w:rPr>
          <w:rFonts w:eastAsia="Malgun Gothic"/>
          <w:i/>
          <w:iCs/>
          <w:sz w:val="20"/>
          <w:szCs w:val="20"/>
          <w:lang w:eastAsia="ko-KR"/>
        </w:rPr>
        <w:t xml:space="preserve"> If higher layer parameter </w:t>
      </w:r>
      <w:proofErr w:type="spellStart"/>
      <w:r w:rsidRPr="008E66D0">
        <w:rPr>
          <w:rFonts w:eastAsia="Malgun Gothic"/>
          <w:i/>
          <w:iCs/>
          <w:sz w:val="20"/>
          <w:szCs w:val="20"/>
          <w:lang w:eastAsia="ko-KR"/>
        </w:rPr>
        <w:t>maxTxpower</w:t>
      </w:r>
      <w:proofErr w:type="spellEnd"/>
      <w:r w:rsidRPr="008E66D0">
        <w:rPr>
          <w:rFonts w:eastAsia="Malgun Gothic"/>
          <w:i/>
          <w:iCs/>
          <w:sz w:val="20"/>
          <w:szCs w:val="20"/>
          <w:lang w:eastAsia="ko-KR"/>
        </w:rPr>
        <w:t xml:space="preserve"> is </w:t>
      </w:r>
      <w:proofErr w:type="gramStart"/>
      <w:r w:rsidRPr="008E66D0">
        <w:rPr>
          <w:rFonts w:eastAsia="Malgun Gothic"/>
          <w:i/>
          <w:iCs/>
          <w:sz w:val="20"/>
          <w:szCs w:val="20"/>
          <w:lang w:eastAsia="ko-KR"/>
        </w:rPr>
        <w:t>configured</w:t>
      </w:r>
      <w:proofErr w:type="gramEnd"/>
      <w:r w:rsidRPr="008E66D0">
        <w:rPr>
          <w:rFonts w:eastAsia="Malgun Gothic"/>
          <w:i/>
          <w:iCs/>
          <w:sz w:val="20"/>
          <w:szCs w:val="20"/>
          <w:lang w:eastAsia="ko-KR"/>
        </w:rPr>
        <w:t xml:space="preserve"> then</w:t>
      </w:r>
    </w:p>
    <w:p w14:paraId="22ECE9F8" w14:textId="77777777" w:rsidR="008E66D0" w:rsidRPr="008E66D0" w:rsidRDefault="008E66D0" w:rsidP="008E66D0">
      <w:pPr>
        <w:pStyle w:val="EQ"/>
        <w:rPr>
          <w:rFonts w:eastAsia="Malgun Gothic"/>
          <w:i/>
          <w:iCs/>
          <w:sz w:val="18"/>
          <w:szCs w:val="18"/>
          <w:lang w:eastAsia="ko-KR"/>
        </w:rPr>
      </w:pPr>
      <w:r w:rsidRPr="008E66D0">
        <w:rPr>
          <w:i/>
          <w:iCs/>
          <w:sz w:val="18"/>
          <w:szCs w:val="18"/>
        </w:rPr>
        <w:tab/>
      </w:r>
      <w:r w:rsidRPr="008E66D0">
        <w:rPr>
          <w:i/>
          <w:iCs/>
          <w:position w:val="-34"/>
          <w:sz w:val="18"/>
          <w:szCs w:val="18"/>
        </w:rPr>
        <w:object w:dxaOrig="8419" w:dyaOrig="800" w14:anchorId="03F0DA40">
          <v:shape id="_x0000_i1042" type="#_x0000_t75" style="width:421.5pt;height:39.75pt" o:ole="">
            <v:imagedata r:id="rId38" o:title=""/>
          </v:shape>
          <o:OLEObject Type="Embed" ProgID="Equation.DSMT4" ShapeID="_x0000_i1042" DrawAspect="Content" ObjectID="_1651068582" r:id="rId39"/>
        </w:object>
      </w:r>
    </w:p>
    <w:p w14:paraId="75D88AA9" w14:textId="77777777" w:rsidR="008E66D0" w:rsidRPr="008E66D0" w:rsidRDefault="008E66D0" w:rsidP="008E66D0">
      <w:pPr>
        <w:rPr>
          <w:rFonts w:eastAsia="Malgun Gothic"/>
          <w:i/>
          <w:iCs/>
          <w:sz w:val="20"/>
          <w:szCs w:val="20"/>
          <w:lang w:eastAsia="ko-KR"/>
        </w:rPr>
      </w:pPr>
      <w:r w:rsidRPr="008E66D0">
        <w:rPr>
          <w:rFonts w:eastAsia="Malgun Gothic"/>
          <w:i/>
          <w:iCs/>
          <w:sz w:val="20"/>
          <w:szCs w:val="20"/>
          <w:lang w:eastAsia="ko-KR"/>
        </w:rPr>
        <w:t>else</w:t>
      </w:r>
    </w:p>
    <w:p w14:paraId="0F4C5EBF" w14:textId="77777777" w:rsidR="008E66D0" w:rsidRPr="008E66D0" w:rsidRDefault="008E66D0" w:rsidP="008E66D0">
      <w:pPr>
        <w:pStyle w:val="EQ"/>
        <w:rPr>
          <w:rFonts w:eastAsia="Malgun Gothic"/>
          <w:i/>
          <w:iCs/>
          <w:sz w:val="18"/>
          <w:szCs w:val="18"/>
          <w:lang w:eastAsia="ko-KR"/>
        </w:rPr>
      </w:pPr>
      <w:r w:rsidRPr="008E66D0">
        <w:rPr>
          <w:i/>
          <w:iCs/>
          <w:sz w:val="18"/>
          <w:szCs w:val="18"/>
        </w:rPr>
        <w:tab/>
      </w:r>
      <w:r w:rsidRPr="008E66D0">
        <w:rPr>
          <w:i/>
          <w:iCs/>
          <w:position w:val="-34"/>
          <w:sz w:val="18"/>
          <w:szCs w:val="18"/>
        </w:rPr>
        <w:object w:dxaOrig="7440" w:dyaOrig="800" w14:anchorId="49F18857">
          <v:shape id="_x0000_i1043" type="#_x0000_t75" style="width:371.25pt;height:39.75pt" o:ole="">
            <v:imagedata r:id="rId40" o:title=""/>
          </v:shape>
          <o:OLEObject Type="Embed" ProgID="Equation.DSMT4" ShapeID="_x0000_i1043" DrawAspect="Content" ObjectID="_1651068583" r:id="rId41"/>
        </w:object>
      </w:r>
    </w:p>
    <w:p w14:paraId="0265CD9B" w14:textId="77777777" w:rsidR="008E66D0" w:rsidRPr="008E66D0" w:rsidRDefault="008E66D0" w:rsidP="008E66D0">
      <w:pPr>
        <w:rPr>
          <w:lang w:val="en-GB" w:eastAsia="en-GB"/>
        </w:rPr>
      </w:pPr>
    </w:p>
    <w:p w14:paraId="27FF1622" w14:textId="06D6E66E" w:rsidR="00385586" w:rsidRDefault="00833380" w:rsidP="00385586">
      <w:r>
        <w:t xml:space="preserve">This section of 36.213 could be reused for the shared NR Uu/LTE SL carrier with minimal changes. </w:t>
      </w:r>
      <w:r w:rsidR="00385586" w:rsidRPr="00385586">
        <w:rPr>
          <w:i/>
          <w:iCs/>
        </w:rPr>
        <w:t>PL</w:t>
      </w:r>
      <w:r w:rsidR="00385586">
        <w:t xml:space="preserve"> needs to be defined as the path loss between the UE and the gNB. Thus, the changes are minimal</w:t>
      </w:r>
      <w:r w:rsidR="00DE51F2">
        <w:t xml:space="preserve"> and should be implemented to ensure </w:t>
      </w:r>
      <w:proofErr w:type="gramStart"/>
      <w:r w:rsidR="00DE51F2">
        <w:t>future-proofing</w:t>
      </w:r>
      <w:proofErr w:type="gramEnd"/>
      <w:r w:rsidR="00DE51F2">
        <w:t xml:space="preserve"> of the RAN1 specifications.</w:t>
      </w:r>
    </w:p>
    <w:p w14:paraId="36F7F8A1" w14:textId="77777777" w:rsidR="009C68CD" w:rsidRPr="00D014BE" w:rsidRDefault="009C68CD" w:rsidP="009C68CD">
      <w:pPr>
        <w:rPr>
          <w:b/>
          <w:bCs/>
          <w:i/>
          <w:iCs/>
        </w:rPr>
      </w:pPr>
      <w:r w:rsidRPr="00D014BE">
        <w:rPr>
          <w:b/>
          <w:bCs/>
          <w:i/>
          <w:iCs/>
        </w:rPr>
        <w:t>Proposal 1: for the case of NR Uu scheduling</w:t>
      </w:r>
      <w:r>
        <w:rPr>
          <w:b/>
          <w:bCs/>
          <w:i/>
          <w:iCs/>
        </w:rPr>
        <w:t>/managing</w:t>
      </w:r>
      <w:r w:rsidRPr="00D014BE">
        <w:rPr>
          <w:b/>
          <w:bCs/>
          <w:i/>
          <w:iCs/>
        </w:rPr>
        <w:t xml:space="preserve"> LTE-V2X</w:t>
      </w:r>
      <w:r>
        <w:rPr>
          <w:b/>
          <w:bCs/>
          <w:i/>
          <w:iCs/>
        </w:rPr>
        <w:t xml:space="preserve"> when LTE SL and NR Uu share the same band</w:t>
      </w:r>
      <w:r w:rsidRPr="00D014BE">
        <w:rPr>
          <w:b/>
          <w:bCs/>
          <w:i/>
          <w:iCs/>
        </w:rPr>
        <w:t>:</w:t>
      </w:r>
    </w:p>
    <w:p w14:paraId="620A09C9" w14:textId="77777777" w:rsidR="009C68CD" w:rsidRPr="00D014BE" w:rsidRDefault="009C68CD" w:rsidP="009C68CD">
      <w:pPr>
        <w:pStyle w:val="ListParagraph"/>
        <w:numPr>
          <w:ilvl w:val="0"/>
          <w:numId w:val="43"/>
        </w:numPr>
        <w:rPr>
          <w:rFonts w:eastAsia="Malgun Gothic"/>
          <w:b/>
          <w:bCs/>
          <w:i/>
          <w:iCs/>
          <w:lang w:eastAsia="ko-KR"/>
        </w:rPr>
      </w:pPr>
      <w:r w:rsidRPr="00D014BE">
        <w:rPr>
          <w:rFonts w:eastAsia="Malgun Gothic"/>
          <w:b/>
          <w:bCs/>
          <w:i/>
          <w:iCs/>
          <w:lang w:eastAsia="ko-KR"/>
        </w:rPr>
        <w:t>Open-loop power control is supported for both mode-3 and mode-4</w:t>
      </w:r>
    </w:p>
    <w:p w14:paraId="362640EE" w14:textId="77777777" w:rsidR="009C68CD" w:rsidRPr="00D014BE" w:rsidRDefault="009C68CD" w:rsidP="009C68CD">
      <w:pPr>
        <w:pStyle w:val="ListParagraph"/>
        <w:numPr>
          <w:ilvl w:val="0"/>
          <w:numId w:val="43"/>
        </w:numPr>
        <w:rPr>
          <w:rFonts w:eastAsia="Malgun Gothic"/>
          <w:b/>
          <w:bCs/>
          <w:i/>
          <w:iCs/>
          <w:lang w:eastAsia="ko-KR"/>
        </w:rPr>
      </w:pPr>
      <w:r w:rsidRPr="00D014BE">
        <w:rPr>
          <w:rFonts w:eastAsia="Malgun Gothic"/>
          <w:b/>
          <w:bCs/>
          <w:i/>
          <w:iCs/>
          <w:lang w:eastAsia="ko-KR"/>
        </w:rPr>
        <w:t>The open-loop power control procedures of LTE-V are reused</w:t>
      </w:r>
      <w:r>
        <w:rPr>
          <w:rFonts w:eastAsia="Malgun Gothic"/>
          <w:b/>
          <w:bCs/>
          <w:i/>
          <w:iCs/>
          <w:lang w:eastAsia="ko-KR"/>
        </w:rPr>
        <w:t xml:space="preserve"> to compensate the path loss between the UE and the gNB</w:t>
      </w:r>
    </w:p>
    <w:p w14:paraId="5B09CEB7" w14:textId="77777777" w:rsidR="008E66D0" w:rsidRPr="006777BF" w:rsidRDefault="008E66D0" w:rsidP="006777BF"/>
    <w:p w14:paraId="765B67F1" w14:textId="77777777" w:rsidR="00C9208B" w:rsidRPr="00C9208B" w:rsidRDefault="00C9208B" w:rsidP="00C9208B"/>
    <w:p w14:paraId="3518B99D" w14:textId="7345D3D4" w:rsidR="00744A23" w:rsidRDefault="00882E8B" w:rsidP="00882E8B">
      <w:pPr>
        <w:pStyle w:val="Heading1"/>
      </w:pPr>
      <w:r>
        <w:t>Conclusion</w:t>
      </w:r>
    </w:p>
    <w:p w14:paraId="33ABE3A8" w14:textId="66E768C6" w:rsidR="008E451C" w:rsidRDefault="00D83250" w:rsidP="00E7756E">
      <w:r>
        <w:t>Open-loop power control for cross-RAT power control was discussed. We propose the following:</w:t>
      </w:r>
    </w:p>
    <w:p w14:paraId="4E4B49D8" w14:textId="75039A16" w:rsidR="00D83250" w:rsidRPr="00D014BE" w:rsidRDefault="00D83250" w:rsidP="00D83250">
      <w:pPr>
        <w:rPr>
          <w:b/>
          <w:bCs/>
          <w:i/>
          <w:iCs/>
        </w:rPr>
      </w:pPr>
      <w:r w:rsidRPr="00D014BE">
        <w:rPr>
          <w:b/>
          <w:bCs/>
          <w:i/>
          <w:iCs/>
        </w:rPr>
        <w:t>Proposal 1: for the case of NR Uu scheduling</w:t>
      </w:r>
      <w:r>
        <w:rPr>
          <w:b/>
          <w:bCs/>
          <w:i/>
          <w:iCs/>
        </w:rPr>
        <w:t>/managing</w:t>
      </w:r>
      <w:r w:rsidRPr="00D014BE">
        <w:rPr>
          <w:b/>
          <w:bCs/>
          <w:i/>
          <w:iCs/>
        </w:rPr>
        <w:t xml:space="preserve"> LTE-V2X</w:t>
      </w:r>
      <w:r w:rsidR="009C68CD">
        <w:rPr>
          <w:b/>
          <w:bCs/>
          <w:i/>
          <w:iCs/>
        </w:rPr>
        <w:t xml:space="preserve"> when LTE SL and NR Uu share the same band</w:t>
      </w:r>
      <w:r w:rsidRPr="00D014BE">
        <w:rPr>
          <w:b/>
          <w:bCs/>
          <w:i/>
          <w:iCs/>
        </w:rPr>
        <w:t>:</w:t>
      </w:r>
    </w:p>
    <w:p w14:paraId="395CC254" w14:textId="77777777" w:rsidR="00D83250" w:rsidRPr="00D014BE" w:rsidRDefault="00D83250" w:rsidP="00D83250">
      <w:pPr>
        <w:pStyle w:val="ListParagraph"/>
        <w:numPr>
          <w:ilvl w:val="0"/>
          <w:numId w:val="43"/>
        </w:numPr>
        <w:rPr>
          <w:rFonts w:eastAsia="Malgun Gothic"/>
          <w:b/>
          <w:bCs/>
          <w:i/>
          <w:iCs/>
          <w:lang w:eastAsia="ko-KR"/>
        </w:rPr>
      </w:pPr>
      <w:r w:rsidRPr="00D014BE">
        <w:rPr>
          <w:rFonts w:eastAsia="Malgun Gothic"/>
          <w:b/>
          <w:bCs/>
          <w:i/>
          <w:iCs/>
          <w:lang w:eastAsia="ko-KR"/>
        </w:rPr>
        <w:t>Open-loop power control is supported for both mode-3 and mode-4</w:t>
      </w:r>
    </w:p>
    <w:p w14:paraId="3697E8B5" w14:textId="53E28B42" w:rsidR="00D83250" w:rsidRPr="00D014BE" w:rsidRDefault="00D83250" w:rsidP="00D83250">
      <w:pPr>
        <w:pStyle w:val="ListParagraph"/>
        <w:numPr>
          <w:ilvl w:val="0"/>
          <w:numId w:val="43"/>
        </w:numPr>
        <w:rPr>
          <w:rFonts w:eastAsia="Malgun Gothic"/>
          <w:b/>
          <w:bCs/>
          <w:i/>
          <w:iCs/>
          <w:lang w:eastAsia="ko-KR"/>
        </w:rPr>
      </w:pPr>
      <w:r w:rsidRPr="00D014BE">
        <w:rPr>
          <w:rFonts w:eastAsia="Malgun Gothic"/>
          <w:b/>
          <w:bCs/>
          <w:i/>
          <w:iCs/>
          <w:lang w:eastAsia="ko-KR"/>
        </w:rPr>
        <w:t>The open-loop power control procedures of LTE-V are reused</w:t>
      </w:r>
      <w:r w:rsidR="009C68CD">
        <w:rPr>
          <w:rFonts w:eastAsia="Malgun Gothic"/>
          <w:b/>
          <w:bCs/>
          <w:i/>
          <w:iCs/>
          <w:lang w:eastAsia="ko-KR"/>
        </w:rPr>
        <w:t xml:space="preserve"> to compensate the path loss between the UE and the gNB</w:t>
      </w:r>
    </w:p>
    <w:p w14:paraId="56AB690B" w14:textId="77777777" w:rsidR="00D83250" w:rsidRPr="00882E8B" w:rsidRDefault="00D83250" w:rsidP="00E7756E"/>
    <w:p w14:paraId="07387E0D" w14:textId="76E82B9C" w:rsidR="00B05A01" w:rsidRDefault="002A479E" w:rsidP="002A479E">
      <w:pPr>
        <w:pStyle w:val="Heading1"/>
      </w:pPr>
      <w:r>
        <w:t>References</w:t>
      </w:r>
    </w:p>
    <w:p w14:paraId="687FD53E" w14:textId="782C57B3" w:rsidR="002A479E" w:rsidRPr="00E7756E" w:rsidRDefault="002A479E" w:rsidP="00D83250">
      <w:r>
        <w:t xml:space="preserve">[1] </w:t>
      </w:r>
      <w:r w:rsidR="00D83250">
        <w:t>R1-2002240, “</w:t>
      </w:r>
      <w:r w:rsidR="00DF6BFA" w:rsidRPr="00DF6BFA">
        <w:t>NR UU controlling LTE sidelink transmissions</w:t>
      </w:r>
      <w:r w:rsidR="00DF6BFA">
        <w:t>” Ericsson, RAN1#100b-e, April 20-30, 2020.</w:t>
      </w:r>
    </w:p>
    <w:p w14:paraId="43DE0A24" w14:textId="77777777" w:rsidR="002A479E" w:rsidRPr="002A479E" w:rsidRDefault="002A479E" w:rsidP="002A479E"/>
    <w:sectPr w:rsidR="002A479E" w:rsidRPr="002A479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7A5DB" w14:textId="77777777" w:rsidR="00100854" w:rsidRDefault="00100854">
      <w:r>
        <w:separator/>
      </w:r>
    </w:p>
  </w:endnote>
  <w:endnote w:type="continuationSeparator" w:id="0">
    <w:p w14:paraId="59C6FCA3" w14:textId="77777777" w:rsidR="00100854" w:rsidRDefault="0010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48ADD" w14:textId="77777777" w:rsidR="00100854" w:rsidRDefault="00100854">
      <w:r>
        <w:separator/>
      </w:r>
    </w:p>
  </w:footnote>
  <w:footnote w:type="continuationSeparator" w:id="0">
    <w:p w14:paraId="6747F33F" w14:textId="77777777" w:rsidR="00100854" w:rsidRDefault="00100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1" w15:restartNumberingAfterBreak="0">
    <w:nsid w:val="0A2A21D0"/>
    <w:multiLevelType w:val="hybridMultilevel"/>
    <w:tmpl w:val="DF44CFC8"/>
    <w:lvl w:ilvl="0" w:tplc="040B0001">
      <w:start w:val="1"/>
      <w:numFmt w:val="bullet"/>
      <w:lvlText w:val=""/>
      <w:lvlJc w:val="left"/>
      <w:pPr>
        <w:ind w:left="870" w:hanging="360"/>
      </w:pPr>
      <w:rPr>
        <w:rFonts w:ascii="Symbol" w:hAnsi="Symbol" w:hint="default"/>
      </w:rPr>
    </w:lvl>
    <w:lvl w:ilvl="1" w:tplc="040B0003">
      <w:start w:val="1"/>
      <w:numFmt w:val="bullet"/>
      <w:lvlText w:val="o"/>
      <w:lvlJc w:val="left"/>
      <w:pPr>
        <w:ind w:left="1590" w:hanging="360"/>
      </w:pPr>
      <w:rPr>
        <w:rFonts w:ascii="Courier New" w:hAnsi="Courier New" w:cs="Courier New" w:hint="default"/>
      </w:rPr>
    </w:lvl>
    <w:lvl w:ilvl="2" w:tplc="040B0005">
      <w:start w:val="1"/>
      <w:numFmt w:val="bullet"/>
      <w:lvlText w:val=""/>
      <w:lvlJc w:val="left"/>
      <w:pPr>
        <w:ind w:left="2310" w:hanging="360"/>
      </w:pPr>
      <w:rPr>
        <w:rFonts w:ascii="Wingdings" w:hAnsi="Wingdings" w:hint="default"/>
      </w:rPr>
    </w:lvl>
    <w:lvl w:ilvl="3" w:tplc="040B0001">
      <w:start w:val="1"/>
      <w:numFmt w:val="bullet"/>
      <w:lvlText w:val=""/>
      <w:lvlJc w:val="left"/>
      <w:pPr>
        <w:ind w:left="3030" w:hanging="360"/>
      </w:pPr>
      <w:rPr>
        <w:rFonts w:ascii="Symbol" w:hAnsi="Symbol" w:hint="default"/>
      </w:rPr>
    </w:lvl>
    <w:lvl w:ilvl="4" w:tplc="040B0003">
      <w:start w:val="1"/>
      <w:numFmt w:val="bullet"/>
      <w:lvlText w:val="o"/>
      <w:lvlJc w:val="left"/>
      <w:pPr>
        <w:ind w:left="3750" w:hanging="360"/>
      </w:pPr>
      <w:rPr>
        <w:rFonts w:ascii="Courier New" w:hAnsi="Courier New" w:cs="Courier New" w:hint="default"/>
      </w:rPr>
    </w:lvl>
    <w:lvl w:ilvl="5" w:tplc="040B0005">
      <w:start w:val="1"/>
      <w:numFmt w:val="bullet"/>
      <w:lvlText w:val=""/>
      <w:lvlJc w:val="left"/>
      <w:pPr>
        <w:ind w:left="4470" w:hanging="360"/>
      </w:pPr>
      <w:rPr>
        <w:rFonts w:ascii="Wingdings" w:hAnsi="Wingdings" w:hint="default"/>
      </w:rPr>
    </w:lvl>
    <w:lvl w:ilvl="6" w:tplc="040B0001">
      <w:start w:val="1"/>
      <w:numFmt w:val="bullet"/>
      <w:lvlText w:val=""/>
      <w:lvlJc w:val="left"/>
      <w:pPr>
        <w:ind w:left="5190" w:hanging="360"/>
      </w:pPr>
      <w:rPr>
        <w:rFonts w:ascii="Symbol" w:hAnsi="Symbol" w:hint="default"/>
      </w:rPr>
    </w:lvl>
    <w:lvl w:ilvl="7" w:tplc="040B0003">
      <w:start w:val="1"/>
      <w:numFmt w:val="bullet"/>
      <w:lvlText w:val="o"/>
      <w:lvlJc w:val="left"/>
      <w:pPr>
        <w:ind w:left="5910" w:hanging="360"/>
      </w:pPr>
      <w:rPr>
        <w:rFonts w:ascii="Courier New" w:hAnsi="Courier New" w:cs="Courier New" w:hint="default"/>
      </w:rPr>
    </w:lvl>
    <w:lvl w:ilvl="8" w:tplc="040B0005">
      <w:start w:val="1"/>
      <w:numFmt w:val="bullet"/>
      <w:lvlText w:val=""/>
      <w:lvlJc w:val="left"/>
      <w:pPr>
        <w:ind w:left="6630" w:hanging="360"/>
      </w:pPr>
      <w:rPr>
        <w:rFonts w:ascii="Wingdings" w:hAnsi="Wingdings" w:hint="default"/>
      </w:rPr>
    </w:lvl>
  </w:abstractNum>
  <w:abstractNum w:abstractNumId="2"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D50CD278"/>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Symbol" w:hAnsi="Symbol"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D4C16"/>
    <w:multiLevelType w:val="hybridMultilevel"/>
    <w:tmpl w:val="59DA8F4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F14A3"/>
    <w:multiLevelType w:val="hybridMultilevel"/>
    <w:tmpl w:val="D3AAB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C4DFF"/>
    <w:multiLevelType w:val="hybridMultilevel"/>
    <w:tmpl w:val="F170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D125AC"/>
    <w:multiLevelType w:val="hybridMultilevel"/>
    <w:tmpl w:val="D8EE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5327FB4"/>
    <w:multiLevelType w:val="hybridMultilevel"/>
    <w:tmpl w:val="F09C3F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9"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30"/>
  </w:num>
  <w:num w:numId="4">
    <w:abstractNumId w:val="25"/>
  </w:num>
  <w:num w:numId="5">
    <w:abstractNumId w:val="13"/>
  </w:num>
  <w:num w:numId="6">
    <w:abstractNumId w:val="9"/>
  </w:num>
  <w:num w:numId="7">
    <w:abstractNumId w:val="22"/>
  </w:num>
  <w:num w:numId="8">
    <w:abstractNumId w:val="30"/>
  </w:num>
  <w:num w:numId="9">
    <w:abstractNumId w:val="10"/>
  </w:num>
  <w:num w:numId="10">
    <w:abstractNumId w:val="7"/>
  </w:num>
  <w:num w:numId="11">
    <w:abstractNumId w:val="19"/>
  </w:num>
  <w:num w:numId="12">
    <w:abstractNumId w:val="27"/>
  </w:num>
  <w:num w:numId="13">
    <w:abstractNumId w:val="3"/>
  </w:num>
  <w:num w:numId="14">
    <w:abstractNumId w:val="16"/>
  </w:num>
  <w:num w:numId="15">
    <w:abstractNumId w:val="39"/>
  </w:num>
  <w:num w:numId="16">
    <w:abstractNumId w:val="29"/>
  </w:num>
  <w:num w:numId="17">
    <w:abstractNumId w:val="29"/>
  </w:num>
  <w:num w:numId="18">
    <w:abstractNumId w:val="35"/>
  </w:num>
  <w:num w:numId="19">
    <w:abstractNumId w:val="2"/>
  </w:num>
  <w:num w:numId="20">
    <w:abstractNumId w:val="20"/>
  </w:num>
  <w:num w:numId="21">
    <w:abstractNumId w:val="36"/>
  </w:num>
  <w:num w:numId="22">
    <w:abstractNumId w:val="11"/>
  </w:num>
  <w:num w:numId="23">
    <w:abstractNumId w:val="33"/>
  </w:num>
  <w:num w:numId="24">
    <w:abstractNumId w:val="15"/>
  </w:num>
  <w:num w:numId="25">
    <w:abstractNumId w:val="31"/>
  </w:num>
  <w:num w:numId="26">
    <w:abstractNumId w:val="37"/>
  </w:num>
  <w:num w:numId="27">
    <w:abstractNumId w:val="34"/>
  </w:num>
  <w:num w:numId="28">
    <w:abstractNumId w:val="1"/>
  </w:num>
  <w:num w:numId="29">
    <w:abstractNumId w:val="14"/>
  </w:num>
  <w:num w:numId="30">
    <w:abstractNumId w:val="32"/>
  </w:num>
  <w:num w:numId="31">
    <w:abstractNumId w:val="26"/>
  </w:num>
  <w:num w:numId="32">
    <w:abstractNumId w:val="12"/>
  </w:num>
  <w:num w:numId="33">
    <w:abstractNumId w:val="5"/>
  </w:num>
  <w:num w:numId="34">
    <w:abstractNumId w:val="38"/>
  </w:num>
  <w:num w:numId="35">
    <w:abstractNumId w:val="0"/>
  </w:num>
  <w:num w:numId="36">
    <w:abstractNumId w:val="4"/>
  </w:num>
  <w:num w:numId="37">
    <w:abstractNumId w:val="24"/>
  </w:num>
  <w:num w:numId="38">
    <w:abstractNumId w:val="18"/>
  </w:num>
  <w:num w:numId="39">
    <w:abstractNumId w:val="23"/>
  </w:num>
  <w:num w:numId="40">
    <w:abstractNumId w:val="40"/>
  </w:num>
  <w:num w:numId="41">
    <w:abstractNumId w:val="28"/>
  </w:num>
  <w:num w:numId="42">
    <w:abstractNumId w:val="8"/>
  </w:num>
  <w:num w:numId="4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768"/>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78C"/>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4AA"/>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854"/>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8C3"/>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34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992"/>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1D88"/>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79E"/>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29C"/>
    <w:rsid w:val="003343EC"/>
    <w:rsid w:val="003354A9"/>
    <w:rsid w:val="00335B75"/>
    <w:rsid w:val="00335D8C"/>
    <w:rsid w:val="00335DA8"/>
    <w:rsid w:val="00336072"/>
    <w:rsid w:val="003363A1"/>
    <w:rsid w:val="0033668B"/>
    <w:rsid w:val="003373D2"/>
    <w:rsid w:val="00337F31"/>
    <w:rsid w:val="00341530"/>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586"/>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2FC9"/>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441"/>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329"/>
    <w:rsid w:val="00414C65"/>
    <w:rsid w:val="00415D76"/>
    <w:rsid w:val="00416665"/>
    <w:rsid w:val="00416A67"/>
    <w:rsid w:val="00416ACB"/>
    <w:rsid w:val="00416C73"/>
    <w:rsid w:val="00417F6C"/>
    <w:rsid w:val="00421DCF"/>
    <w:rsid w:val="00421F52"/>
    <w:rsid w:val="00422341"/>
    <w:rsid w:val="004226CC"/>
    <w:rsid w:val="00423641"/>
    <w:rsid w:val="004237F1"/>
    <w:rsid w:val="00423DA5"/>
    <w:rsid w:val="004243A9"/>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0678"/>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49F"/>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37F39"/>
    <w:rsid w:val="0054046C"/>
    <w:rsid w:val="005411F6"/>
    <w:rsid w:val="00541B25"/>
    <w:rsid w:val="0054343A"/>
    <w:rsid w:val="005437F3"/>
    <w:rsid w:val="00543974"/>
    <w:rsid w:val="00543EBF"/>
    <w:rsid w:val="00544717"/>
    <w:rsid w:val="00544ABA"/>
    <w:rsid w:val="0054593A"/>
    <w:rsid w:val="00545D9D"/>
    <w:rsid w:val="0054622F"/>
    <w:rsid w:val="005467FB"/>
    <w:rsid w:val="00546AE9"/>
    <w:rsid w:val="00546CA8"/>
    <w:rsid w:val="00547989"/>
    <w:rsid w:val="00547BE6"/>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239"/>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32E"/>
    <w:rsid w:val="005F0551"/>
    <w:rsid w:val="005F0A43"/>
    <w:rsid w:val="005F0E91"/>
    <w:rsid w:val="005F25A0"/>
    <w:rsid w:val="005F27BF"/>
    <w:rsid w:val="005F3D1F"/>
    <w:rsid w:val="005F4171"/>
    <w:rsid w:val="005F46D6"/>
    <w:rsid w:val="005F4DD6"/>
    <w:rsid w:val="005F50D8"/>
    <w:rsid w:val="005F5220"/>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7BF"/>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937"/>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ADB"/>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3DE2"/>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84"/>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6A"/>
    <w:rsid w:val="008205E8"/>
    <w:rsid w:val="00820DCE"/>
    <w:rsid w:val="0082102D"/>
    <w:rsid w:val="008221B3"/>
    <w:rsid w:val="0082248E"/>
    <w:rsid w:val="00822702"/>
    <w:rsid w:val="00822944"/>
    <w:rsid w:val="00823FB6"/>
    <w:rsid w:val="00824B6F"/>
    <w:rsid w:val="00824FDF"/>
    <w:rsid w:val="00825125"/>
    <w:rsid w:val="00825749"/>
    <w:rsid w:val="008257CC"/>
    <w:rsid w:val="00825D7C"/>
    <w:rsid w:val="00825F5C"/>
    <w:rsid w:val="008274BF"/>
    <w:rsid w:val="00830DC3"/>
    <w:rsid w:val="00831555"/>
    <w:rsid w:val="00831F52"/>
    <w:rsid w:val="00832154"/>
    <w:rsid w:val="00832F5C"/>
    <w:rsid w:val="00833380"/>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1B0C"/>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51C"/>
    <w:rsid w:val="008E46AE"/>
    <w:rsid w:val="008E50AB"/>
    <w:rsid w:val="008E560B"/>
    <w:rsid w:val="008E5BF2"/>
    <w:rsid w:val="008E5C81"/>
    <w:rsid w:val="008E66D0"/>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4A9"/>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5A"/>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8CD"/>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279"/>
    <w:rsid w:val="00A4549F"/>
    <w:rsid w:val="00A45B9B"/>
    <w:rsid w:val="00A45C93"/>
    <w:rsid w:val="00A460BF"/>
    <w:rsid w:val="00A462FE"/>
    <w:rsid w:val="00A46EFA"/>
    <w:rsid w:val="00A4787E"/>
    <w:rsid w:val="00A501C9"/>
    <w:rsid w:val="00A50506"/>
    <w:rsid w:val="00A50F0F"/>
    <w:rsid w:val="00A51BC6"/>
    <w:rsid w:val="00A51BD6"/>
    <w:rsid w:val="00A52A3E"/>
    <w:rsid w:val="00A5316B"/>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57C1"/>
    <w:rsid w:val="00B05A01"/>
    <w:rsid w:val="00B07150"/>
    <w:rsid w:val="00B07173"/>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2CFB"/>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08B"/>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6A8C"/>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0329"/>
    <w:rsid w:val="00CF195E"/>
    <w:rsid w:val="00CF19DA"/>
    <w:rsid w:val="00CF1C7F"/>
    <w:rsid w:val="00CF1CC0"/>
    <w:rsid w:val="00CF24F8"/>
    <w:rsid w:val="00CF2653"/>
    <w:rsid w:val="00CF2E6A"/>
    <w:rsid w:val="00CF3CD3"/>
    <w:rsid w:val="00CF4191"/>
    <w:rsid w:val="00CF4247"/>
    <w:rsid w:val="00CF5239"/>
    <w:rsid w:val="00CF5263"/>
    <w:rsid w:val="00CF5418"/>
    <w:rsid w:val="00CF5629"/>
    <w:rsid w:val="00CF5E61"/>
    <w:rsid w:val="00CF60B5"/>
    <w:rsid w:val="00D004FA"/>
    <w:rsid w:val="00D014BE"/>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808"/>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50"/>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AE3"/>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1F2"/>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BFA"/>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6528"/>
    <w:rsid w:val="00E066DB"/>
    <w:rsid w:val="00E0728F"/>
    <w:rsid w:val="00E0749C"/>
    <w:rsid w:val="00E0752D"/>
    <w:rsid w:val="00E0755C"/>
    <w:rsid w:val="00E07679"/>
    <w:rsid w:val="00E112CA"/>
    <w:rsid w:val="00E11355"/>
    <w:rsid w:val="00E13760"/>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07"/>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77D"/>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FD2"/>
    <w:rsid w:val="00FC0150"/>
    <w:rsid w:val="00FC03AB"/>
    <w:rsid w:val="00FC1126"/>
    <w:rsid w:val="00FC1468"/>
    <w:rsid w:val="00FC1FE5"/>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1D9F"/>
    <w:rsid w:val="00FD2D7B"/>
    <w:rsid w:val="00FD3027"/>
    <w:rsid w:val="00FD37F6"/>
    <w:rsid w:val="00FD4589"/>
    <w:rsid w:val="00FD4608"/>
    <w:rsid w:val="00FD473E"/>
    <w:rsid w:val="00FD5928"/>
    <w:rsid w:val="00FD66F4"/>
    <w:rsid w:val="00FD7601"/>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3GPPTextChar">
    <w:name w:val="3GPP Text Char"/>
    <w:link w:val="3GPPText"/>
    <w:qFormat/>
    <w:locked/>
    <w:rsid w:val="002A479E"/>
    <w:rPr>
      <w:rFonts w:ascii="SimSun" w:hAnsi="SimSun"/>
      <w:sz w:val="22"/>
    </w:rPr>
  </w:style>
  <w:style w:type="paragraph" w:customStyle="1" w:styleId="3GPPText">
    <w:name w:val="3GPP Text"/>
    <w:basedOn w:val="Normal"/>
    <w:link w:val="3GPPTextChar"/>
    <w:qFormat/>
    <w:rsid w:val="002A479E"/>
    <w:pPr>
      <w:overflowPunct w:val="0"/>
      <w:snapToGrid/>
      <w:spacing w:before="120"/>
    </w:pPr>
    <w:rPr>
      <w:rFonts w:ascii="SimSun" w:hAnsi="SimSun"/>
      <w:szCs w:val="20"/>
    </w:rPr>
  </w:style>
  <w:style w:type="paragraph" w:customStyle="1" w:styleId="EQ">
    <w:name w:val="EQ"/>
    <w:basedOn w:val="Normal"/>
    <w:next w:val="Normal"/>
    <w:rsid w:val="008E66D0"/>
    <w:pPr>
      <w:keepLines/>
      <w:tabs>
        <w:tab w:val="center" w:pos="4536"/>
        <w:tab w:val="right" w:pos="9072"/>
      </w:tabs>
      <w:overflowPunct w:val="0"/>
      <w:snapToGrid/>
      <w:spacing w:after="180"/>
      <w:jc w:val="left"/>
      <w:textAlignment w:val="baseline"/>
    </w:pPr>
    <w:rPr>
      <w:rFonts w:eastAsia="Times New Roman"/>
      <w:noProo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24754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891021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392462615">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5.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1906E-BB4C-4008-AE7C-19C78B994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3186</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Futurewei</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2020-05-15T21:54:00Z</dcterms:created>
  <dcterms:modified xsi:type="dcterms:W3CDTF">2020-05-15T21:54:00Z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(3)7LvuEzUog1T34llaPlr+VvYdEfyVCHMTfGji5rmkDG6JQNKlvIXM6W44fFg2aVnDL1jH3xgi
SoxVdKA+AIGLM23/xIviGWwOXT4b92o4RgKHa3Twq+0pNFmIJDzoz0Zro9M5ynpxXXJbCppf
pF6JAvL1k0y9AV7lVm1AOTyeokOotc9jlbZqNvaJFFC54R2O4vro8yXdZa0IezF1dQWFYsiw
y8TiFFiqw6n+HslNIw</vt:lpwstr>
  </property>
  <property fmtid="{D5CDD505-2E9C-101B-9397-08002B2CF9AE}" pid="13" name="_2015_ms_pID_725343_00">
    <vt:lpwstr>_2015_ms_pID_725343</vt:lpwstr>
  </property>
  <property fmtid="{D5CDD505-2E9C-101B-9397-08002B2CF9AE}" pid="14" name="_2015_ms_pID_7253431">
    <vt:lpwstr>u/h2fjugs0EgQ0ghCpLZx/MXHTX0xm4hKWjRlbDfq0WiInngFL63IN
6+8Fc/wbSZSw+NRMvBgTes5u8rn0sP/67TT7kaMpSbRYTRTzxJnywNaI8IKd+Z83RiWC3Gtm
TbmZlAO+lAjpXrz+tbyhookQI3RArt04XwM6CNwKwYQ6q3JqfwKvYI71wUzn0hAXwUn3A1pY
8oIPifxr4Ur6OTV9GMw52YNelxglzykW+AWC</vt:lpwstr>
  </property>
  <property fmtid="{D5CDD505-2E9C-101B-9397-08002B2CF9AE}" pid="15" name="_2015_ms_pID_7253431_00">
    <vt:lpwstr>_2015_ms_pID_7253431</vt:lpwstr>
  </property>
  <property fmtid="{D5CDD505-2E9C-101B-9397-08002B2CF9AE}" pid="16" name="_2015_ms_pID_7253432">
    <vt:lpwstr>L3Cugs7vE1FVJ1w71S4YACcd4+GHMVnfSQk9
Xd/D74sSIyZU6ls/H/1r1Unl0aojCCsaeqlOZ8kLj+pst1hk2Ns=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