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3F26D9E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1B2716">
        <w:rPr>
          <w:rFonts w:ascii="Arial" w:hAnsi="Arial" w:cs="Arial"/>
          <w:b/>
          <w:kern w:val="2"/>
          <w:lang w:eastAsia="zh-CN"/>
        </w:rPr>
        <w:t>10</w:t>
      </w:r>
      <w:r w:rsidR="00113C9C">
        <w:rPr>
          <w:rFonts w:ascii="Arial" w:hAnsi="Arial" w:cs="Arial"/>
          <w:b/>
          <w:kern w:val="2"/>
          <w:lang w:eastAsia="zh-CN"/>
        </w:rPr>
        <w:t>1</w:t>
      </w:r>
      <w:r w:rsidR="00E416F4">
        <w:rPr>
          <w:rFonts w:ascii="Arial" w:hAnsi="Arial" w:cs="Arial"/>
          <w:b/>
          <w:kern w:val="2"/>
          <w:lang w:eastAsia="zh-CN"/>
        </w:rPr>
        <w:t>-e</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1B2716">
        <w:rPr>
          <w:rFonts w:ascii="Arial" w:hAnsi="Arial" w:cs="Arial"/>
          <w:b/>
          <w:kern w:val="2"/>
          <w:lang w:eastAsia="zh-CN"/>
        </w:rPr>
        <w:t>20</w:t>
      </w:r>
      <w:r w:rsidR="007A02A2">
        <w:rPr>
          <w:rFonts w:ascii="Arial" w:hAnsi="Arial" w:cs="Arial"/>
          <w:b/>
          <w:kern w:val="2"/>
          <w:lang w:eastAsia="zh-CN"/>
        </w:rPr>
        <w:t>0</w:t>
      </w:r>
      <w:r w:rsidR="00E416F4">
        <w:rPr>
          <w:rFonts w:ascii="Arial" w:hAnsi="Arial" w:cs="Arial"/>
          <w:b/>
          <w:kern w:val="2"/>
          <w:lang w:eastAsia="zh-CN"/>
        </w:rPr>
        <w:t>3284</w:t>
      </w:r>
    </w:p>
    <w:p w14:paraId="2A9D85E6" w14:textId="333D3F8C" w:rsidR="009C0564" w:rsidRPr="007F5EC6" w:rsidRDefault="00113C9C" w:rsidP="00DA0712">
      <w:pPr>
        <w:jc w:val="left"/>
        <w:rPr>
          <w:rFonts w:ascii="Arial" w:hAnsi="Arial" w:cs="Arial"/>
          <w:b/>
          <w:kern w:val="2"/>
          <w:lang w:eastAsia="zh-CN"/>
        </w:rPr>
      </w:pPr>
      <w:r>
        <w:rPr>
          <w:rFonts w:ascii="Arial" w:hAnsi="Arial" w:cs="Arial"/>
          <w:b/>
          <w:kern w:val="2"/>
          <w:lang w:eastAsia="zh-CN"/>
        </w:rPr>
        <w:t>e-Meeting, May 25</w:t>
      </w:r>
      <w:r w:rsidRPr="00645B30">
        <w:rPr>
          <w:rFonts w:ascii="Arial" w:hAnsi="Arial" w:cs="Arial"/>
          <w:b/>
          <w:kern w:val="2"/>
          <w:vertAlign w:val="superscript"/>
          <w:lang w:eastAsia="zh-CN"/>
        </w:rPr>
        <w:t>th</w:t>
      </w:r>
      <w:r>
        <w:rPr>
          <w:rFonts w:ascii="Arial" w:hAnsi="Arial" w:cs="Arial"/>
          <w:b/>
          <w:kern w:val="2"/>
          <w:lang w:eastAsia="zh-CN"/>
        </w:rPr>
        <w:t>-June 5</w:t>
      </w:r>
      <w:r w:rsidRPr="00645B30">
        <w:rPr>
          <w:rFonts w:ascii="Arial" w:hAnsi="Arial" w:cs="Arial"/>
          <w:b/>
          <w:kern w:val="2"/>
          <w:vertAlign w:val="superscript"/>
          <w:lang w:eastAsia="zh-CN"/>
        </w:rPr>
        <w:t>th</w:t>
      </w:r>
      <w:r>
        <w:rPr>
          <w:rFonts w:ascii="Arial" w:hAnsi="Arial" w:cs="Arial"/>
          <w:b/>
          <w:kern w:val="2"/>
          <w:lang w:eastAsia="zh-CN"/>
        </w:rPr>
        <w:t xml:space="preserve">, </w:t>
      </w:r>
      <w:r w:rsidR="00E07679" w:rsidRPr="00D74B92">
        <w:rPr>
          <w:rFonts w:ascii="Arial" w:hAnsi="Arial" w:cs="Arial"/>
          <w:b/>
          <w:kern w:val="2"/>
          <w:lang w:eastAsia="zh-CN"/>
        </w:rPr>
        <w:t>20</w:t>
      </w:r>
      <w:r w:rsidR="001B2716">
        <w:rPr>
          <w:rFonts w:ascii="Arial" w:hAnsi="Arial" w:cs="Arial"/>
          <w:b/>
          <w:kern w:val="2"/>
          <w:lang w:eastAsia="zh-CN"/>
        </w:rPr>
        <w:t>20</w:t>
      </w:r>
    </w:p>
    <w:p w14:paraId="7826937B" w14:textId="4FBBA21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113C9C">
        <w:rPr>
          <w:rFonts w:ascii="Arial" w:hAnsi="Arial" w:cs="Arial"/>
          <w:b/>
          <w:lang w:eastAsia="zh-CN"/>
        </w:rPr>
        <w:t>2</w:t>
      </w:r>
      <w:r w:rsidR="00CB4A48">
        <w:rPr>
          <w:rFonts w:ascii="Arial" w:hAnsi="Arial" w:cs="Arial"/>
          <w:b/>
          <w:lang w:eastAsia="zh-CN"/>
        </w:rPr>
        <w:t>.1</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E649A3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B4A48" w:rsidRPr="00CB4A48">
        <w:rPr>
          <w:rFonts w:ascii="Arial" w:hAnsi="Arial" w:cs="Arial"/>
          <w:b/>
          <w:lang w:eastAsia="zh-CN"/>
        </w:rPr>
        <w:t>IIOT Scenarios for Positioning</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DC5F11E" w14:textId="75CD9CF3" w:rsidR="00817C94" w:rsidRDefault="00CB4A48" w:rsidP="00CB4A48">
      <w:pPr>
        <w:spacing w:beforeLines="50" w:before="120"/>
        <w:rPr>
          <w:lang w:val="en-GB"/>
        </w:rPr>
      </w:pPr>
      <w:r>
        <w:rPr>
          <w:lang w:val="en-GB"/>
        </w:rPr>
        <w:t xml:space="preserve">In 3GPP RAN Meeting #86, a new </w:t>
      </w:r>
      <w:r w:rsidR="00817C94">
        <w:rPr>
          <w:lang w:val="en-GB"/>
        </w:rPr>
        <w:t>Study I</w:t>
      </w:r>
      <w:r>
        <w:rPr>
          <w:lang w:val="en-GB"/>
        </w:rPr>
        <w:t xml:space="preserve">tem on Further Study on NR Positioning Enhancements was approved </w:t>
      </w:r>
      <w:r w:rsidR="00817C94">
        <w:rPr>
          <w:lang w:val="en-GB"/>
        </w:rPr>
        <w:t xml:space="preserve">in </w:t>
      </w:r>
      <w:r>
        <w:rPr>
          <w:lang w:val="en-GB"/>
        </w:rPr>
        <w:t>RP</w:t>
      </w:r>
      <w:r w:rsidR="00817C94">
        <w:rPr>
          <w:lang w:val="en-GB"/>
        </w:rPr>
        <w:t>-</w:t>
      </w:r>
      <w:r>
        <w:rPr>
          <w:lang w:val="en-GB"/>
        </w:rPr>
        <w:t>193237</w:t>
      </w:r>
      <w:r w:rsidR="00817C94">
        <w:rPr>
          <w:lang w:val="en-GB"/>
        </w:rPr>
        <w:t xml:space="preserve"> with the following </w:t>
      </w:r>
      <w:r>
        <w:rPr>
          <w:lang w:val="en-GB"/>
        </w:rPr>
        <w:t>objectives</w:t>
      </w:r>
      <w:r w:rsidR="00817C94">
        <w:rPr>
          <w:lang w:val="en-GB"/>
        </w:rPr>
        <w:t>:</w:t>
      </w:r>
    </w:p>
    <w:p w14:paraId="1B6EFFC8" w14:textId="77777777" w:rsidR="00817C94" w:rsidRPr="007346BD" w:rsidRDefault="00817C94" w:rsidP="00817C94">
      <w:pPr>
        <w:ind w:right="-99"/>
        <w:rPr>
          <w:i/>
          <w:lang w:eastAsia="ja-JP"/>
        </w:rPr>
      </w:pPr>
      <w:r>
        <w:rPr>
          <w:i/>
          <w:lang w:eastAsia="ja-JP"/>
        </w:rPr>
        <w:t>“</w:t>
      </w:r>
      <w:r w:rsidRPr="007346BD">
        <w:rPr>
          <w:i/>
          <w:lang w:eastAsia="ja-JP"/>
        </w:rPr>
        <w:t>This study item includes the following objectives:</w:t>
      </w:r>
    </w:p>
    <w:p w14:paraId="0C5759C6" w14:textId="77777777" w:rsidR="00817C94" w:rsidRPr="007346BD" w:rsidRDefault="00817C94" w:rsidP="00817C94">
      <w:pPr>
        <w:numPr>
          <w:ilvl w:val="0"/>
          <w:numId w:val="4"/>
        </w:numPr>
        <w:overflowPunct w:val="0"/>
        <w:snapToGrid/>
        <w:spacing w:after="180"/>
        <w:ind w:right="-99"/>
        <w:jc w:val="left"/>
        <w:textAlignment w:val="baseline"/>
        <w:rPr>
          <w:i/>
          <w:lang w:eastAsia="ja-JP"/>
        </w:rPr>
      </w:pPr>
      <w:r w:rsidRPr="007346BD">
        <w:rPr>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E1BCAAA" w14:textId="77777777" w:rsidR="00817C94" w:rsidRDefault="00817C94" w:rsidP="00817C94">
      <w:pPr>
        <w:numPr>
          <w:ilvl w:val="1"/>
          <w:numId w:val="4"/>
        </w:numPr>
        <w:overflowPunct w:val="0"/>
        <w:snapToGrid/>
        <w:spacing w:after="180"/>
        <w:ind w:right="-99"/>
        <w:jc w:val="left"/>
        <w:textAlignment w:val="baseline"/>
        <w:rPr>
          <w:i/>
          <w:lang w:eastAsia="ja-JP"/>
        </w:rPr>
      </w:pPr>
      <w:r w:rsidRPr="007346BD">
        <w:rPr>
          <w:i/>
          <w:lang w:eastAsia="ja-JP"/>
        </w:rPr>
        <w:t>Define additional scenarios (e.g. (I)IoT) based on TR 38.901 to evaluate the performance for the use cases (e.g. (I)IoT). [RAN1]</w:t>
      </w:r>
    </w:p>
    <w:p w14:paraId="5B3A850B" w14:textId="77777777" w:rsidR="00817C94" w:rsidRDefault="00817C94" w:rsidP="00817C94">
      <w:pPr>
        <w:numPr>
          <w:ilvl w:val="1"/>
          <w:numId w:val="4"/>
        </w:numPr>
        <w:overflowPunct w:val="0"/>
        <w:snapToGrid/>
        <w:spacing w:after="180"/>
        <w:ind w:right="-99"/>
        <w:jc w:val="left"/>
        <w:textAlignment w:val="baseline"/>
        <w:rPr>
          <w:i/>
          <w:lang w:eastAsia="ja-JP"/>
        </w:rPr>
      </w:pPr>
      <w:r w:rsidRPr="00645E98">
        <w:rPr>
          <w:i/>
          <w:lang w:eastAsia="ja-JP"/>
        </w:rPr>
        <w:t>Evaluate the achievable positioning accuracy and latency with the Rel-16 positioning solutions in (I)IoT scenarios and identify any performance gaps. [RAN1]</w:t>
      </w:r>
    </w:p>
    <w:p w14:paraId="6F0ED40E" w14:textId="60C97C03" w:rsidR="00817C94" w:rsidRPr="007F4B03" w:rsidRDefault="00817C94" w:rsidP="00817C94">
      <w:pPr>
        <w:numPr>
          <w:ilvl w:val="1"/>
          <w:numId w:val="4"/>
        </w:numPr>
        <w:overflowPunct w:val="0"/>
        <w:snapToGrid/>
        <w:spacing w:after="180"/>
        <w:ind w:right="-99"/>
        <w:jc w:val="left"/>
        <w:textAlignment w:val="baseline"/>
        <w:rPr>
          <w:i/>
          <w:lang w:eastAsia="ja-JP"/>
        </w:rPr>
      </w:pPr>
      <w:r w:rsidRPr="007F4B03">
        <w:rPr>
          <w:i/>
          <w:lang w:eastAsia="ja-JP"/>
        </w:rPr>
        <w:t xml:space="preserve">Identify and evaluate positioning techniques, DL/UL positioning reference signals, signaling and procedures </w:t>
      </w:r>
      <w:r w:rsidRPr="007F4B03">
        <w:rPr>
          <w:i/>
        </w:rPr>
        <w:t>for improved accuracy, reduced latency,</w:t>
      </w:r>
      <w:r w:rsidRPr="007F4B03">
        <w:rPr>
          <w:i/>
          <w:lang w:eastAsia="ja-JP"/>
        </w:rPr>
        <w:t xml:space="preserve"> network efficiency, and device efficiency</w:t>
      </w:r>
      <w:r w:rsidRPr="007F4B03">
        <w:rPr>
          <w:i/>
        </w:rPr>
        <w:t>.</w:t>
      </w:r>
      <w:r w:rsidR="00AA4A7A">
        <w:rPr>
          <w:i/>
        </w:rPr>
        <w:t xml:space="preserve"> </w:t>
      </w:r>
      <w:r w:rsidRPr="007F4B03">
        <w:rPr>
          <w:i/>
          <w:lang w:eastAsia="ja-JP"/>
        </w:rPr>
        <w:t>Enhancements to Rel-16 positioning techniques, if they meet the requirements, will be prioritized, and new techniques will not be considered in this case. [RAN1, RAN2]</w:t>
      </w:r>
    </w:p>
    <w:p w14:paraId="26EA0DDB" w14:textId="77777777" w:rsidR="00817C94" w:rsidRPr="007F4B03" w:rsidRDefault="00817C94" w:rsidP="00817C94">
      <w:pPr>
        <w:pStyle w:val="NO"/>
        <w:ind w:left="1530" w:hanging="900"/>
        <w:rPr>
          <w:i/>
          <w:lang w:val="en-US" w:eastAsia="ja-JP"/>
        </w:rPr>
      </w:pPr>
      <w:r w:rsidRPr="007F4B03">
        <w:rPr>
          <w:i/>
          <w:lang w:val="en-US" w:eastAsia="ja-JP"/>
        </w:rPr>
        <w:t>NOTE 1:</w:t>
      </w:r>
      <w:r w:rsidRPr="007F4B03">
        <w:rPr>
          <w:i/>
          <w:lang w:val="en-US" w:eastAsia="ja-JP"/>
        </w:rPr>
        <w:tab/>
      </w:r>
      <w:proofErr w:type="spellStart"/>
      <w:r w:rsidRPr="007F4B03">
        <w:rPr>
          <w:i/>
          <w:lang w:val="en-US" w:eastAsia="ja-JP"/>
        </w:rPr>
        <w:t>Sidelink</w:t>
      </w:r>
      <w:proofErr w:type="spellEnd"/>
      <w:r w:rsidRPr="007F4B03">
        <w:rPr>
          <w:i/>
          <w:lang w:val="en-US" w:eastAsia="ja-JP"/>
        </w:rPr>
        <w:t xml:space="preserve"> is not part of this objective</w:t>
      </w:r>
      <w:r w:rsidRPr="007F4B03">
        <w:rPr>
          <w:i/>
          <w:lang w:eastAsia="zh-CN"/>
        </w:rPr>
        <w:t>.</w:t>
      </w:r>
      <w:r>
        <w:rPr>
          <w:i/>
          <w:lang w:eastAsia="zh-CN"/>
        </w:rPr>
        <w:t>”</w:t>
      </w:r>
    </w:p>
    <w:p w14:paraId="1F7AECFC" w14:textId="51688F31" w:rsidR="004A4C41" w:rsidRDefault="00CB4A48" w:rsidP="00CB4A48">
      <w:pPr>
        <w:spacing w:beforeLines="50" w:before="120"/>
        <w:rPr>
          <w:lang w:val="en-GB"/>
        </w:rPr>
      </w:pPr>
      <w:r>
        <w:rPr>
          <w:rFonts w:hint="eastAsia"/>
          <w:lang w:val="en-GB"/>
        </w:rPr>
        <w:t>In this contribution</w:t>
      </w:r>
      <w:r w:rsidR="00006FF4">
        <w:rPr>
          <w:lang w:val="en-GB"/>
        </w:rPr>
        <w:t xml:space="preserve">, </w:t>
      </w:r>
      <w:r w:rsidR="00EF5C82">
        <w:rPr>
          <w:lang w:val="en-GB"/>
        </w:rPr>
        <w:t xml:space="preserve">the </w:t>
      </w:r>
      <w:r w:rsidR="00006FF4">
        <w:rPr>
          <w:lang w:val="en-GB"/>
        </w:rPr>
        <w:t>scenarios that needs to be considered in Release 17 for IIOT</w:t>
      </w:r>
      <w:r w:rsidR="00EF5C82">
        <w:rPr>
          <w:lang w:val="en-GB"/>
        </w:rPr>
        <w:t xml:space="preserve"> are </w:t>
      </w:r>
      <w:r w:rsidR="00EF5C82" w:rsidRPr="007D57B6">
        <w:rPr>
          <w:lang w:val="en-GB"/>
        </w:rPr>
        <w:t>proposed</w:t>
      </w:r>
      <w:r w:rsidR="007D57B6" w:rsidRPr="007D57B6">
        <w:rPr>
          <w:lang w:val="en-GB"/>
        </w:rPr>
        <w:t xml:space="preserve">. </w:t>
      </w:r>
      <w:r w:rsidR="00BE666C" w:rsidRPr="007D57B6">
        <w:rPr>
          <w:lang w:val="en-GB"/>
        </w:rPr>
        <w:t xml:space="preserve"> Notably,</w:t>
      </w:r>
      <w:r w:rsidR="00BE666C">
        <w:rPr>
          <w:lang w:val="en-GB"/>
        </w:rPr>
        <w:t xml:space="preserve"> </w:t>
      </w:r>
      <w:r w:rsidR="00EF5C82">
        <w:rPr>
          <w:lang w:val="en-GB"/>
        </w:rPr>
        <w:t>t</w:t>
      </w:r>
      <w:r w:rsidR="004A4C41">
        <w:rPr>
          <w:lang w:val="en-GB"/>
        </w:rPr>
        <w:t xml:space="preserve">he </w:t>
      </w:r>
      <w:r w:rsidR="00006FF4">
        <w:rPr>
          <w:lang w:val="en-GB"/>
        </w:rPr>
        <w:t xml:space="preserve">importance of the non-LOS characteristic </w:t>
      </w:r>
      <w:r w:rsidR="004A4C41">
        <w:rPr>
          <w:lang w:val="en-GB"/>
        </w:rPr>
        <w:t xml:space="preserve">that is especially prevalent in </w:t>
      </w:r>
      <w:r w:rsidR="00EF5C82">
        <w:rPr>
          <w:lang w:val="en-GB"/>
        </w:rPr>
        <w:t xml:space="preserve">indoor </w:t>
      </w:r>
      <w:r w:rsidR="004A4C41">
        <w:rPr>
          <w:lang w:val="en-GB"/>
        </w:rPr>
        <w:t xml:space="preserve">IIOT deployments </w:t>
      </w:r>
      <w:r w:rsidR="007D57B6">
        <w:rPr>
          <w:lang w:val="en-GB"/>
        </w:rPr>
        <w:t xml:space="preserve">is </w:t>
      </w:r>
      <w:r w:rsidR="00EF5C82">
        <w:rPr>
          <w:lang w:val="en-GB"/>
        </w:rPr>
        <w:t xml:space="preserve">highlighted. </w:t>
      </w:r>
    </w:p>
    <w:p w14:paraId="0AABC6BA" w14:textId="77777777" w:rsidR="004A4C41" w:rsidRDefault="004A4C41" w:rsidP="00CB4A48">
      <w:pPr>
        <w:spacing w:beforeLines="50" w:before="120"/>
        <w:rPr>
          <w:lang w:val="en-GB"/>
        </w:rPr>
      </w:pPr>
    </w:p>
    <w:p w14:paraId="35954F20" w14:textId="193F0A0A" w:rsidR="00816E9B" w:rsidRPr="00D74B92" w:rsidRDefault="00817C94" w:rsidP="00493C77">
      <w:pPr>
        <w:pStyle w:val="Heading1"/>
      </w:pPr>
      <w:r>
        <w:t xml:space="preserve">Discussions </w:t>
      </w:r>
      <w:r w:rsidR="00CB4A48">
        <w:t xml:space="preserve"> </w:t>
      </w:r>
    </w:p>
    <w:p w14:paraId="4EF45256" w14:textId="77777777" w:rsidR="00693658" w:rsidRDefault="00693658" w:rsidP="00693658">
      <w:pPr>
        <w:spacing w:beforeLines="50" w:before="120"/>
      </w:pPr>
      <w:bookmarkStart w:id="2" w:name="_Ref129681832"/>
      <w:r>
        <w:rPr>
          <w:lang w:val="en-GB"/>
        </w:rPr>
        <w:t>In the SID, the following requirements have been targeted t</w:t>
      </w:r>
      <w:r>
        <w:t xml:space="preserve">o address the higher accuracy location requirements resulting from new applications and industry verticals: </w:t>
      </w:r>
    </w:p>
    <w:p w14:paraId="0E07837D" w14:textId="77777777" w:rsidR="00693658" w:rsidRPr="0009679E" w:rsidRDefault="00693658" w:rsidP="00693658">
      <w:pPr>
        <w:pStyle w:val="ListParagraph"/>
        <w:numPr>
          <w:ilvl w:val="0"/>
          <w:numId w:val="7"/>
        </w:numPr>
        <w:spacing w:after="0"/>
      </w:pPr>
      <w:r w:rsidRPr="007D042F">
        <w:rPr>
          <w:rFonts w:ascii="Times New Roman" w:hAnsi="Times New Roman"/>
        </w:rPr>
        <w:t>For general commercial use cases (e.g., TS 22.261): sub-meter level position accuracy (&lt; 1 m)</w:t>
      </w:r>
    </w:p>
    <w:p w14:paraId="514C0882" w14:textId="77777777" w:rsidR="00693658" w:rsidRPr="0009679E" w:rsidRDefault="00693658" w:rsidP="00693658">
      <w:pPr>
        <w:pStyle w:val="ListParagraph"/>
        <w:numPr>
          <w:ilvl w:val="0"/>
          <w:numId w:val="7"/>
        </w:numPr>
        <w:spacing w:after="0"/>
      </w:pPr>
      <w:r w:rsidRPr="007D042F">
        <w:rPr>
          <w:rFonts w:ascii="Times New Roman" w:hAnsi="Times New Roman"/>
        </w:rPr>
        <w:t xml:space="preserve">For </w:t>
      </w:r>
      <w:proofErr w:type="spellStart"/>
      <w:r w:rsidRPr="007D042F">
        <w:rPr>
          <w:rFonts w:ascii="Times New Roman" w:hAnsi="Times New Roman"/>
        </w:rPr>
        <w:t>IIoT</w:t>
      </w:r>
      <w:proofErr w:type="spellEnd"/>
      <w:r w:rsidRPr="007D042F">
        <w:rPr>
          <w:rFonts w:ascii="Times New Roman" w:hAnsi="Times New Roman"/>
        </w:rPr>
        <w:t xml:space="preserve"> Use Cases (e.g., 22.804): position accuracy &lt; 0.2 m</w:t>
      </w:r>
    </w:p>
    <w:p w14:paraId="6CEF429C" w14:textId="77777777" w:rsidR="00693658" w:rsidRDefault="00693658" w:rsidP="00693658">
      <w:pPr>
        <w:spacing w:after="0"/>
      </w:pPr>
      <w:r>
        <w:t xml:space="preserve">The target latency requirement is &lt; 100 </w:t>
      </w:r>
      <w:proofErr w:type="spellStart"/>
      <w:r>
        <w:t>ms</w:t>
      </w:r>
      <w:proofErr w:type="spellEnd"/>
      <w:r>
        <w:t xml:space="preserve">; for some </w:t>
      </w:r>
      <w:proofErr w:type="spellStart"/>
      <w:r>
        <w:t>IIoT</w:t>
      </w:r>
      <w:proofErr w:type="spellEnd"/>
      <w:r>
        <w:t xml:space="preserve"> use cases, latency in the order of 10 </w:t>
      </w:r>
      <w:proofErr w:type="spellStart"/>
      <w:r>
        <w:t>ms</w:t>
      </w:r>
      <w:proofErr w:type="spellEnd"/>
      <w:r>
        <w:t xml:space="preserve"> is desired. </w:t>
      </w:r>
    </w:p>
    <w:p w14:paraId="31DB3D47" w14:textId="77777777" w:rsidR="00693658" w:rsidRDefault="00693658" w:rsidP="00693658">
      <w:pPr>
        <w:spacing w:after="0"/>
      </w:pPr>
    </w:p>
    <w:p w14:paraId="42CAA821" w14:textId="5B2D9FAD" w:rsidR="00693658" w:rsidRDefault="00693658" w:rsidP="00693658">
      <w:pPr>
        <w:spacing w:after="0"/>
        <w:rPr>
          <w:color w:val="000000"/>
        </w:rPr>
      </w:pPr>
      <w:r>
        <w:t xml:space="preserve">There is also ongoing email discussion prior to this meeting on adopting some or </w:t>
      </w:r>
      <w:proofErr w:type="gramStart"/>
      <w:r>
        <w:t>all of</w:t>
      </w:r>
      <w:proofErr w:type="gramEnd"/>
      <w:r>
        <w:t xml:space="preserve"> the eight IIOT scenarios as defined in TR 22.804, with each of them having </w:t>
      </w:r>
      <w:r w:rsidRPr="00FC5DAF">
        <w:rPr>
          <w:i/>
        </w:rPr>
        <w:t>different performance requirement</w:t>
      </w:r>
      <w:r>
        <w:rPr>
          <w:i/>
        </w:rPr>
        <w:t>s</w:t>
      </w:r>
      <w:r>
        <w:t xml:space="preserve"> in terms of horizontal accuracy, latency, and availability</w:t>
      </w:r>
      <w:r>
        <w:rPr>
          <w:color w:val="000000"/>
        </w:rPr>
        <w:t xml:space="preserve">. In our view, it may not be strictly needed to formally adopt a specific requirement from </w:t>
      </w:r>
      <w:r w:rsidR="00607685">
        <w:rPr>
          <w:color w:val="000000"/>
        </w:rPr>
        <w:t xml:space="preserve">TR </w:t>
      </w:r>
      <w:r>
        <w:rPr>
          <w:color w:val="000000"/>
        </w:rPr>
        <w:t>22.804</w:t>
      </w:r>
      <w:r w:rsidR="00607685">
        <w:rPr>
          <w:color w:val="000000"/>
        </w:rPr>
        <w:t xml:space="preserve"> for practical progress of this SI</w:t>
      </w:r>
      <w:r>
        <w:rPr>
          <w:color w:val="000000"/>
        </w:rPr>
        <w:t>. The</w:t>
      </w:r>
      <w:r w:rsidR="00607685">
        <w:rPr>
          <w:color w:val="000000"/>
        </w:rPr>
        <w:t xml:space="preserve">re will be </w:t>
      </w:r>
      <w:r>
        <w:rPr>
          <w:color w:val="000000"/>
        </w:rPr>
        <w:t xml:space="preserve">questions </w:t>
      </w:r>
      <w:r w:rsidR="00607685">
        <w:rPr>
          <w:color w:val="000000"/>
        </w:rPr>
        <w:t xml:space="preserve">on </w:t>
      </w:r>
      <w:r>
        <w:rPr>
          <w:color w:val="000000"/>
        </w:rPr>
        <w:t>h</w:t>
      </w:r>
      <w:r w:rsidRPr="0009679E">
        <w:rPr>
          <w:color w:val="000000"/>
        </w:rPr>
        <w:t xml:space="preserve">ow to deal with the numerous targeted requirements </w:t>
      </w:r>
      <w:r>
        <w:rPr>
          <w:color w:val="000000"/>
        </w:rPr>
        <w:t xml:space="preserve">that are meant for different deployments. In addition, the </w:t>
      </w:r>
      <w:r w:rsidR="00607685">
        <w:rPr>
          <w:color w:val="000000"/>
        </w:rPr>
        <w:t xml:space="preserve">potential enhancements </w:t>
      </w:r>
      <w:r>
        <w:rPr>
          <w:color w:val="000000"/>
        </w:rPr>
        <w:t>o</w:t>
      </w:r>
      <w:r w:rsidRPr="0009679E">
        <w:rPr>
          <w:color w:val="000000"/>
        </w:rPr>
        <w:t xml:space="preserve">utcome of </w:t>
      </w:r>
      <w:r w:rsidR="00607685">
        <w:rPr>
          <w:color w:val="000000"/>
        </w:rPr>
        <w:t xml:space="preserve">this </w:t>
      </w:r>
      <w:r w:rsidRPr="0009679E">
        <w:rPr>
          <w:color w:val="000000"/>
        </w:rPr>
        <w:t xml:space="preserve">SI </w:t>
      </w:r>
      <w:r w:rsidR="00607685">
        <w:rPr>
          <w:color w:val="000000"/>
        </w:rPr>
        <w:t>would be difficult to be decided in isolation w</w:t>
      </w:r>
      <w:r w:rsidR="00AA4A7A">
        <w:rPr>
          <w:color w:val="000000"/>
        </w:rPr>
        <w:t>.</w:t>
      </w:r>
      <w:r w:rsidR="00607685">
        <w:rPr>
          <w:color w:val="000000"/>
        </w:rPr>
        <w:t>r</w:t>
      </w:r>
      <w:r w:rsidR="00AA4A7A">
        <w:rPr>
          <w:color w:val="000000"/>
        </w:rPr>
        <w:t>.</w:t>
      </w:r>
      <w:r w:rsidR="00607685">
        <w:rPr>
          <w:color w:val="000000"/>
        </w:rPr>
        <w:t>t to the</w:t>
      </w:r>
      <w:r w:rsidRPr="0009679E">
        <w:rPr>
          <w:color w:val="000000"/>
        </w:rPr>
        <w:t xml:space="preserve"> </w:t>
      </w:r>
      <w:r w:rsidRPr="0009679E">
        <w:rPr>
          <w:color w:val="000000"/>
        </w:rPr>
        <w:lastRenderedPageBreak/>
        <w:t xml:space="preserve">requirements i.e. requirements </w:t>
      </w:r>
      <w:r w:rsidR="00607685">
        <w:rPr>
          <w:color w:val="000000"/>
        </w:rPr>
        <w:t xml:space="preserve">can be </w:t>
      </w:r>
      <w:r w:rsidRPr="0009679E">
        <w:rPr>
          <w:color w:val="000000"/>
        </w:rPr>
        <w:t>met with combined techniques</w:t>
      </w:r>
      <w:r w:rsidR="00607685">
        <w:rPr>
          <w:color w:val="000000"/>
        </w:rPr>
        <w:t xml:space="preserve"> taking into consideration the</w:t>
      </w:r>
      <w:r>
        <w:rPr>
          <w:color w:val="000000"/>
        </w:rPr>
        <w:t xml:space="preserve"> </w:t>
      </w:r>
      <w:r w:rsidRPr="0009679E">
        <w:rPr>
          <w:color w:val="000000"/>
        </w:rPr>
        <w:t xml:space="preserve">diverse set of </w:t>
      </w:r>
      <w:r>
        <w:rPr>
          <w:color w:val="000000"/>
        </w:rPr>
        <w:t xml:space="preserve">constraints either at the network or UE implementations. </w:t>
      </w:r>
      <w:r w:rsidRPr="00130BAC">
        <w:rPr>
          <w:color w:val="000000"/>
        </w:rPr>
        <w:t>Therefore, we support the Option 2 of the Rapporteur’s proposal on the targeted requirements for Rel-17</w:t>
      </w:r>
      <w:r w:rsidR="00FE0FCF">
        <w:rPr>
          <w:color w:val="000000"/>
        </w:rPr>
        <w:t xml:space="preserve"> with the goal that it would the unnecessary lengthy discussion time to achieve consensus on down-selection.  </w:t>
      </w:r>
    </w:p>
    <w:p w14:paraId="73A0E3EF" w14:textId="77777777" w:rsidR="00693658" w:rsidRDefault="00693658" w:rsidP="00693658">
      <w:pPr>
        <w:spacing w:after="0"/>
        <w:rPr>
          <w:color w:val="000000"/>
        </w:rPr>
      </w:pPr>
    </w:p>
    <w:p w14:paraId="7E5541E1" w14:textId="12C9F5EC" w:rsidR="00693658" w:rsidRPr="00163988" w:rsidRDefault="00693658" w:rsidP="00FE0FCF">
      <w:pPr>
        <w:spacing w:after="0"/>
        <w:rPr>
          <w:color w:val="000000"/>
        </w:rPr>
      </w:pPr>
      <w:r w:rsidRPr="007D042F">
        <w:rPr>
          <w:b/>
          <w:bCs/>
          <w:i/>
          <w:iCs/>
          <w:color w:val="000000"/>
        </w:rPr>
        <w:t>Observation 1</w:t>
      </w:r>
      <w:r>
        <w:rPr>
          <w:color w:val="000000"/>
        </w:rPr>
        <w:t xml:space="preserve">: </w:t>
      </w:r>
      <w:r w:rsidRPr="00163988">
        <w:rPr>
          <w:color w:val="000000"/>
        </w:rPr>
        <w:t>Support Option 2 from the Rapporteur’s summary</w:t>
      </w:r>
      <w:r w:rsidR="00FE0FCF">
        <w:rPr>
          <w:color w:val="000000"/>
        </w:rPr>
        <w:t xml:space="preserve">, to avoid </w:t>
      </w:r>
      <w:r w:rsidR="00FE0FCF">
        <w:rPr>
          <w:color w:val="000000"/>
        </w:rPr>
        <w:t>unnecessary lengthy discussion time to achieve consensus on down-selection</w:t>
      </w:r>
      <w:r w:rsidRPr="00163988">
        <w:rPr>
          <w:color w:val="000000"/>
        </w:rPr>
        <w:t>:</w:t>
      </w:r>
    </w:p>
    <w:p w14:paraId="27CD50E5" w14:textId="77777777" w:rsidR="00693658" w:rsidRPr="00FE0FCF" w:rsidRDefault="00693658" w:rsidP="00693658">
      <w:pPr>
        <w:pStyle w:val="ListParagraph"/>
        <w:numPr>
          <w:ilvl w:val="0"/>
          <w:numId w:val="8"/>
        </w:numPr>
        <w:spacing w:after="0" w:line="240" w:lineRule="auto"/>
        <w:contextualSpacing w:val="0"/>
        <w:rPr>
          <w:rFonts w:ascii="Times New Roman" w:hAnsi="Times New Roman"/>
          <w:i/>
          <w:iCs/>
        </w:rPr>
      </w:pPr>
      <w:r w:rsidRPr="00FE0FCF">
        <w:rPr>
          <w:rFonts w:ascii="Times New Roman" w:hAnsi="Times New Roman"/>
          <w:i/>
          <w:iCs/>
        </w:rPr>
        <w:t xml:space="preserve">Option 2: Define the target positioning requirements in Rel-17 with the consideration of the positioning performance defined in Table 8.1.7 in TR 22.804 (e.g., using the exemplary performance targets in the SID), but the target positioning requirements may not necessarily be associated with </w:t>
      </w:r>
      <w:proofErr w:type="gramStart"/>
      <w:r w:rsidRPr="00FE0FCF">
        <w:rPr>
          <w:rFonts w:ascii="Times New Roman" w:hAnsi="Times New Roman"/>
          <w:i/>
          <w:iCs/>
        </w:rPr>
        <w:t>particular IIOT</w:t>
      </w:r>
      <w:proofErr w:type="gramEnd"/>
      <w:r w:rsidRPr="00FE0FCF">
        <w:rPr>
          <w:rFonts w:ascii="Times New Roman" w:hAnsi="Times New Roman"/>
          <w:i/>
          <w:iCs/>
        </w:rPr>
        <w:t xml:space="preserve"> scenario(s).</w:t>
      </w:r>
    </w:p>
    <w:p w14:paraId="4BC333EA" w14:textId="03A53D32" w:rsidR="00EA43A6" w:rsidRPr="00A473B9" w:rsidRDefault="004A4C41" w:rsidP="00EA43A6">
      <w:pPr>
        <w:spacing w:beforeLines="50" w:before="120"/>
        <w:rPr>
          <w:lang w:eastAsia="zh-CN"/>
        </w:rPr>
      </w:pPr>
      <w:r>
        <w:rPr>
          <w:lang w:val="en-GB"/>
        </w:rPr>
        <w:t>Prior studies conducted in RAN</w:t>
      </w:r>
      <w:r w:rsidR="00EA43A6">
        <w:rPr>
          <w:lang w:val="en-GB"/>
        </w:rPr>
        <w:t>1</w:t>
      </w:r>
      <w:r>
        <w:rPr>
          <w:lang w:val="en-GB"/>
        </w:rPr>
        <w:t xml:space="preserve"> </w:t>
      </w:r>
      <w:r w:rsidR="00EA43A6">
        <w:rPr>
          <w:lang w:val="en-GB"/>
        </w:rPr>
        <w:t xml:space="preserve">(RP-182138) </w:t>
      </w:r>
      <w:r>
        <w:rPr>
          <w:lang w:val="en-GB"/>
        </w:rPr>
        <w:t xml:space="preserve">has already identified and </w:t>
      </w:r>
      <w:r w:rsidR="00EA43A6">
        <w:rPr>
          <w:lang w:val="en-GB"/>
        </w:rPr>
        <w:t>documen</w:t>
      </w:r>
      <w:r>
        <w:rPr>
          <w:lang w:val="en-GB"/>
        </w:rPr>
        <w:t>ted t</w:t>
      </w:r>
      <w:r w:rsidR="00EA43A6">
        <w:rPr>
          <w:lang w:val="en-GB"/>
        </w:rPr>
        <w:t xml:space="preserve">he </w:t>
      </w:r>
      <w:r w:rsidR="00EF5C82">
        <w:rPr>
          <w:lang w:val="en-GB"/>
        </w:rPr>
        <w:t xml:space="preserve">various </w:t>
      </w:r>
      <w:r w:rsidR="00EA43A6">
        <w:rPr>
          <w:lang w:val="en-GB"/>
        </w:rPr>
        <w:t>IIOT scenarios, and its channel and evaluation parameters. T</w:t>
      </w:r>
      <w:r w:rsidR="00EA43A6" w:rsidRPr="00A473B9">
        <w:rPr>
          <w:lang w:eastAsia="zh-CN"/>
        </w:rPr>
        <w:t xml:space="preserve">he following 5 </w:t>
      </w:r>
      <w:r w:rsidR="00EA43A6" w:rsidRPr="00A473B9">
        <w:t>Indoor Factory (</w:t>
      </w:r>
      <w:proofErr w:type="spellStart"/>
      <w:r w:rsidR="00EA43A6" w:rsidRPr="00A473B9">
        <w:t>InF</w:t>
      </w:r>
      <w:proofErr w:type="spellEnd"/>
      <w:r w:rsidR="00EA43A6" w:rsidRPr="00A473B9">
        <w:t xml:space="preserve">) </w:t>
      </w:r>
      <w:r w:rsidR="00EA43A6" w:rsidRPr="00A473B9">
        <w:rPr>
          <w:lang w:eastAsia="zh-CN"/>
        </w:rPr>
        <w:t>scenario</w:t>
      </w:r>
      <w:r w:rsidR="00EA43A6">
        <w:rPr>
          <w:lang w:eastAsia="zh-CN"/>
        </w:rPr>
        <w:t xml:space="preserve">s have been defined and </w:t>
      </w:r>
      <w:r w:rsidR="00EF5C82">
        <w:rPr>
          <w:lang w:eastAsia="zh-CN"/>
        </w:rPr>
        <w:t>described in</w:t>
      </w:r>
      <w:r w:rsidR="00EA43A6">
        <w:rPr>
          <w:lang w:eastAsia="zh-CN"/>
        </w:rPr>
        <w:t xml:space="preserve"> TR 38.901:</w:t>
      </w:r>
    </w:p>
    <w:p w14:paraId="1AAB6590" w14:textId="77777777" w:rsidR="00EA43A6" w:rsidRPr="00A473B9" w:rsidRDefault="00EA43A6" w:rsidP="00EA43A6">
      <w:pPr>
        <w:pStyle w:val="3GPPText"/>
        <w:numPr>
          <w:ilvl w:val="0"/>
          <w:numId w:val="5"/>
        </w:numPr>
        <w:spacing w:before="0" w:after="0"/>
        <w:rPr>
          <w:lang w:eastAsia="zh-CN"/>
        </w:rPr>
      </w:pPr>
      <w:proofErr w:type="spellStart"/>
      <w:r w:rsidRPr="00A473B9">
        <w:rPr>
          <w:b/>
          <w:lang w:eastAsia="zh-CN"/>
        </w:rPr>
        <w:t>InF</w:t>
      </w:r>
      <w:proofErr w:type="spellEnd"/>
      <w:r w:rsidRPr="00A473B9">
        <w:rPr>
          <w:b/>
          <w:lang w:eastAsia="zh-CN"/>
        </w:rPr>
        <w:t>-SL</w:t>
      </w:r>
      <w:r w:rsidRPr="00A473B9">
        <w:rPr>
          <w:lang w:eastAsia="zh-CN"/>
        </w:rPr>
        <w:tab/>
        <w:t>Indoor Factory with Sparse clutter and Low base station height (both Tx and Rx are below the average height of the clutter)</w:t>
      </w:r>
      <w:bookmarkStart w:id="3" w:name="_GoBack"/>
      <w:bookmarkEnd w:id="3"/>
    </w:p>
    <w:p w14:paraId="3C63F8B7" w14:textId="77777777" w:rsidR="00EA43A6" w:rsidRPr="00A473B9" w:rsidRDefault="00EA43A6" w:rsidP="00EA43A6">
      <w:pPr>
        <w:pStyle w:val="3GPPText"/>
        <w:numPr>
          <w:ilvl w:val="0"/>
          <w:numId w:val="5"/>
        </w:numPr>
        <w:spacing w:before="0" w:after="0"/>
        <w:rPr>
          <w:lang w:eastAsia="zh-CN"/>
        </w:rPr>
      </w:pPr>
      <w:proofErr w:type="spellStart"/>
      <w:r w:rsidRPr="00A473B9">
        <w:rPr>
          <w:b/>
          <w:lang w:eastAsia="zh-CN"/>
        </w:rPr>
        <w:t>InF</w:t>
      </w:r>
      <w:proofErr w:type="spellEnd"/>
      <w:r w:rsidRPr="00A473B9">
        <w:rPr>
          <w:b/>
          <w:lang w:eastAsia="zh-CN"/>
        </w:rPr>
        <w:t>-DL</w:t>
      </w:r>
      <w:r w:rsidRPr="00A473B9">
        <w:rPr>
          <w:lang w:eastAsia="zh-CN"/>
        </w:rPr>
        <w:tab/>
        <w:t>Indoor Factory with Dense clutter and Low base station height (both Tx and Rx are below the average height of the clutter)</w:t>
      </w:r>
    </w:p>
    <w:p w14:paraId="62494F2F" w14:textId="77777777" w:rsidR="00EA43A6" w:rsidRPr="00A473B9" w:rsidRDefault="00EA43A6" w:rsidP="00EA43A6">
      <w:pPr>
        <w:pStyle w:val="3GPPText"/>
        <w:numPr>
          <w:ilvl w:val="0"/>
          <w:numId w:val="5"/>
        </w:numPr>
        <w:spacing w:before="0" w:after="0"/>
        <w:rPr>
          <w:lang w:eastAsia="zh-CN"/>
        </w:rPr>
      </w:pPr>
      <w:proofErr w:type="spellStart"/>
      <w:r w:rsidRPr="00A473B9">
        <w:rPr>
          <w:b/>
          <w:lang w:eastAsia="zh-CN"/>
        </w:rPr>
        <w:t>InF</w:t>
      </w:r>
      <w:proofErr w:type="spellEnd"/>
      <w:r w:rsidRPr="00A473B9">
        <w:rPr>
          <w:b/>
          <w:lang w:eastAsia="zh-CN"/>
        </w:rPr>
        <w:t>-SH</w:t>
      </w:r>
      <w:r w:rsidRPr="00A473B9">
        <w:rPr>
          <w:lang w:eastAsia="zh-CN"/>
        </w:rPr>
        <w:tab/>
        <w:t>Indoor Factory with Sparse clutter and High base station height (Tx or Rx elevated above the clutter)</w:t>
      </w:r>
    </w:p>
    <w:p w14:paraId="316F9B96" w14:textId="77777777" w:rsidR="00EA43A6" w:rsidRPr="00A473B9" w:rsidRDefault="00EA43A6" w:rsidP="00EA43A6">
      <w:pPr>
        <w:pStyle w:val="3GPPText"/>
        <w:numPr>
          <w:ilvl w:val="0"/>
          <w:numId w:val="5"/>
        </w:numPr>
        <w:spacing w:before="0" w:after="0"/>
        <w:rPr>
          <w:lang w:eastAsia="zh-CN"/>
        </w:rPr>
      </w:pPr>
      <w:proofErr w:type="spellStart"/>
      <w:r w:rsidRPr="00A473B9">
        <w:rPr>
          <w:b/>
          <w:lang w:eastAsia="zh-CN"/>
        </w:rPr>
        <w:t>InF</w:t>
      </w:r>
      <w:proofErr w:type="spellEnd"/>
      <w:r w:rsidRPr="00A473B9">
        <w:rPr>
          <w:b/>
          <w:lang w:eastAsia="zh-CN"/>
        </w:rPr>
        <w:t>-DH</w:t>
      </w:r>
      <w:r w:rsidRPr="00A473B9">
        <w:rPr>
          <w:lang w:eastAsia="zh-CN"/>
        </w:rPr>
        <w:tab/>
        <w:t>Indoor Factory with Dense clutter and High base station height (Tx or Rx elevated above the clutter)</w:t>
      </w:r>
    </w:p>
    <w:p w14:paraId="21B09758" w14:textId="77777777" w:rsidR="00EA43A6" w:rsidRPr="00A473B9" w:rsidRDefault="00EA43A6" w:rsidP="00EA43A6">
      <w:pPr>
        <w:pStyle w:val="3GPPText"/>
        <w:numPr>
          <w:ilvl w:val="0"/>
          <w:numId w:val="5"/>
        </w:numPr>
        <w:spacing w:before="0" w:after="0"/>
        <w:rPr>
          <w:lang w:eastAsia="zh-CN"/>
        </w:rPr>
      </w:pPr>
      <w:proofErr w:type="spellStart"/>
      <w:r w:rsidRPr="00A473B9">
        <w:rPr>
          <w:b/>
          <w:lang w:eastAsia="zh-CN"/>
        </w:rPr>
        <w:t>InF</w:t>
      </w:r>
      <w:proofErr w:type="spellEnd"/>
      <w:r w:rsidRPr="00A473B9">
        <w:rPr>
          <w:b/>
          <w:lang w:eastAsia="zh-CN"/>
        </w:rPr>
        <w:t>-HH</w:t>
      </w:r>
      <w:r w:rsidRPr="00A473B9">
        <w:rPr>
          <w:lang w:eastAsia="zh-CN"/>
        </w:rPr>
        <w:tab/>
        <w:t>Indoor Factory with High Tx and High Rx (both elevated above the clutter)</w:t>
      </w:r>
    </w:p>
    <w:p w14:paraId="5DCBBEDD" w14:textId="0548C06C" w:rsidR="00EA43A6" w:rsidRDefault="00EA43A6" w:rsidP="00CB4A48">
      <w:pPr>
        <w:spacing w:beforeLines="50" w:before="120"/>
        <w:rPr>
          <w:lang w:val="en-GB"/>
        </w:rPr>
      </w:pPr>
      <w:r>
        <w:rPr>
          <w:lang w:val="en-GB"/>
        </w:rPr>
        <w:t xml:space="preserve">With the extensive studies that have been performed, RAN1 should adopt the results and outcome of the </w:t>
      </w:r>
      <w:r w:rsidR="00EF5C82">
        <w:rPr>
          <w:lang w:val="en-GB"/>
        </w:rPr>
        <w:t xml:space="preserve">study on </w:t>
      </w:r>
      <w:r>
        <w:rPr>
          <w:lang w:val="en-GB"/>
        </w:rPr>
        <w:t xml:space="preserve">Channel model for IIOT Scenarios </w:t>
      </w:r>
      <w:r w:rsidR="00EF5C82">
        <w:rPr>
          <w:lang w:val="en-GB"/>
        </w:rPr>
        <w:t xml:space="preserve">directly, where applicable, in our </w:t>
      </w:r>
      <w:r>
        <w:rPr>
          <w:lang w:val="en-GB"/>
        </w:rPr>
        <w:t xml:space="preserve">Positioning </w:t>
      </w:r>
      <w:r w:rsidR="00EF5C82">
        <w:rPr>
          <w:lang w:val="en-GB"/>
        </w:rPr>
        <w:t xml:space="preserve">enhancement </w:t>
      </w:r>
      <w:r>
        <w:rPr>
          <w:lang w:val="en-GB"/>
        </w:rPr>
        <w:t>stud</w:t>
      </w:r>
      <w:r w:rsidR="00EF5C82">
        <w:rPr>
          <w:lang w:val="en-GB"/>
        </w:rPr>
        <w:t>ies</w:t>
      </w:r>
      <w:r>
        <w:rPr>
          <w:lang w:val="en-GB"/>
        </w:rPr>
        <w:t>.</w:t>
      </w:r>
    </w:p>
    <w:p w14:paraId="6C10C051" w14:textId="57F260A7" w:rsidR="00AC02C9" w:rsidRDefault="00EA43A6" w:rsidP="00CB4A48">
      <w:pPr>
        <w:spacing w:beforeLines="50" w:before="120"/>
        <w:rPr>
          <w:lang w:val="en-GB"/>
        </w:rPr>
      </w:pPr>
      <w:r w:rsidRPr="00AC02C9">
        <w:rPr>
          <w:b/>
          <w:i/>
          <w:lang w:val="en-GB"/>
        </w:rPr>
        <w:t>Proposal 1:</w:t>
      </w:r>
      <w:r w:rsidR="00AC02C9">
        <w:rPr>
          <w:b/>
          <w:i/>
          <w:lang w:val="en-GB"/>
        </w:rPr>
        <w:t xml:space="preserve"> </w:t>
      </w:r>
      <w:r w:rsidR="00AC02C9">
        <w:rPr>
          <w:lang w:val="en-GB"/>
        </w:rPr>
        <w:t xml:space="preserve">The channel models, parameters and modelling techniques </w:t>
      </w:r>
      <w:r w:rsidR="00240F51">
        <w:rPr>
          <w:lang w:val="en-GB"/>
        </w:rPr>
        <w:t xml:space="preserve">as described for </w:t>
      </w:r>
      <w:r w:rsidR="00AC02C9">
        <w:rPr>
          <w:lang w:val="en-GB"/>
        </w:rPr>
        <w:t>IIOT scenarios in TR 38.901 are adopted for this Study Item.</w:t>
      </w:r>
    </w:p>
    <w:p w14:paraId="0D03E5F5" w14:textId="77777777" w:rsidR="009B23F7" w:rsidRDefault="009B23F7" w:rsidP="00CB4A48">
      <w:pPr>
        <w:overflowPunct w:val="0"/>
        <w:snapToGrid/>
        <w:spacing w:after="180"/>
        <w:ind w:right="-99"/>
        <w:jc w:val="left"/>
        <w:textAlignment w:val="baseline"/>
        <w:rPr>
          <w:lang w:eastAsia="ja-JP"/>
        </w:rPr>
      </w:pPr>
    </w:p>
    <w:p w14:paraId="6ED9CEFC" w14:textId="3FC8499A" w:rsidR="00446E80" w:rsidRDefault="00CB4A48" w:rsidP="00CB4A48">
      <w:pPr>
        <w:overflowPunct w:val="0"/>
        <w:snapToGrid/>
        <w:spacing w:after="180"/>
        <w:ind w:right="-99"/>
        <w:jc w:val="left"/>
        <w:textAlignment w:val="baseline"/>
        <w:rPr>
          <w:lang w:eastAsia="ja-JP"/>
        </w:rPr>
      </w:pPr>
      <w:r>
        <w:rPr>
          <w:lang w:eastAsia="ja-JP"/>
        </w:rPr>
        <w:t xml:space="preserve">The LOS and NLOS propagation between </w:t>
      </w:r>
      <w:r w:rsidRPr="007D57B6">
        <w:rPr>
          <w:lang w:eastAsia="ja-JP"/>
        </w:rPr>
        <w:t>U</w:t>
      </w:r>
      <w:r w:rsidR="007D57B6" w:rsidRPr="007D57B6">
        <w:rPr>
          <w:lang w:eastAsia="ja-JP"/>
        </w:rPr>
        <w:t>E</w:t>
      </w:r>
      <w:r w:rsidRPr="007D57B6">
        <w:rPr>
          <w:lang w:eastAsia="ja-JP"/>
        </w:rPr>
        <w:t xml:space="preserve"> and BS are important factors that influence the final precision of the position determination. </w:t>
      </w:r>
      <w:r w:rsidR="00AC02C9" w:rsidRPr="007D57B6">
        <w:rPr>
          <w:lang w:eastAsia="ja-JP"/>
        </w:rPr>
        <w:t xml:space="preserve">The NLOS propagation is characterized by an excess propagation delay with respect to the LOS propagation between </w:t>
      </w:r>
      <w:r w:rsidR="002A2124" w:rsidRPr="007D57B6">
        <w:rPr>
          <w:lang w:eastAsia="ja-JP"/>
        </w:rPr>
        <w:t xml:space="preserve">the </w:t>
      </w:r>
      <w:r w:rsidR="00AC02C9" w:rsidRPr="007D57B6">
        <w:rPr>
          <w:lang w:eastAsia="ja-JP"/>
        </w:rPr>
        <w:t>U</w:t>
      </w:r>
      <w:r w:rsidR="00F6077B" w:rsidRPr="007D57B6">
        <w:rPr>
          <w:lang w:eastAsia="ja-JP"/>
        </w:rPr>
        <w:t>E</w:t>
      </w:r>
      <w:r w:rsidR="00AC02C9" w:rsidRPr="007D57B6">
        <w:rPr>
          <w:lang w:eastAsia="ja-JP"/>
        </w:rPr>
        <w:t xml:space="preserve"> and </w:t>
      </w:r>
      <w:proofErr w:type="spellStart"/>
      <w:r w:rsidR="00F6077B" w:rsidRPr="007D57B6">
        <w:rPr>
          <w:lang w:eastAsia="ja-JP"/>
        </w:rPr>
        <w:t>gNB</w:t>
      </w:r>
      <w:proofErr w:type="spellEnd"/>
      <w:r w:rsidR="00AC02C9" w:rsidRPr="007D57B6">
        <w:rPr>
          <w:lang w:eastAsia="ja-JP"/>
        </w:rPr>
        <w:t xml:space="preserve">. These aspects have been </w:t>
      </w:r>
      <w:r w:rsidR="002A2124" w:rsidRPr="007D57B6">
        <w:rPr>
          <w:lang w:eastAsia="ja-JP"/>
        </w:rPr>
        <w:t>discussed extensive</w:t>
      </w:r>
      <w:r w:rsidR="007D57B6" w:rsidRPr="007D57B6">
        <w:rPr>
          <w:lang w:eastAsia="ja-JP"/>
        </w:rPr>
        <w:t>ly</w:t>
      </w:r>
      <w:r w:rsidR="002A2124" w:rsidRPr="007D57B6">
        <w:rPr>
          <w:lang w:eastAsia="ja-JP"/>
        </w:rPr>
        <w:t xml:space="preserve"> during the IIOT Channel Model</w:t>
      </w:r>
      <w:r w:rsidR="002A2124">
        <w:rPr>
          <w:lang w:eastAsia="ja-JP"/>
        </w:rPr>
        <w:t xml:space="preserve"> SI and described </w:t>
      </w:r>
      <w:r w:rsidR="00AC02C9">
        <w:rPr>
          <w:lang w:eastAsia="ja-JP"/>
        </w:rPr>
        <w:t xml:space="preserve">throughout </w:t>
      </w:r>
      <w:r w:rsidR="00EF5C82">
        <w:rPr>
          <w:lang w:eastAsia="ja-JP"/>
        </w:rPr>
        <w:t xml:space="preserve">the </w:t>
      </w:r>
      <w:r w:rsidR="00AC02C9">
        <w:rPr>
          <w:lang w:eastAsia="ja-JP"/>
        </w:rPr>
        <w:t>TR 38.901</w:t>
      </w:r>
      <w:r w:rsidR="00446E80">
        <w:rPr>
          <w:lang w:eastAsia="ja-JP"/>
        </w:rPr>
        <w:t xml:space="preserve">. </w:t>
      </w:r>
      <w:r w:rsidR="007D57B6">
        <w:rPr>
          <w:lang w:eastAsia="ja-JP"/>
        </w:rPr>
        <w:t>Numerous r</w:t>
      </w:r>
      <w:r w:rsidR="00446E80">
        <w:rPr>
          <w:lang w:eastAsia="ja-JP"/>
        </w:rPr>
        <w:t>eal</w:t>
      </w:r>
      <w:r w:rsidR="007D57B6">
        <w:rPr>
          <w:lang w:eastAsia="ja-JP"/>
        </w:rPr>
        <w:t>-</w:t>
      </w:r>
      <w:r w:rsidR="00446E80">
        <w:rPr>
          <w:lang w:eastAsia="ja-JP"/>
        </w:rPr>
        <w:t xml:space="preserve"> world measurements for industrial scenario</w:t>
      </w:r>
      <w:r w:rsidR="007D57B6">
        <w:rPr>
          <w:lang w:eastAsia="ja-JP"/>
        </w:rPr>
        <w:t>s</w:t>
      </w:r>
      <w:r w:rsidR="00446E80">
        <w:rPr>
          <w:lang w:eastAsia="ja-JP"/>
        </w:rPr>
        <w:t xml:space="preserve"> </w:t>
      </w:r>
      <w:r w:rsidR="00EF5C82">
        <w:rPr>
          <w:lang w:eastAsia="ja-JP"/>
        </w:rPr>
        <w:t xml:space="preserve">are </w:t>
      </w:r>
      <w:r w:rsidR="007D57B6">
        <w:rPr>
          <w:lang w:eastAsia="ja-JP"/>
        </w:rPr>
        <w:t xml:space="preserve">available in the literature </w:t>
      </w:r>
      <w:r w:rsidR="00EF5C82">
        <w:rPr>
          <w:lang w:eastAsia="ja-JP"/>
        </w:rPr>
        <w:t xml:space="preserve">and </w:t>
      </w:r>
      <w:r w:rsidR="002A2124">
        <w:rPr>
          <w:lang w:eastAsia="ja-JP"/>
        </w:rPr>
        <w:t>one such s</w:t>
      </w:r>
      <w:r w:rsidR="00EF5C82">
        <w:rPr>
          <w:lang w:eastAsia="ja-JP"/>
        </w:rPr>
        <w:t xml:space="preserve">tudy </w:t>
      </w:r>
      <w:r w:rsidR="00446E80">
        <w:rPr>
          <w:lang w:eastAsia="ja-JP"/>
        </w:rPr>
        <w:t xml:space="preserve">for </w:t>
      </w:r>
      <w:r w:rsidR="00EF5C82">
        <w:rPr>
          <w:lang w:eastAsia="ja-JP"/>
        </w:rPr>
        <w:t xml:space="preserve">the </w:t>
      </w:r>
      <w:r w:rsidR="00446E80">
        <w:rPr>
          <w:lang w:eastAsia="ja-JP"/>
        </w:rPr>
        <w:t xml:space="preserve">2-6 GHz </w:t>
      </w:r>
      <w:r w:rsidR="00EF5C82">
        <w:rPr>
          <w:lang w:eastAsia="ja-JP"/>
        </w:rPr>
        <w:t xml:space="preserve">can be found </w:t>
      </w:r>
      <w:r w:rsidR="00446E80">
        <w:rPr>
          <w:lang w:eastAsia="ja-JP"/>
        </w:rPr>
        <w:t>in [1]. The results showed an average 5ns delay difference between LOS and NLOS indoor first strongest paths, which would correspond to an additional propagation distance of 1.5m for NLOS with respect to LOS.</w:t>
      </w:r>
    </w:p>
    <w:p w14:paraId="3A58CEE8" w14:textId="1BE8C63D" w:rsidR="002A2124" w:rsidRDefault="00446E80" w:rsidP="00CB4A48">
      <w:pPr>
        <w:overflowPunct w:val="0"/>
        <w:snapToGrid/>
        <w:spacing w:after="180"/>
        <w:ind w:right="-99"/>
        <w:jc w:val="left"/>
        <w:textAlignment w:val="baseline"/>
        <w:rPr>
          <w:lang w:eastAsia="ja-JP"/>
        </w:rPr>
      </w:pPr>
      <w:r w:rsidRPr="005C0490">
        <w:rPr>
          <w:lang w:eastAsia="ja-JP"/>
        </w:rPr>
        <w:t>The</w:t>
      </w:r>
      <w:r w:rsidR="002A2124" w:rsidRPr="005C0490">
        <w:rPr>
          <w:lang w:eastAsia="ja-JP"/>
        </w:rPr>
        <w:t>se</w:t>
      </w:r>
      <w:r w:rsidRPr="005C0490">
        <w:rPr>
          <w:lang w:eastAsia="ja-JP"/>
        </w:rPr>
        <w:t xml:space="preserve"> excess propagation delay</w:t>
      </w:r>
      <w:r w:rsidR="002A2124" w:rsidRPr="005C0490">
        <w:rPr>
          <w:lang w:eastAsia="ja-JP"/>
        </w:rPr>
        <w:t>s</w:t>
      </w:r>
      <w:r w:rsidRPr="005C0490">
        <w:rPr>
          <w:lang w:eastAsia="ja-JP"/>
        </w:rPr>
        <w:t xml:space="preserve"> can lead to an overestimation of distance between the UT and BS</w:t>
      </w:r>
      <w:r w:rsidR="002A2124" w:rsidRPr="005C0490">
        <w:rPr>
          <w:lang w:eastAsia="ja-JP"/>
        </w:rPr>
        <w:t xml:space="preserve">. In a pre-dominantly LOS environment e.g. outdoor sparse area, these delays may not need to be modeled and the NLOS effects are considered in terms of the path loss only. However, when in a NLOS dominant environment such as indoor factory and when the time of arrival of the path is of great importance to the calculation of the </w:t>
      </w:r>
      <w:r w:rsidR="007D57B6">
        <w:rPr>
          <w:lang w:eastAsia="ja-JP"/>
        </w:rPr>
        <w:t>p</w:t>
      </w:r>
      <w:r w:rsidR="002A2124" w:rsidRPr="005C0490">
        <w:rPr>
          <w:lang w:eastAsia="ja-JP"/>
        </w:rPr>
        <w:t>ositioning of the receiver, the arrival time of the paths must be modeled correctly.</w:t>
      </w:r>
    </w:p>
    <w:p w14:paraId="49F7FA18" w14:textId="61EF0E10" w:rsidR="002A2124" w:rsidRDefault="002A2124" w:rsidP="002A2124">
      <w:pPr>
        <w:overflowPunct w:val="0"/>
        <w:snapToGrid/>
        <w:spacing w:after="180"/>
        <w:ind w:right="-99"/>
        <w:jc w:val="left"/>
        <w:textAlignment w:val="baseline"/>
        <w:rPr>
          <w:lang w:eastAsia="ja-JP"/>
        </w:rPr>
      </w:pPr>
      <w:r>
        <w:rPr>
          <w:lang w:eastAsia="ja-JP"/>
        </w:rPr>
        <w:t xml:space="preserve">Many of the above issues were known and studied during the Study Item of the IIOT channel model in Release 16 in RAN1. For example, TR 38.901 details the use of blockage models in Section 7.6.4.2 to model the </w:t>
      </w:r>
      <w:r w:rsidRPr="00147F39">
        <w:rPr>
          <w:lang w:eastAsia="ko-KR"/>
        </w:rPr>
        <w:t>human and vehicular blocking</w:t>
      </w:r>
      <w:r>
        <w:rPr>
          <w:lang w:eastAsia="ko-KR"/>
        </w:rPr>
        <w:t xml:space="preserve"> either through </w:t>
      </w:r>
      <w:r w:rsidRPr="00147F39">
        <w:rPr>
          <w:lang w:eastAsia="ko-KR"/>
        </w:rPr>
        <w:t xml:space="preserve">stochastic </w:t>
      </w:r>
      <w:r>
        <w:rPr>
          <w:lang w:eastAsia="ko-KR"/>
        </w:rPr>
        <w:t xml:space="preserve">or geometric </w:t>
      </w:r>
      <w:r w:rsidRPr="00147F39">
        <w:rPr>
          <w:rFonts w:hint="eastAsia"/>
          <w:lang w:eastAsia="ko-KR"/>
        </w:rPr>
        <w:t>method</w:t>
      </w:r>
      <w:r>
        <w:rPr>
          <w:lang w:eastAsia="ko-KR"/>
        </w:rPr>
        <w:t xml:space="preserve">, in Model A and B, respectively. </w:t>
      </w:r>
      <w:r>
        <w:rPr>
          <w:lang w:eastAsia="ja-JP"/>
        </w:rPr>
        <w:t xml:space="preserve">These models when incorporated into </w:t>
      </w:r>
      <w:r w:rsidRPr="007112F1">
        <w:rPr>
          <w:lang w:eastAsia="ja-JP"/>
        </w:rPr>
        <w:t xml:space="preserve">the channel model </w:t>
      </w:r>
      <w:r>
        <w:rPr>
          <w:lang w:eastAsia="ja-JP"/>
        </w:rPr>
        <w:t xml:space="preserve">facilitate methods </w:t>
      </w:r>
      <w:r w:rsidRPr="007112F1">
        <w:rPr>
          <w:lang w:eastAsia="ja-JP"/>
        </w:rPr>
        <w:t>to distinguish between the LOS and NLOS due to a blockage of the direct path (LOS). For instance</w:t>
      </w:r>
      <w:r>
        <w:rPr>
          <w:lang w:eastAsia="ja-JP"/>
        </w:rPr>
        <w:t>,</w:t>
      </w:r>
      <w:r w:rsidRPr="007112F1">
        <w:rPr>
          <w:lang w:eastAsia="ja-JP"/>
        </w:rPr>
        <w:t xml:space="preserve"> the Blockage Model B specifies the deterministic geometry of the blockage rectangular screens (screen dimensions and position) and use it to calculate the pathloss using the knife edge diffraction coefficients that are based on the deterministic locations of the blockage screens on the U</w:t>
      </w:r>
      <w:r>
        <w:rPr>
          <w:lang w:eastAsia="ja-JP"/>
        </w:rPr>
        <w:t>E</w:t>
      </w:r>
      <w:r w:rsidRPr="007112F1">
        <w:rPr>
          <w:lang w:eastAsia="ja-JP"/>
        </w:rPr>
        <w:t xml:space="preserve"> and </w:t>
      </w:r>
      <w:proofErr w:type="spellStart"/>
      <w:r>
        <w:rPr>
          <w:lang w:eastAsia="ja-JP"/>
        </w:rPr>
        <w:t>gNB</w:t>
      </w:r>
      <w:proofErr w:type="spellEnd"/>
      <w:r w:rsidRPr="007112F1">
        <w:rPr>
          <w:lang w:eastAsia="ja-JP"/>
        </w:rPr>
        <w:t xml:space="preserve"> propagation paths.  </w:t>
      </w:r>
    </w:p>
    <w:p w14:paraId="25B87B39" w14:textId="6BC8C03A" w:rsidR="009B23F7" w:rsidRDefault="009B23F7" w:rsidP="00CB4A48">
      <w:pPr>
        <w:overflowPunct w:val="0"/>
        <w:snapToGrid/>
        <w:spacing w:after="180"/>
        <w:ind w:right="-99"/>
        <w:jc w:val="left"/>
        <w:textAlignment w:val="baseline"/>
        <w:rPr>
          <w:lang w:eastAsia="ja-JP"/>
        </w:rPr>
      </w:pPr>
      <w:r>
        <w:rPr>
          <w:lang w:eastAsia="ja-JP"/>
        </w:rPr>
        <w:lastRenderedPageBreak/>
        <w:t>Alternatively, a</w:t>
      </w:r>
      <w:r w:rsidR="002A2124">
        <w:rPr>
          <w:lang w:eastAsia="ja-JP"/>
        </w:rPr>
        <w:t xml:space="preserve"> more efficient</w:t>
      </w:r>
      <w:r>
        <w:rPr>
          <w:lang w:eastAsia="ja-JP"/>
        </w:rPr>
        <w:t xml:space="preserve"> and preferred </w:t>
      </w:r>
      <w:r w:rsidR="002A2124">
        <w:rPr>
          <w:lang w:eastAsia="ja-JP"/>
        </w:rPr>
        <w:t xml:space="preserve">method is </w:t>
      </w:r>
      <w:r>
        <w:rPr>
          <w:lang w:eastAsia="ja-JP"/>
        </w:rPr>
        <w:t xml:space="preserve">described </w:t>
      </w:r>
      <w:r w:rsidR="002A2124">
        <w:rPr>
          <w:lang w:eastAsia="ja-JP"/>
        </w:rPr>
        <w:t xml:space="preserve">in Section 7.6.9 of TR38.901 where the </w:t>
      </w:r>
      <w:r>
        <w:rPr>
          <w:lang w:eastAsia="ja-JP"/>
        </w:rPr>
        <w:t xml:space="preserve">propagation time delay </w:t>
      </w:r>
      <w:r w:rsidR="00190AD6">
        <w:rPr>
          <w:lang w:eastAsia="ja-JP"/>
        </w:rPr>
        <w:t xml:space="preserve">of the </w:t>
      </w:r>
      <w:r>
        <w:rPr>
          <w:lang w:eastAsia="ja-JP"/>
        </w:rPr>
        <w:t>NLOS paths</w:t>
      </w:r>
      <w:r w:rsidR="00190AD6">
        <w:rPr>
          <w:lang w:eastAsia="ja-JP"/>
        </w:rPr>
        <w:t>,</w:t>
      </w:r>
      <w:r>
        <w:rPr>
          <w:lang w:eastAsia="ja-JP"/>
        </w:rPr>
        <w:t xml:space="preserve"> </w:t>
      </w:r>
      <m:oMath>
        <m:r>
          <m:rPr>
            <m:sty m:val="p"/>
          </m:rPr>
          <w:rPr>
            <w:rFonts w:ascii="Cambria Math" w:hAnsi="Cambria Math"/>
          </w:rPr>
          <m:t>Δ</m:t>
        </m:r>
        <m:r>
          <w:rPr>
            <w:rFonts w:ascii="Cambria Math" w:hAnsi="Cambria Math"/>
          </w:rPr>
          <m:t>τ</m:t>
        </m:r>
      </m:oMath>
      <w:r w:rsidR="00190AD6">
        <w:t xml:space="preserve">, </w:t>
      </w:r>
      <w:r w:rsidR="00190AD6" w:rsidRPr="00D5737E">
        <w:t xml:space="preserve">is </w:t>
      </w:r>
      <w:r w:rsidR="00190AD6">
        <w:t xml:space="preserve">modeled using </w:t>
      </w:r>
      <w:r w:rsidR="00190AD6" w:rsidRPr="00D5737E">
        <w:t>a lognormal distribution with parameters according to Table 7.6.9-1.</w:t>
      </w:r>
      <w:r w:rsidR="00190AD6">
        <w:t xml:space="preserve"> Parts of Section 7.6.9 are copied below:</w:t>
      </w:r>
    </w:p>
    <w:p w14:paraId="2650DDDC" w14:textId="77777777" w:rsidR="009B23F7" w:rsidRPr="00645B30" w:rsidRDefault="009B23F7" w:rsidP="00645B30">
      <w:pPr>
        <w:pStyle w:val="Heading3"/>
        <w:numPr>
          <w:ilvl w:val="0"/>
          <w:numId w:val="0"/>
        </w:numPr>
        <w:ind w:left="720"/>
        <w:rPr>
          <w:i/>
          <w:iCs/>
        </w:rPr>
      </w:pPr>
      <w:bookmarkStart w:id="4" w:name="_Toc20340143"/>
      <w:r w:rsidRPr="00645B30">
        <w:rPr>
          <w:i/>
          <w:iCs/>
        </w:rPr>
        <w:t>7.6.9</w:t>
      </w:r>
      <w:r w:rsidRPr="00645B30">
        <w:rPr>
          <w:i/>
          <w:iCs/>
        </w:rPr>
        <w:tab/>
        <w:t>Absolute time of arrival</w:t>
      </w:r>
      <w:bookmarkEnd w:id="4"/>
    </w:p>
    <w:p w14:paraId="075C1119" w14:textId="72667223" w:rsidR="009B23F7" w:rsidRPr="00645B30" w:rsidRDefault="00190AD6" w:rsidP="009B23F7">
      <w:pPr>
        <w:rPr>
          <w:i/>
          <w:iCs/>
        </w:rPr>
      </w:pPr>
      <w:r w:rsidRPr="00645B30">
        <w:rPr>
          <w:i/>
          <w:iCs/>
        </w:rPr>
        <w:t>..</w:t>
      </w:r>
      <w:r w:rsidR="009B23F7" w:rsidRPr="00645B30">
        <w:rPr>
          <w:i/>
          <w:iCs/>
        </w:rPr>
        <w:t xml:space="preserve">. </w:t>
      </w:r>
      <m:oMath>
        <m:r>
          <w:rPr>
            <w:rFonts w:ascii="Cambria Math" w:hAnsi="Cambria Math"/>
          </w:rPr>
          <m:t>Δτ</m:t>
        </m:r>
      </m:oMath>
      <w:r w:rsidR="009B23F7" w:rsidRPr="00645B30">
        <w:rPr>
          <w:i/>
          <w:iCs/>
        </w:rPr>
        <w:t xml:space="preserve"> is generated from a lognormal distribution with parameters according to Table 7.6.9-1. </w:t>
      </w:r>
      <m:oMath>
        <m:r>
          <w:rPr>
            <w:rFonts w:ascii="Cambria Math" w:hAnsi="Cambria Math"/>
          </w:rPr>
          <m:t>Δτ</m:t>
        </m:r>
      </m:oMath>
      <w:r w:rsidR="009B23F7" w:rsidRPr="00645B30">
        <w:rPr>
          <w:i/>
          <w:iCs/>
        </w:rPr>
        <w:t xml:space="preserve"> is generated independently for links between the same UT and different BS sites. </w:t>
      </w:r>
      <w:r w:rsidR="009B23F7" w:rsidRPr="00645B30">
        <w:rPr>
          <w:i/>
          <w:iCs/>
          <w:lang w:eastAsia="ko-KR"/>
        </w:rPr>
        <w:t xml:space="preserve">The excess delay in NLOS, </w:t>
      </w:r>
      <w:r w:rsidR="009B23F7" w:rsidRPr="00645B30">
        <w:rPr>
          <w:rFonts w:ascii="Symbol" w:hAnsi="Symbol" w:cs="Times"/>
          <w:i/>
          <w:iCs/>
        </w:rPr>
        <w:t></w:t>
      </w:r>
      <w:r w:rsidR="009B23F7" w:rsidRPr="00645B30">
        <w:rPr>
          <w:rFonts w:ascii="Symbol" w:hAnsi="Symbol" w:cs="Times"/>
          <w:i/>
          <w:iCs/>
        </w:rPr>
        <w:t></w:t>
      </w:r>
      <w:r w:rsidR="009B23F7" w:rsidRPr="00645B30">
        <w:rPr>
          <w:i/>
          <w:iCs/>
          <w:lang w:eastAsia="ko-KR"/>
        </w:rPr>
        <w:t xml:space="preserve">, should further be upper bounded by </w:t>
      </w:r>
      <m:oMath>
        <m:r>
          <w:rPr>
            <w:rFonts w:ascii="Cambria Math" w:hAnsi="Cambria Math"/>
          </w:rPr>
          <m:t>2L/c</m:t>
        </m:r>
      </m:oMath>
      <w:r w:rsidR="009B23F7" w:rsidRPr="00645B30">
        <w:rPr>
          <w:i/>
          <w:iCs/>
        </w:rPr>
        <w:t xml:space="preserve">, where </w:t>
      </w:r>
      <m:oMath>
        <m:r>
          <w:rPr>
            <w:rFonts w:ascii="Cambria Math" w:hAnsi="Cambria Math"/>
          </w:rPr>
          <m:t>L</m:t>
        </m:r>
      </m:oMath>
      <w:r w:rsidR="009B23F7" w:rsidRPr="00645B30">
        <w:rPr>
          <w:i/>
          <w:iCs/>
        </w:rPr>
        <w:t xml:space="preserve"> is the largest dimension of the factory hall, i.e. </w:t>
      </w:r>
      <m:oMath>
        <m:r>
          <w:rPr>
            <w:rFonts w:ascii="Cambria Math" w:hAnsi="Cambria Math"/>
          </w:rPr>
          <m:t>L</m:t>
        </m:r>
      </m:oMath>
      <w:r w:rsidR="009B23F7" w:rsidRPr="00645B30">
        <w:rPr>
          <w:i/>
          <w:iCs/>
        </w:rPr>
        <w:t xml:space="preserve"> = </w:t>
      </w:r>
      <w:proofErr w:type="gramStart"/>
      <w:r w:rsidR="009B23F7" w:rsidRPr="00645B30">
        <w:rPr>
          <w:i/>
          <w:iCs/>
        </w:rPr>
        <w:t>max(</w:t>
      </w:r>
      <w:proofErr w:type="gramEnd"/>
      <w:r w:rsidR="009B23F7" w:rsidRPr="00645B30">
        <w:rPr>
          <w:i/>
          <w:iCs/>
        </w:rPr>
        <w:t>length, width, height).</w:t>
      </w:r>
    </w:p>
    <w:p w14:paraId="7208AD31" w14:textId="5E473312" w:rsidR="009B23F7" w:rsidRPr="00645B30" w:rsidRDefault="009B23F7" w:rsidP="009B23F7">
      <w:pPr>
        <w:pStyle w:val="EQ"/>
        <w:rPr>
          <w:i/>
          <w:iCs/>
        </w:rPr>
      </w:pPr>
      <w:r w:rsidRPr="00645B30">
        <w:rPr>
          <w:i/>
          <w:iCs/>
        </w:rPr>
        <w:tab/>
      </w:r>
      <m:oMath>
        <m:sSubSup>
          <m:sSubSupPr>
            <m:ctrlPr>
              <w:rPr>
                <w:rFonts w:ascii="Cambria Math" w:hAnsi="Cambria Math"/>
                <w:i/>
                <w:iCs/>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iCs/>
              </w:rPr>
            </m:ctrlPr>
          </m:dPr>
          <m:e>
            <m:r>
              <w:rPr>
                <w:rFonts w:ascii="Cambria Math" w:hAnsi="Cambria Math"/>
              </w:rPr>
              <m:t>τ,t</m:t>
            </m:r>
          </m:e>
        </m:d>
        <m:r>
          <w:rPr>
            <w:rFonts w:ascii="Cambria Math" w:hAnsi="Cambria Math"/>
          </w:rPr>
          <m:t>=</m:t>
        </m:r>
        <m:nary>
          <m:naryPr>
            <m:chr m:val="∑"/>
            <m:limLoc m:val="undOvr"/>
            <m:ctrlPr>
              <w:rPr>
                <w:rFonts w:ascii="Cambria Math" w:hAnsi="Cambria Math"/>
                <w:i/>
                <w:iCs/>
              </w:rPr>
            </m:ctrlPr>
          </m:naryPr>
          <m:sub>
            <m:r>
              <w:rPr>
                <w:rFonts w:ascii="Cambria Math" w:hAnsi="Cambria Math"/>
              </w:rPr>
              <m:t>n=1</m:t>
            </m:r>
          </m:sub>
          <m:sup>
            <m:r>
              <w:rPr>
                <w:rFonts w:ascii="Cambria Math" w:hAnsi="Cambria Math"/>
              </w:rPr>
              <m:t>2</m:t>
            </m:r>
          </m:sup>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3</m:t>
                </m:r>
              </m:sup>
              <m:e>
                <m:nary>
                  <m:naryPr>
                    <m:chr m:val="∑"/>
                    <m:limLoc m:val="undOvr"/>
                    <m:supHide m:val="1"/>
                    <m:ctrlPr>
                      <w:rPr>
                        <w:rFonts w:ascii="Cambria Math" w:hAnsi="Cambria Math"/>
                        <w:i/>
                        <w:iCs/>
                      </w:rPr>
                    </m:ctrlPr>
                  </m:naryPr>
                  <m:sub>
                    <m:r>
                      <w:rPr>
                        <w:rFonts w:ascii="Cambria Math" w:hAnsi="Cambria Math"/>
                      </w:rPr>
                      <m:t>m∈</m:t>
                    </m:r>
                    <m:sSub>
                      <m:sSubPr>
                        <m:ctrlPr>
                          <w:rPr>
                            <w:rFonts w:ascii="Cambria Math" w:hAnsi="Cambria Math"/>
                            <w:i/>
                            <w:iCs/>
                          </w:rPr>
                        </m:ctrlPr>
                      </m:sSubPr>
                      <m:e>
                        <m:r>
                          <w:rPr>
                            <w:rFonts w:ascii="Cambria Math" w:hAnsi="Cambria Math"/>
                          </w:rPr>
                          <m:t>R</m:t>
                        </m:r>
                      </m:e>
                      <m:sub>
                        <m:r>
                          <w:rPr>
                            <w:rFonts w:ascii="Cambria Math" w:hAnsi="Cambria Math"/>
                          </w:rPr>
                          <m:t>i</m:t>
                        </m:r>
                      </m:sub>
                    </m:sSub>
                  </m:sub>
                  <m:sup/>
                  <m:e>
                    <m:sSubSup>
                      <m:sSubSupPr>
                        <m:ctrlPr>
                          <w:rPr>
                            <w:rFonts w:ascii="Cambria Math" w:hAnsi="Cambria Math"/>
                            <w:i/>
                            <w:iCs/>
                          </w:rPr>
                        </m:ctrlPr>
                      </m:sSubSupPr>
                      <m:e>
                        <m:r>
                          <w:rPr>
                            <w:rFonts w:ascii="Cambria Math" w:hAnsi="Cambria Math"/>
                          </w:rPr>
                          <m:t>H</m:t>
                        </m:r>
                      </m:e>
                      <m:sub>
                        <m:r>
                          <w:rPr>
                            <w:rFonts w:ascii="Cambria Math" w:hAnsi="Cambria Math"/>
                          </w:rPr>
                          <m:t>u,s,n,m</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n,i</m:t>
                            </m:r>
                          </m:sub>
                        </m:sSub>
                        <m: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num>
                          <m:den>
                            <m:r>
                              <w:rPr>
                                <w:rFonts w:ascii="Cambria Math" w:hAnsi="Cambria Math"/>
                              </w:rPr>
                              <m:t>c</m:t>
                            </m:r>
                          </m:den>
                        </m:f>
                        <m:r>
                          <w:rPr>
                            <w:rFonts w:ascii="Cambria Math" w:hAnsi="Cambria Math"/>
                          </w:rPr>
                          <m:t>-Δτ</m:t>
                        </m:r>
                      </m:e>
                    </m:d>
                  </m:e>
                </m:nary>
              </m:e>
            </m:nary>
          </m:e>
        </m:nary>
        <m:r>
          <w:rPr>
            <w:rFonts w:ascii="Cambria Math" w:hAnsi="Cambria Math"/>
          </w:rPr>
          <m:t>+</m:t>
        </m:r>
        <m:nary>
          <m:naryPr>
            <m:chr m:val="∑"/>
            <m:limLoc m:val="undOvr"/>
            <m:ctrlPr>
              <w:rPr>
                <w:rFonts w:ascii="Cambria Math" w:hAnsi="Cambria Math"/>
                <w:i/>
                <w:iCs/>
              </w:rPr>
            </m:ctrlPr>
          </m:naryPr>
          <m:sub>
            <m:r>
              <w:rPr>
                <w:rFonts w:ascii="Cambria Math" w:hAnsi="Cambria Math"/>
              </w:rPr>
              <m:t>n=3</m:t>
            </m:r>
          </m:sub>
          <m:sup>
            <m:r>
              <w:rPr>
                <w:rFonts w:ascii="Cambria Math" w:hAnsi="Cambria Math"/>
              </w:rPr>
              <m:t>N</m:t>
            </m:r>
          </m:sup>
          <m:e>
            <m:sSubSup>
              <m:sSubSupPr>
                <m:ctrlPr>
                  <w:rPr>
                    <w:rFonts w:ascii="Cambria Math" w:hAnsi="Cambria Math"/>
                    <w:i/>
                    <w:iCs/>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n</m:t>
                    </m:r>
                  </m:sub>
                </m:sSub>
                <m: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num>
                  <m:den>
                    <m:r>
                      <w:rPr>
                        <w:rFonts w:ascii="Cambria Math" w:hAnsi="Cambria Math"/>
                      </w:rPr>
                      <m:t>c</m:t>
                    </m:r>
                  </m:den>
                </m:f>
                <m:r>
                  <w:rPr>
                    <w:rFonts w:ascii="Cambria Math" w:hAnsi="Cambria Math"/>
                  </w:rPr>
                  <m:t>-Δτ</m:t>
                </m:r>
              </m:e>
            </m:d>
          </m:e>
        </m:nary>
      </m:oMath>
      <w:r w:rsidRPr="00645B30">
        <w:rPr>
          <w:i/>
          <w:iCs/>
        </w:rPr>
        <w:tab/>
        <w:t>(7.6-43)</w:t>
      </w:r>
    </w:p>
    <w:p w14:paraId="51E92B15" w14:textId="32151EAE" w:rsidR="009B23F7" w:rsidRPr="00645B30" w:rsidRDefault="009B23F7" w:rsidP="009B23F7">
      <w:pPr>
        <w:pStyle w:val="EQ"/>
        <w:rPr>
          <w:i/>
          <w:iCs/>
          <w:u w:val="single"/>
          <w:lang w:eastAsia="ko-KR"/>
        </w:rPr>
      </w:pPr>
      <w:r w:rsidRPr="00645B30">
        <w:rPr>
          <w:i/>
          <w:iCs/>
        </w:rPr>
        <w:tab/>
      </w:r>
      <m:oMath>
        <m:sSubSup>
          <m:sSubSupPr>
            <m:ctrlPr>
              <w:rPr>
                <w:rFonts w:ascii="Cambria Math" w:hAnsi="Cambria Math"/>
                <w:i/>
                <w:iCs/>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iCs/>
              </w:rPr>
            </m:ctrlPr>
          </m:dPr>
          <m:e>
            <m:r>
              <w:rPr>
                <w:rFonts w:ascii="Cambria Math" w:hAnsi="Cambria Math"/>
              </w:rPr>
              <m:t>τ,t</m:t>
            </m:r>
          </m:e>
        </m:d>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iCs/>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iCs/>
              </w:rPr>
            </m:ctrlPr>
          </m:dPr>
          <m:e>
            <m:r>
              <w:rPr>
                <w:rFonts w:ascii="Cambria Math" w:hAnsi="Cambria Math"/>
              </w:rPr>
              <m:t>τ,t</m:t>
            </m:r>
          </m:e>
        </m:d>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R</m:t>
                    </m:r>
                  </m:sub>
                </m:sSub>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iCs/>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iCs/>
                    <w:noProof w:val="0"/>
                  </w:rPr>
                </m:ctrlPr>
              </m:fPr>
              <m:num>
                <m:sSub>
                  <m:sSubPr>
                    <m:ctrlPr>
                      <w:rPr>
                        <w:rFonts w:ascii="Cambria Math" w:hAnsi="Cambria Math"/>
                        <w:i/>
                        <w:iCs/>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645B30">
        <w:rPr>
          <w:rFonts w:hint="eastAsia"/>
          <w:i/>
          <w:iCs/>
          <w:lang w:eastAsia="ko-KR"/>
        </w:rPr>
        <w:t>.</w:t>
      </w:r>
      <w:r w:rsidRPr="00645B30">
        <w:rPr>
          <w:i/>
          <w:iCs/>
          <w:lang w:eastAsia="ko-KR"/>
        </w:rPr>
        <w:tab/>
      </w:r>
      <w:r w:rsidRPr="00645B30">
        <w:rPr>
          <w:i/>
          <w:iCs/>
        </w:rPr>
        <w:t>(7.6-44)</w:t>
      </w:r>
    </w:p>
    <w:p w14:paraId="7926AF40" w14:textId="77777777" w:rsidR="009B23F7" w:rsidRPr="00645B30" w:rsidRDefault="009B23F7" w:rsidP="009B23F7">
      <w:pPr>
        <w:pStyle w:val="TH"/>
        <w:rPr>
          <w:i/>
          <w:iCs/>
          <w:lang w:eastAsia="ko-KR"/>
        </w:rPr>
      </w:pPr>
      <w:r w:rsidRPr="00645B30">
        <w:rPr>
          <w:i/>
          <w:iCs/>
        </w:rPr>
        <w:t>Table 7.</w:t>
      </w:r>
      <w:r w:rsidRPr="00645B30">
        <w:rPr>
          <w:i/>
          <w:iCs/>
          <w:lang w:eastAsia="ko-KR"/>
        </w:rPr>
        <w:t>6.9</w:t>
      </w:r>
      <w:r w:rsidRPr="00645B30">
        <w:rPr>
          <w:i/>
          <w:iCs/>
        </w:rPr>
        <w:t>-</w:t>
      </w:r>
      <w:r w:rsidRPr="00645B30">
        <w:rPr>
          <w:rFonts w:hint="eastAsia"/>
          <w:i/>
          <w:iCs/>
          <w:lang w:eastAsia="ko-KR"/>
        </w:rPr>
        <w:t>1</w:t>
      </w:r>
      <w:r w:rsidRPr="00645B30">
        <w:rPr>
          <w:i/>
          <w:iCs/>
        </w:rPr>
        <w:t>: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1401"/>
        <w:gridCol w:w="2798"/>
        <w:gridCol w:w="2798"/>
      </w:tblGrid>
      <w:tr w:rsidR="009B23F7" w:rsidRPr="00645B30" w14:paraId="06E73D1B" w14:textId="77777777" w:rsidTr="007D042F">
        <w:trPr>
          <w:jc w:val="center"/>
        </w:trPr>
        <w:tc>
          <w:tcPr>
            <w:tcW w:w="0" w:type="auto"/>
            <w:gridSpan w:val="2"/>
            <w:shd w:val="clear" w:color="auto" w:fill="E0E0E0"/>
            <w:vAlign w:val="center"/>
          </w:tcPr>
          <w:p w14:paraId="5C1E164C" w14:textId="77777777" w:rsidR="009B23F7" w:rsidRPr="00645B30" w:rsidRDefault="009B23F7" w:rsidP="007D042F">
            <w:pPr>
              <w:pStyle w:val="TAH"/>
              <w:rPr>
                <w:i/>
                <w:iCs/>
                <w:lang w:eastAsia="ko-KR"/>
              </w:rPr>
            </w:pPr>
            <w:r w:rsidRPr="00645B30">
              <w:rPr>
                <w:rFonts w:hint="eastAsia"/>
                <w:i/>
                <w:iCs/>
                <w:lang w:eastAsia="ko-KR"/>
              </w:rPr>
              <w:t>Scenarios</w:t>
            </w:r>
          </w:p>
        </w:tc>
        <w:tc>
          <w:tcPr>
            <w:tcW w:w="3095" w:type="dxa"/>
            <w:shd w:val="clear" w:color="auto" w:fill="E0E0E0"/>
            <w:vAlign w:val="center"/>
          </w:tcPr>
          <w:p w14:paraId="094A38C1" w14:textId="77777777" w:rsidR="009B23F7" w:rsidRPr="00645B30" w:rsidRDefault="009B23F7" w:rsidP="007D042F">
            <w:pPr>
              <w:pStyle w:val="TAH"/>
              <w:rPr>
                <w:i/>
                <w:iCs/>
                <w:lang w:eastAsia="ko-KR"/>
              </w:rPr>
            </w:pPr>
            <w:proofErr w:type="spellStart"/>
            <w:r w:rsidRPr="00645B30">
              <w:rPr>
                <w:i/>
                <w:iCs/>
              </w:rPr>
              <w:t>InF</w:t>
            </w:r>
            <w:proofErr w:type="spellEnd"/>
            <w:r w:rsidRPr="00645B30">
              <w:rPr>
                <w:i/>
                <w:iCs/>
              </w:rPr>
              <w:t xml:space="preserve">-SL, </w:t>
            </w:r>
            <w:proofErr w:type="spellStart"/>
            <w:r w:rsidRPr="00645B30">
              <w:rPr>
                <w:i/>
                <w:iCs/>
              </w:rPr>
              <w:t>InF</w:t>
            </w:r>
            <w:proofErr w:type="spellEnd"/>
            <w:r w:rsidRPr="00645B30">
              <w:rPr>
                <w:i/>
                <w:iCs/>
              </w:rPr>
              <w:t>-DL</w:t>
            </w:r>
          </w:p>
        </w:tc>
        <w:tc>
          <w:tcPr>
            <w:tcW w:w="3095" w:type="dxa"/>
            <w:shd w:val="clear" w:color="auto" w:fill="E0E0E0"/>
            <w:vAlign w:val="center"/>
          </w:tcPr>
          <w:p w14:paraId="7F70011A" w14:textId="77777777" w:rsidR="009B23F7" w:rsidRPr="00645B30" w:rsidRDefault="009B23F7" w:rsidP="007D042F">
            <w:pPr>
              <w:pStyle w:val="TAH"/>
              <w:rPr>
                <w:i/>
                <w:iCs/>
                <w:lang w:eastAsia="ko-KR"/>
              </w:rPr>
            </w:pPr>
            <w:proofErr w:type="spellStart"/>
            <w:r w:rsidRPr="00645B30">
              <w:rPr>
                <w:i/>
                <w:iCs/>
              </w:rPr>
              <w:t>InF</w:t>
            </w:r>
            <w:proofErr w:type="spellEnd"/>
            <w:r w:rsidRPr="00645B30">
              <w:rPr>
                <w:i/>
                <w:iCs/>
              </w:rPr>
              <w:t xml:space="preserve">-SH, </w:t>
            </w:r>
            <w:proofErr w:type="spellStart"/>
            <w:r w:rsidRPr="00645B30">
              <w:rPr>
                <w:i/>
                <w:iCs/>
              </w:rPr>
              <w:t>InF</w:t>
            </w:r>
            <w:proofErr w:type="spellEnd"/>
            <w:r w:rsidRPr="00645B30">
              <w:rPr>
                <w:i/>
                <w:iCs/>
              </w:rPr>
              <w:t>-DH</w:t>
            </w:r>
          </w:p>
        </w:tc>
      </w:tr>
      <w:tr w:rsidR="009B23F7" w:rsidRPr="00645B30" w14:paraId="224C10FB" w14:textId="77777777" w:rsidTr="007D042F">
        <w:trPr>
          <w:jc w:val="center"/>
        </w:trPr>
        <w:tc>
          <w:tcPr>
            <w:tcW w:w="2122" w:type="dxa"/>
            <w:vMerge w:val="restart"/>
            <w:vAlign w:val="center"/>
          </w:tcPr>
          <w:p w14:paraId="701FF59E" w14:textId="647FE3CF" w:rsidR="009B23F7" w:rsidRPr="00645B30" w:rsidRDefault="00190AD6" w:rsidP="007D042F">
            <w:pPr>
              <w:pStyle w:val="TAC"/>
              <w:rPr>
                <w:i/>
                <w:iCs/>
              </w:rPr>
            </w:pPr>
            <m:oMathPara>
              <m:oMath>
                <m:r>
                  <w:rPr>
                    <w:rFonts w:ascii="Cambria Math" w:hAnsi="Cambria Math"/>
                  </w:rPr>
                  <m:t>lgΔτ=</m:t>
                </m:r>
                <m:sSub>
                  <m:sSubPr>
                    <m:ctrlPr>
                      <w:rPr>
                        <w:rFonts w:ascii="Cambria Math" w:hAnsi="Cambria Math"/>
                        <w:i/>
                        <w:iCs/>
                      </w:rPr>
                    </m:ctrlPr>
                  </m:sSubPr>
                  <m:e>
                    <m:r>
                      <w:rPr>
                        <w:rFonts w:ascii="Cambria Math" w:hAnsi="Cambria Math"/>
                      </w:rPr>
                      <m:t>log</m:t>
                    </m:r>
                  </m:e>
                  <m:sub>
                    <m:r>
                      <w:rPr>
                        <w:rFonts w:ascii="Cambria Math" w:hAnsi="Cambria Math"/>
                      </w:rPr>
                      <m:t>10</m:t>
                    </m:r>
                  </m:sub>
                </m:sSub>
                <m:d>
                  <m:dPr>
                    <m:ctrlPr>
                      <w:rPr>
                        <w:rFonts w:ascii="Cambria Math" w:hAnsi="Cambria Math"/>
                        <w:i/>
                        <w:iCs/>
                      </w:rPr>
                    </m:ctrlPr>
                  </m:dPr>
                  <m:e>
                    <m:f>
                      <m:fPr>
                        <m:type m:val="lin"/>
                        <m:ctrlPr>
                          <w:rPr>
                            <w:rFonts w:ascii="Cambria Math" w:hAnsi="Cambria Math"/>
                            <w:i/>
                            <w:iCs/>
                          </w:rPr>
                        </m:ctrlPr>
                      </m:fPr>
                      <m:num>
                        <m:r>
                          <w:rPr>
                            <w:rFonts w:ascii="Cambria Math" w:hAnsi="Cambria Math"/>
                          </w:rPr>
                          <m:t>Δτ</m:t>
                        </m:r>
                      </m:num>
                      <m:den>
                        <m:r>
                          <w:rPr>
                            <w:rFonts w:ascii="Cambria Math" w:hAnsi="Cambria Math"/>
                          </w:rPr>
                          <m:t>1s</m:t>
                        </m:r>
                      </m:den>
                    </m:f>
                  </m:e>
                </m:d>
              </m:oMath>
            </m:oMathPara>
          </w:p>
        </w:tc>
        <w:tc>
          <w:tcPr>
            <w:tcW w:w="1319" w:type="dxa"/>
            <w:vAlign w:val="center"/>
          </w:tcPr>
          <w:p w14:paraId="151EB32D" w14:textId="12C9134F" w:rsidR="009B23F7" w:rsidRPr="00645B30" w:rsidRDefault="007856E5" w:rsidP="007D042F">
            <w:pPr>
              <w:pStyle w:val="TAC"/>
              <w:rPr>
                <w:i/>
                <w:iCs/>
              </w:rPr>
            </w:pPr>
            <m:oMathPara>
              <m:oMath>
                <m:sSub>
                  <m:sSubPr>
                    <m:ctrlPr>
                      <w:rPr>
                        <w:rFonts w:ascii="Cambria Math" w:hAnsi="Cambria Math"/>
                        <w:i/>
                        <w:iCs/>
                      </w:rPr>
                    </m:ctrlPr>
                  </m:sSubPr>
                  <m:e>
                    <m:r>
                      <w:rPr>
                        <w:rFonts w:ascii="Cambria Math" w:hAnsi="Cambria Math"/>
                      </w:rPr>
                      <m:t>μ</m:t>
                    </m:r>
                  </m:e>
                  <m:sub>
                    <m:r>
                      <w:rPr>
                        <w:rFonts w:ascii="Cambria Math" w:hAnsi="Cambria Math"/>
                      </w:rPr>
                      <m:t>lgΔτ</m:t>
                    </m:r>
                  </m:sub>
                </m:sSub>
              </m:oMath>
            </m:oMathPara>
          </w:p>
        </w:tc>
        <w:tc>
          <w:tcPr>
            <w:tcW w:w="3095" w:type="dxa"/>
            <w:vAlign w:val="center"/>
          </w:tcPr>
          <w:p w14:paraId="55CC73BA" w14:textId="77777777" w:rsidR="009B23F7" w:rsidRPr="00645B30" w:rsidRDefault="009B23F7" w:rsidP="007D042F">
            <w:pPr>
              <w:pStyle w:val="TAC"/>
              <w:rPr>
                <w:i/>
                <w:iCs/>
                <w:lang w:eastAsia="ko-KR"/>
              </w:rPr>
            </w:pPr>
            <w:r w:rsidRPr="00645B30">
              <w:rPr>
                <w:i/>
                <w:iCs/>
                <w:lang w:eastAsia="ko-KR"/>
              </w:rPr>
              <w:t>-7.5</w:t>
            </w:r>
          </w:p>
        </w:tc>
        <w:tc>
          <w:tcPr>
            <w:tcW w:w="3095" w:type="dxa"/>
            <w:vAlign w:val="center"/>
          </w:tcPr>
          <w:p w14:paraId="1F80911F" w14:textId="77777777" w:rsidR="009B23F7" w:rsidRPr="00645B30" w:rsidRDefault="009B23F7" w:rsidP="007D042F">
            <w:pPr>
              <w:pStyle w:val="TAC"/>
              <w:rPr>
                <w:i/>
                <w:iCs/>
              </w:rPr>
            </w:pPr>
            <w:r w:rsidRPr="00645B30">
              <w:rPr>
                <w:i/>
                <w:iCs/>
              </w:rPr>
              <w:t>-7.5</w:t>
            </w:r>
          </w:p>
        </w:tc>
      </w:tr>
      <w:tr w:rsidR="009B23F7" w:rsidRPr="00645B30" w14:paraId="415B04C3" w14:textId="77777777" w:rsidTr="007D042F">
        <w:trPr>
          <w:jc w:val="center"/>
        </w:trPr>
        <w:tc>
          <w:tcPr>
            <w:tcW w:w="2122" w:type="dxa"/>
            <w:vMerge/>
            <w:vAlign w:val="center"/>
          </w:tcPr>
          <w:p w14:paraId="5B3421EF" w14:textId="77777777" w:rsidR="009B23F7" w:rsidRPr="00645B30" w:rsidRDefault="009B23F7" w:rsidP="007D042F">
            <w:pPr>
              <w:pStyle w:val="TAC"/>
              <w:rPr>
                <w:i/>
                <w:iCs/>
              </w:rPr>
            </w:pPr>
          </w:p>
        </w:tc>
        <w:tc>
          <w:tcPr>
            <w:tcW w:w="1319" w:type="dxa"/>
            <w:vAlign w:val="center"/>
          </w:tcPr>
          <w:p w14:paraId="7A06A2DD" w14:textId="1AA509E3" w:rsidR="009B23F7" w:rsidRPr="00645B30" w:rsidRDefault="007856E5" w:rsidP="007D042F">
            <w:pPr>
              <w:pStyle w:val="TAC"/>
              <w:rPr>
                <w:i/>
                <w:iCs/>
              </w:rPr>
            </w:pPr>
            <m:oMathPara>
              <m:oMath>
                <m:sSub>
                  <m:sSubPr>
                    <m:ctrlPr>
                      <w:rPr>
                        <w:rFonts w:ascii="Cambria Math" w:hAnsi="Cambria Math"/>
                        <w:i/>
                        <w:iCs/>
                      </w:rPr>
                    </m:ctrlPr>
                  </m:sSubPr>
                  <m:e>
                    <m:r>
                      <w:rPr>
                        <w:rFonts w:ascii="Cambria Math" w:hAnsi="Cambria Math"/>
                      </w:rPr>
                      <m:t>σ</m:t>
                    </m:r>
                  </m:e>
                  <m:sub>
                    <m:r>
                      <w:rPr>
                        <w:rFonts w:ascii="Cambria Math" w:hAnsi="Cambria Math"/>
                      </w:rPr>
                      <m:t>lgΔτ</m:t>
                    </m:r>
                  </m:sub>
                </m:sSub>
              </m:oMath>
            </m:oMathPara>
          </w:p>
        </w:tc>
        <w:tc>
          <w:tcPr>
            <w:tcW w:w="3095" w:type="dxa"/>
            <w:shd w:val="clear" w:color="auto" w:fill="auto"/>
            <w:vAlign w:val="center"/>
          </w:tcPr>
          <w:p w14:paraId="6BA2FEB4" w14:textId="77777777" w:rsidR="009B23F7" w:rsidRPr="00645B30" w:rsidRDefault="009B23F7" w:rsidP="007D042F">
            <w:pPr>
              <w:pStyle w:val="TAC"/>
              <w:rPr>
                <w:i/>
                <w:iCs/>
                <w:lang w:eastAsia="ko-KR"/>
              </w:rPr>
            </w:pPr>
            <w:r w:rsidRPr="00645B30">
              <w:rPr>
                <w:i/>
                <w:iCs/>
                <w:lang w:eastAsia="ko-KR"/>
              </w:rPr>
              <w:t>0.4</w:t>
            </w:r>
          </w:p>
        </w:tc>
        <w:tc>
          <w:tcPr>
            <w:tcW w:w="3095" w:type="dxa"/>
            <w:shd w:val="clear" w:color="auto" w:fill="auto"/>
            <w:vAlign w:val="center"/>
          </w:tcPr>
          <w:p w14:paraId="67123A7F" w14:textId="77777777" w:rsidR="009B23F7" w:rsidRPr="00645B30" w:rsidRDefault="009B23F7" w:rsidP="007D042F">
            <w:pPr>
              <w:pStyle w:val="TAC"/>
              <w:rPr>
                <w:i/>
                <w:iCs/>
                <w:lang w:eastAsia="ko-KR"/>
              </w:rPr>
            </w:pPr>
            <w:r w:rsidRPr="00645B30">
              <w:rPr>
                <w:i/>
                <w:iCs/>
                <w:lang w:eastAsia="ko-KR"/>
              </w:rPr>
              <w:t>0.4</w:t>
            </w:r>
          </w:p>
        </w:tc>
      </w:tr>
      <w:tr w:rsidR="009B23F7" w:rsidRPr="00645B30" w14:paraId="4CBB8674" w14:textId="77777777" w:rsidTr="007D042F">
        <w:trPr>
          <w:jc w:val="center"/>
        </w:trPr>
        <w:tc>
          <w:tcPr>
            <w:tcW w:w="0" w:type="auto"/>
            <w:gridSpan w:val="2"/>
            <w:vAlign w:val="center"/>
          </w:tcPr>
          <w:p w14:paraId="5BD27286" w14:textId="77777777" w:rsidR="009B23F7" w:rsidRPr="00645B30" w:rsidRDefault="009B23F7" w:rsidP="007D042F">
            <w:pPr>
              <w:pStyle w:val="TAC"/>
              <w:rPr>
                <w:i/>
                <w:iCs/>
              </w:rPr>
            </w:pPr>
            <w:r w:rsidRPr="00645B30">
              <w:rPr>
                <w:i/>
                <w:iCs/>
              </w:rPr>
              <w:t>Correlation distance in the horizontal plane [m]</w:t>
            </w:r>
          </w:p>
        </w:tc>
        <w:tc>
          <w:tcPr>
            <w:tcW w:w="3095" w:type="dxa"/>
          </w:tcPr>
          <w:p w14:paraId="338055AC" w14:textId="77777777" w:rsidR="009B23F7" w:rsidRPr="00645B30" w:rsidRDefault="009B23F7" w:rsidP="007D042F">
            <w:pPr>
              <w:pStyle w:val="TAC"/>
              <w:rPr>
                <w:i/>
                <w:iCs/>
              </w:rPr>
            </w:pPr>
            <w:r w:rsidRPr="00645B30">
              <w:rPr>
                <w:i/>
                <w:iCs/>
                <w:lang w:eastAsia="ko-KR"/>
              </w:rPr>
              <w:t>6</w:t>
            </w:r>
          </w:p>
        </w:tc>
        <w:tc>
          <w:tcPr>
            <w:tcW w:w="3095" w:type="dxa"/>
          </w:tcPr>
          <w:p w14:paraId="5D637CE7" w14:textId="77777777" w:rsidR="009B23F7" w:rsidRPr="00645B30" w:rsidRDefault="009B23F7" w:rsidP="007D042F">
            <w:pPr>
              <w:pStyle w:val="TAC"/>
              <w:rPr>
                <w:i/>
                <w:iCs/>
              </w:rPr>
            </w:pPr>
            <w:r w:rsidRPr="00645B30">
              <w:rPr>
                <w:i/>
                <w:iCs/>
                <w:lang w:eastAsia="ko-KR"/>
              </w:rPr>
              <w:t>11</w:t>
            </w:r>
          </w:p>
        </w:tc>
      </w:tr>
    </w:tbl>
    <w:p w14:paraId="67AE571D" w14:textId="77777777" w:rsidR="009B23F7" w:rsidRPr="00645B30" w:rsidRDefault="009B23F7" w:rsidP="00CB4A48">
      <w:pPr>
        <w:overflowPunct w:val="0"/>
        <w:snapToGrid/>
        <w:spacing w:after="180"/>
        <w:ind w:right="-99"/>
        <w:jc w:val="left"/>
        <w:textAlignment w:val="baseline"/>
        <w:rPr>
          <w:i/>
          <w:iCs/>
          <w:lang w:eastAsia="ja-JP"/>
        </w:rPr>
      </w:pPr>
    </w:p>
    <w:p w14:paraId="22A7D52E" w14:textId="7E89B312" w:rsidR="00693658" w:rsidRDefault="001A585A" w:rsidP="00645B30">
      <w:pPr>
        <w:overflowPunct w:val="0"/>
        <w:snapToGrid/>
        <w:spacing w:after="180"/>
        <w:ind w:right="-99"/>
        <w:jc w:val="left"/>
        <w:textAlignment w:val="baseline"/>
        <w:rPr>
          <w:lang w:eastAsia="zh-CN"/>
        </w:rPr>
      </w:pPr>
      <w:r>
        <w:rPr>
          <w:lang w:eastAsia="ja-JP"/>
        </w:rPr>
        <w:t xml:space="preserve">Hence, </w:t>
      </w:r>
      <m:oMath>
        <m:r>
          <m:rPr>
            <m:sty m:val="p"/>
          </m:rPr>
          <w:rPr>
            <w:rFonts w:ascii="Cambria Math" w:hAnsi="Cambria Math"/>
          </w:rPr>
          <m:t>Δ</m:t>
        </m:r>
        <m:r>
          <w:rPr>
            <w:rFonts w:ascii="Cambria Math" w:hAnsi="Cambria Math"/>
          </w:rPr>
          <m:t>τ</m:t>
        </m:r>
      </m:oMath>
      <w:r w:rsidR="00190AD6" w:rsidRPr="00D5737E">
        <w:t xml:space="preserve"> </w:t>
      </w:r>
      <w:r>
        <w:t xml:space="preserve">models </w:t>
      </w:r>
      <w:r w:rsidR="00190AD6">
        <w:t xml:space="preserve">the </w:t>
      </w:r>
      <w:r w:rsidR="00190AD6">
        <w:rPr>
          <w:lang w:eastAsia="ja-JP"/>
        </w:rPr>
        <w:t xml:space="preserve">incurred </w:t>
      </w:r>
      <w:r w:rsidR="00CB4A48">
        <w:rPr>
          <w:lang w:eastAsia="ja-JP"/>
        </w:rPr>
        <w:t xml:space="preserve">mean positive bias in the time of arrival </w:t>
      </w:r>
      <w:r w:rsidR="00693658">
        <w:rPr>
          <w:lang w:eastAsia="ja-JP"/>
        </w:rPr>
        <w:t xml:space="preserve">that </w:t>
      </w:r>
      <w:r w:rsidR="00CB4A48">
        <w:rPr>
          <w:lang w:eastAsia="ja-JP"/>
        </w:rPr>
        <w:t xml:space="preserve">occurs </w:t>
      </w:r>
      <w:r>
        <w:rPr>
          <w:lang w:eastAsia="ja-JP"/>
        </w:rPr>
        <w:t xml:space="preserve">for the </w:t>
      </w:r>
      <w:r w:rsidR="00CB4A48">
        <w:rPr>
          <w:lang w:eastAsia="ja-JP"/>
        </w:rPr>
        <w:t xml:space="preserve">NLOS TOA </w:t>
      </w:r>
      <w:r>
        <w:rPr>
          <w:lang w:eastAsia="ja-JP"/>
        </w:rPr>
        <w:t xml:space="preserve">due to the additional reflections </w:t>
      </w:r>
      <w:r w:rsidR="002E09B2">
        <w:rPr>
          <w:lang w:eastAsia="ja-JP"/>
        </w:rPr>
        <w:t xml:space="preserve">that cause the longer </w:t>
      </w:r>
      <w:r w:rsidR="00CB4A48">
        <w:rPr>
          <w:lang w:eastAsia="ja-JP"/>
        </w:rPr>
        <w:t>propagation</w:t>
      </w:r>
      <w:r w:rsidR="002E09B2">
        <w:rPr>
          <w:lang w:eastAsia="ja-JP"/>
        </w:rPr>
        <w:t xml:space="preserve"> delay</w:t>
      </w:r>
      <w:r w:rsidR="00240F51">
        <w:rPr>
          <w:lang w:eastAsia="ja-JP"/>
        </w:rPr>
        <w:t xml:space="preserve">. </w:t>
      </w:r>
      <w:r w:rsidR="002E09B2">
        <w:rPr>
          <w:lang w:eastAsia="ja-JP"/>
        </w:rPr>
        <w:t xml:space="preserve">Without </w:t>
      </w:r>
      <m:oMath>
        <m:r>
          <m:rPr>
            <m:sty m:val="p"/>
          </m:rPr>
          <w:rPr>
            <w:rFonts w:ascii="Cambria Math" w:hAnsi="Cambria Math"/>
          </w:rPr>
          <m:t>Δ</m:t>
        </m:r>
        <m:r>
          <w:rPr>
            <w:rFonts w:ascii="Cambria Math" w:hAnsi="Cambria Math"/>
          </w:rPr>
          <m:t>τ</m:t>
        </m:r>
      </m:oMath>
      <w:r w:rsidR="002E09B2" w:rsidRPr="00D5737E">
        <w:t xml:space="preserve"> </w:t>
      </w:r>
      <w:r w:rsidR="002E09B2">
        <w:t>and l</w:t>
      </w:r>
      <w:r w:rsidR="00190AD6">
        <w:rPr>
          <w:lang w:eastAsia="ja-JP"/>
        </w:rPr>
        <w:t xml:space="preserve">acking a ray tracing approach where NLOS </w:t>
      </w:r>
      <w:r w:rsidR="002E09B2">
        <w:rPr>
          <w:lang w:eastAsia="ja-JP"/>
        </w:rPr>
        <w:t xml:space="preserve">propagation </w:t>
      </w:r>
      <w:r w:rsidR="00190AD6">
        <w:rPr>
          <w:lang w:eastAsia="ja-JP"/>
        </w:rPr>
        <w:t xml:space="preserve">paths are correctly modeled, </w:t>
      </w:r>
      <w:r w:rsidR="002E09B2">
        <w:rPr>
          <w:lang w:eastAsia="ja-JP"/>
        </w:rPr>
        <w:t>t</w:t>
      </w:r>
      <w:r w:rsidR="00190AD6">
        <w:rPr>
          <w:lang w:eastAsia="ja-JP"/>
        </w:rPr>
        <w:t xml:space="preserve">here </w:t>
      </w:r>
      <w:r w:rsidR="002E09B2">
        <w:rPr>
          <w:lang w:eastAsia="ja-JP"/>
        </w:rPr>
        <w:t>would be no</w:t>
      </w:r>
      <w:r w:rsidR="00CB4A48">
        <w:rPr>
          <w:lang w:eastAsia="ja-JP"/>
        </w:rPr>
        <w:t xml:space="preserve"> di</w:t>
      </w:r>
      <w:r w:rsidR="002E09B2">
        <w:rPr>
          <w:lang w:eastAsia="ja-JP"/>
        </w:rPr>
        <w:t xml:space="preserve">fferentiation among the received paths i.e. all received paths can be considered as </w:t>
      </w:r>
      <w:r w:rsidR="00CB4A48">
        <w:rPr>
          <w:lang w:eastAsia="ja-JP"/>
        </w:rPr>
        <w:t xml:space="preserve">LOS </w:t>
      </w:r>
      <w:r w:rsidR="00190AD6">
        <w:rPr>
          <w:lang w:eastAsia="ja-JP"/>
        </w:rPr>
        <w:t>paths in the positioning estimation</w:t>
      </w:r>
      <w:r w:rsidR="002E09B2">
        <w:rPr>
          <w:lang w:eastAsia="ja-JP"/>
        </w:rPr>
        <w:t>.</w:t>
      </w:r>
      <w:r w:rsidR="000E1391">
        <w:rPr>
          <w:lang w:eastAsia="ja-JP"/>
        </w:rPr>
        <w:t xml:space="preserve"> In other words, the </w:t>
      </w:r>
      <w:r w:rsidR="00693658">
        <w:rPr>
          <w:lang w:eastAsia="zh-CN"/>
        </w:rPr>
        <w:t>first peak of the positioning detection correlation does not necessary corresponds to the line of sight (</w:t>
      </w:r>
      <w:proofErr w:type="spellStart"/>
      <w:r w:rsidR="00693658">
        <w:rPr>
          <w:lang w:eastAsia="zh-CN"/>
        </w:rPr>
        <w:t>LoS</w:t>
      </w:r>
      <w:proofErr w:type="spellEnd"/>
      <w:r w:rsidR="00693658">
        <w:rPr>
          <w:lang w:eastAsia="zh-CN"/>
        </w:rPr>
        <w:t xml:space="preserve">) propagation between the transmitter and receiver when there is no direct path between transmitter and receiver (non-line of sight NLOS). In the case of NLOS the distance calculated based on TOA overestimates the real distance between transmitter and receiver, which leads to errors in positioning determination. </w:t>
      </w:r>
    </w:p>
    <w:p w14:paraId="17B9C343" w14:textId="736FF19A" w:rsidR="00693658" w:rsidRDefault="00693658" w:rsidP="00507BB1">
      <w:pPr>
        <w:rPr>
          <w:strike/>
          <w:lang w:eastAsia="ja-JP"/>
        </w:rPr>
      </w:pPr>
      <w:r>
        <w:rPr>
          <w:lang w:eastAsia="ja-JP"/>
        </w:rPr>
        <w:t xml:space="preserve">The performance impact of NLOS on the positioning accuracy was studied initially during the Release 16 Study on Positioning [2]. However, indoor IIOT was not the prioritized scenario for Release 16 and the lack of time prevented further evaluation and study on it.  </w:t>
      </w:r>
    </w:p>
    <w:p w14:paraId="4A838583" w14:textId="6B94919A" w:rsidR="00240F51" w:rsidRDefault="00507BB1" w:rsidP="00CB4A48">
      <w:pPr>
        <w:overflowPunct w:val="0"/>
        <w:snapToGrid/>
        <w:spacing w:after="180"/>
        <w:ind w:right="-99"/>
        <w:jc w:val="left"/>
        <w:textAlignment w:val="baseline"/>
        <w:rPr>
          <w:lang w:eastAsia="ja-JP"/>
        </w:rPr>
      </w:pPr>
      <w:r>
        <w:rPr>
          <w:lang w:eastAsia="ja-JP"/>
        </w:rPr>
        <w:t>In our view, i</w:t>
      </w:r>
      <w:r w:rsidR="00240F51">
        <w:rPr>
          <w:lang w:eastAsia="ja-JP"/>
        </w:rPr>
        <w:t xml:space="preserve">t is important that these studies </w:t>
      </w:r>
      <w:r>
        <w:rPr>
          <w:lang w:eastAsia="ja-JP"/>
        </w:rPr>
        <w:t xml:space="preserve">that were </w:t>
      </w:r>
      <w:r w:rsidR="00693658">
        <w:rPr>
          <w:lang w:eastAsia="ja-JP"/>
        </w:rPr>
        <w:t xml:space="preserve">performed and completed in 2019 </w:t>
      </w:r>
      <w:r>
        <w:rPr>
          <w:lang w:eastAsia="ja-JP"/>
        </w:rPr>
        <w:t xml:space="preserve">during the IIOT channel model </w:t>
      </w:r>
      <w:r w:rsidR="00693658">
        <w:rPr>
          <w:lang w:eastAsia="ja-JP"/>
        </w:rPr>
        <w:t xml:space="preserve">SI and its </w:t>
      </w:r>
      <w:r>
        <w:rPr>
          <w:lang w:eastAsia="ja-JP"/>
        </w:rPr>
        <w:t xml:space="preserve">extensive consideration of NLOS scenarios be adopted in our study of Positioning enhancements in Release 17. </w:t>
      </w:r>
    </w:p>
    <w:p w14:paraId="522BC7F4" w14:textId="35CA7A2B" w:rsidR="007C655F" w:rsidRDefault="00AC02C9" w:rsidP="00AC02C9">
      <w:pPr>
        <w:overflowPunct w:val="0"/>
        <w:snapToGrid/>
        <w:spacing w:after="180"/>
        <w:ind w:right="-99"/>
        <w:jc w:val="left"/>
        <w:textAlignment w:val="baseline"/>
        <w:rPr>
          <w:lang w:eastAsia="ja-JP"/>
        </w:rPr>
      </w:pPr>
      <w:r w:rsidRPr="00AC02C9">
        <w:rPr>
          <w:b/>
          <w:i/>
          <w:lang w:eastAsia="ja-JP"/>
        </w:rPr>
        <w:t xml:space="preserve">Proposal </w:t>
      </w:r>
      <w:r w:rsidRPr="006F2725">
        <w:rPr>
          <w:b/>
          <w:i/>
          <w:lang w:eastAsia="ja-JP"/>
        </w:rPr>
        <w:t>2:</w:t>
      </w:r>
      <w:r w:rsidR="00E04B59" w:rsidRPr="00645B30">
        <w:rPr>
          <w:lang w:eastAsia="ja-JP"/>
        </w:rPr>
        <w:t xml:space="preserve"> </w:t>
      </w:r>
      <w:r w:rsidR="007C655F" w:rsidRPr="006F2725">
        <w:rPr>
          <w:lang w:eastAsia="ja-JP"/>
        </w:rPr>
        <w:t xml:space="preserve"> </w:t>
      </w:r>
      <w:r w:rsidR="00507BB1" w:rsidRPr="006F2725">
        <w:rPr>
          <w:lang w:eastAsia="ja-JP"/>
        </w:rPr>
        <w:t>Positioning</w:t>
      </w:r>
      <w:r w:rsidR="00507BB1">
        <w:rPr>
          <w:lang w:eastAsia="ja-JP"/>
        </w:rPr>
        <w:t xml:space="preserve"> enhancements evaluation should reuse the modeling as provided in TR 38.901</w:t>
      </w:r>
      <w:r w:rsidR="00E416F4">
        <w:rPr>
          <w:lang w:eastAsia="ja-JP"/>
        </w:rPr>
        <w:t xml:space="preserve">. </w:t>
      </w:r>
      <w:r w:rsidR="00507BB1">
        <w:rPr>
          <w:lang w:eastAsia="ja-JP"/>
        </w:rPr>
        <w:t xml:space="preserve">Specifically, </w:t>
      </w:r>
      <w:r w:rsidR="00693658">
        <w:rPr>
          <w:lang w:eastAsia="ja-JP"/>
        </w:rPr>
        <w:t xml:space="preserve">either </w:t>
      </w:r>
      <w:r w:rsidR="00507BB1">
        <w:rPr>
          <w:lang w:eastAsia="ja-JP"/>
        </w:rPr>
        <w:t xml:space="preserve">the modeling of </w:t>
      </w:r>
      <w:r w:rsidR="00693658">
        <w:rPr>
          <w:lang w:eastAsia="ja-JP"/>
        </w:rPr>
        <w:t>A</w:t>
      </w:r>
      <w:r w:rsidR="00507BB1">
        <w:rPr>
          <w:lang w:eastAsia="ja-JP"/>
        </w:rPr>
        <w:t xml:space="preserve">bsolute </w:t>
      </w:r>
      <w:r w:rsidR="00693658">
        <w:rPr>
          <w:lang w:eastAsia="ja-JP"/>
        </w:rPr>
        <w:t>T</w:t>
      </w:r>
      <w:r w:rsidR="00507BB1">
        <w:rPr>
          <w:lang w:eastAsia="ja-JP"/>
        </w:rPr>
        <w:t xml:space="preserve">ime of </w:t>
      </w:r>
      <w:r w:rsidR="00693658">
        <w:rPr>
          <w:lang w:eastAsia="ja-JP"/>
        </w:rPr>
        <w:t>A</w:t>
      </w:r>
      <w:r w:rsidR="00507BB1">
        <w:rPr>
          <w:lang w:eastAsia="ja-JP"/>
        </w:rPr>
        <w:t xml:space="preserve">rrival in Section </w:t>
      </w:r>
      <w:r w:rsidR="00E04B59">
        <w:rPr>
          <w:lang w:eastAsia="ja-JP"/>
        </w:rPr>
        <w:t xml:space="preserve">7.6.9 </w:t>
      </w:r>
      <w:r w:rsidR="00693658">
        <w:rPr>
          <w:lang w:eastAsia="ja-JP"/>
        </w:rPr>
        <w:t xml:space="preserve">of TR38.901 or the Blockage Model in Section 7.6.4 of TR38.901 is adopted to model the </w:t>
      </w:r>
      <w:r w:rsidR="0083149F">
        <w:rPr>
          <w:lang w:eastAsia="ja-JP"/>
        </w:rPr>
        <w:t xml:space="preserve">NLOS </w:t>
      </w:r>
      <w:r w:rsidR="00693658">
        <w:rPr>
          <w:lang w:eastAsia="ja-JP"/>
        </w:rPr>
        <w:t xml:space="preserve">effects </w:t>
      </w:r>
      <w:r w:rsidR="0083149F">
        <w:rPr>
          <w:lang w:eastAsia="ja-JP"/>
        </w:rPr>
        <w:t xml:space="preserve">for indoor IIOT deployments. </w:t>
      </w:r>
      <w:r w:rsidR="002B4031">
        <w:rPr>
          <w:lang w:eastAsia="ja-JP"/>
        </w:rPr>
        <w:t xml:space="preserve"> </w:t>
      </w:r>
    </w:p>
    <w:p w14:paraId="5C73AF7A" w14:textId="77777777" w:rsidR="00E04B59" w:rsidRDefault="00E04B59" w:rsidP="00AC02C9">
      <w:pPr>
        <w:overflowPunct w:val="0"/>
        <w:snapToGrid/>
        <w:spacing w:after="180"/>
        <w:ind w:right="-99"/>
        <w:jc w:val="left"/>
        <w:textAlignment w:val="baseline"/>
        <w:rPr>
          <w:lang w:eastAsia="ja-JP"/>
        </w:rPr>
      </w:pPr>
    </w:p>
    <w:p w14:paraId="18B94AA5" w14:textId="4F262795" w:rsidR="00157FC3" w:rsidRPr="00493C77" w:rsidRDefault="00747F48" w:rsidP="00493C77">
      <w:pPr>
        <w:pStyle w:val="Heading1"/>
      </w:pPr>
      <w:r w:rsidRPr="00493C77">
        <w:t>Conclusion</w:t>
      </w:r>
      <w:r w:rsidR="006B1FD5" w:rsidRPr="00493C77">
        <w:t>s</w:t>
      </w:r>
    </w:p>
    <w:p w14:paraId="675D7F13" w14:textId="487A7927" w:rsidR="007C655F" w:rsidRDefault="007C655F" w:rsidP="007C655F">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is contribution, some main issues that should studied in this Study Item are highlighted. The following are proposed.</w:t>
      </w:r>
    </w:p>
    <w:p w14:paraId="70AB23BA" w14:textId="77777777" w:rsidR="00FE0FCF" w:rsidRPr="00163988" w:rsidRDefault="00FE0FCF" w:rsidP="00FE0FCF">
      <w:pPr>
        <w:spacing w:after="0"/>
        <w:rPr>
          <w:color w:val="000000"/>
        </w:rPr>
      </w:pPr>
      <w:r w:rsidRPr="007D042F">
        <w:rPr>
          <w:b/>
          <w:bCs/>
          <w:i/>
          <w:iCs/>
          <w:color w:val="000000"/>
        </w:rPr>
        <w:t>Observation 1</w:t>
      </w:r>
      <w:r>
        <w:rPr>
          <w:color w:val="000000"/>
        </w:rPr>
        <w:t xml:space="preserve">: </w:t>
      </w:r>
      <w:r w:rsidRPr="00163988">
        <w:rPr>
          <w:color w:val="000000"/>
        </w:rPr>
        <w:t>Support Option 2 from the Rapporteur’s summary</w:t>
      </w:r>
      <w:r>
        <w:rPr>
          <w:color w:val="000000"/>
        </w:rPr>
        <w:t>, to avoid unnecessary lengthy discussion time to achieve consensus on down-selection</w:t>
      </w:r>
      <w:r w:rsidRPr="00163988">
        <w:rPr>
          <w:color w:val="000000"/>
        </w:rPr>
        <w:t>:</w:t>
      </w:r>
    </w:p>
    <w:p w14:paraId="70867979" w14:textId="77777777" w:rsidR="00FE0FCF" w:rsidRPr="00FE0FCF" w:rsidRDefault="00FE0FCF" w:rsidP="00FE0FCF">
      <w:pPr>
        <w:pStyle w:val="ListParagraph"/>
        <w:numPr>
          <w:ilvl w:val="0"/>
          <w:numId w:val="8"/>
        </w:numPr>
        <w:spacing w:after="0" w:line="240" w:lineRule="auto"/>
        <w:contextualSpacing w:val="0"/>
        <w:rPr>
          <w:rFonts w:ascii="Times New Roman" w:hAnsi="Times New Roman"/>
          <w:i/>
          <w:iCs/>
        </w:rPr>
      </w:pPr>
      <w:r w:rsidRPr="00FE0FCF">
        <w:rPr>
          <w:rFonts w:ascii="Times New Roman" w:hAnsi="Times New Roman"/>
          <w:i/>
          <w:iCs/>
        </w:rPr>
        <w:t xml:space="preserve">Option 2: Define the target positioning requirements in Rel-17 with the consideration of the positioning performance defined in Table 8.1.7 in TR 22.804 (e.g., using the exemplary </w:t>
      </w:r>
      <w:r w:rsidRPr="00FE0FCF">
        <w:rPr>
          <w:rFonts w:ascii="Times New Roman" w:hAnsi="Times New Roman"/>
          <w:i/>
          <w:iCs/>
        </w:rPr>
        <w:lastRenderedPageBreak/>
        <w:t xml:space="preserve">performance targets in the SID), but the target positioning requirements may not necessarily be associated with </w:t>
      </w:r>
      <w:proofErr w:type="gramStart"/>
      <w:r w:rsidRPr="00FE0FCF">
        <w:rPr>
          <w:rFonts w:ascii="Times New Roman" w:hAnsi="Times New Roman"/>
          <w:i/>
          <w:iCs/>
        </w:rPr>
        <w:t>particular IIOT</w:t>
      </w:r>
      <w:proofErr w:type="gramEnd"/>
      <w:r w:rsidRPr="00FE0FCF">
        <w:rPr>
          <w:rFonts w:ascii="Times New Roman" w:hAnsi="Times New Roman"/>
          <w:i/>
          <w:iCs/>
        </w:rPr>
        <w:t xml:space="preserve"> scenario(s).</w:t>
      </w:r>
    </w:p>
    <w:p w14:paraId="7AFF6128" w14:textId="77777777" w:rsidR="00FE0FCF" w:rsidRDefault="00FE0FCF" w:rsidP="00607685">
      <w:pPr>
        <w:rPr>
          <w:b/>
          <w:bCs/>
          <w:i/>
          <w:iCs/>
        </w:rPr>
      </w:pPr>
    </w:p>
    <w:p w14:paraId="014EFCA9" w14:textId="71EF0E2A" w:rsidR="00607685" w:rsidRDefault="00607685" w:rsidP="00607685">
      <w:pPr>
        <w:rPr>
          <w:i/>
          <w:iCs/>
        </w:rPr>
      </w:pPr>
      <w:r w:rsidRPr="007D042F">
        <w:rPr>
          <w:b/>
          <w:bCs/>
          <w:i/>
          <w:iCs/>
        </w:rPr>
        <w:t>Proposal 1</w:t>
      </w:r>
      <w:r>
        <w:rPr>
          <w:i/>
          <w:iCs/>
        </w:rPr>
        <w:t xml:space="preserve">: </w:t>
      </w:r>
      <w:r w:rsidRPr="007D042F">
        <w:t>The</w:t>
      </w:r>
      <w:r>
        <w:rPr>
          <w:i/>
          <w:iCs/>
        </w:rPr>
        <w:t xml:space="preserve"> </w:t>
      </w:r>
      <w:r w:rsidRPr="007C655F">
        <w:rPr>
          <w:lang w:val="en-GB"/>
        </w:rPr>
        <w:t>channel models, parameters and modelling techniques as described for IIOT scenarios in TR 38.901 are adopted for this Study Item.</w:t>
      </w:r>
    </w:p>
    <w:p w14:paraId="6027C498" w14:textId="320F4CC0" w:rsidR="00693658" w:rsidRDefault="00693658" w:rsidP="00693658">
      <w:pPr>
        <w:overflowPunct w:val="0"/>
        <w:snapToGrid/>
        <w:spacing w:after="180"/>
        <w:ind w:right="-99"/>
        <w:jc w:val="left"/>
        <w:textAlignment w:val="baseline"/>
        <w:rPr>
          <w:lang w:eastAsia="ja-JP"/>
        </w:rPr>
      </w:pPr>
      <w:r w:rsidRPr="00AC02C9">
        <w:rPr>
          <w:b/>
          <w:i/>
          <w:lang w:eastAsia="ja-JP"/>
        </w:rPr>
        <w:t xml:space="preserve">Proposal </w:t>
      </w:r>
      <w:r w:rsidRPr="006F2725">
        <w:rPr>
          <w:b/>
          <w:i/>
          <w:lang w:eastAsia="ja-JP"/>
        </w:rPr>
        <w:t>2:</w:t>
      </w:r>
      <w:r w:rsidRPr="007D042F">
        <w:rPr>
          <w:lang w:eastAsia="ja-JP"/>
        </w:rPr>
        <w:t xml:space="preserve"> </w:t>
      </w:r>
      <w:r w:rsidRPr="006F2725">
        <w:rPr>
          <w:lang w:eastAsia="ja-JP"/>
        </w:rPr>
        <w:t xml:space="preserve"> Positioning</w:t>
      </w:r>
      <w:r>
        <w:rPr>
          <w:lang w:eastAsia="ja-JP"/>
        </w:rPr>
        <w:t xml:space="preserve"> enhancements evaluation should reuse the modeling as provided in TR 38.901. Specifically, either the modeling of Absolute Time of Arrival in Section 7.6.9 of TR38.901 or the Blockage Model in Section 7.6.4 of TR38.901 is adopted to model the NLOS effects for indoor IIOT deployments.  </w:t>
      </w:r>
    </w:p>
    <w:p w14:paraId="164EC9D8" w14:textId="77777777" w:rsidR="00827382" w:rsidRDefault="00827382" w:rsidP="007C655F">
      <w:pPr>
        <w:overflowPunct w:val="0"/>
        <w:snapToGrid/>
        <w:spacing w:after="180"/>
        <w:ind w:right="-99"/>
        <w:jc w:val="left"/>
        <w:textAlignment w:val="baseline"/>
        <w:rPr>
          <w:lang w:eastAsia="ja-JP"/>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36E811AC" w14:textId="77777777" w:rsidR="00446E80" w:rsidRPr="00645B30" w:rsidRDefault="00446E80" w:rsidP="00446E80">
      <w:pPr>
        <w:pStyle w:val="References"/>
        <w:rPr>
          <w:color w:val="000000" w:themeColor="text1"/>
          <w:sz w:val="22"/>
          <w:szCs w:val="18"/>
        </w:rPr>
      </w:pPr>
      <w:bookmarkStart w:id="8" w:name="_Ref167612875"/>
      <w:bookmarkStart w:id="9" w:name="_Ref167612671"/>
      <w:bookmarkStart w:id="10" w:name="_Ref6672460"/>
      <w:bookmarkStart w:id="11" w:name="_Ref6596326"/>
      <w:bookmarkEnd w:id="5"/>
      <w:bookmarkEnd w:id="6"/>
      <w:bookmarkEnd w:id="7"/>
      <w:r w:rsidRPr="00645B30">
        <w:rPr>
          <w:sz w:val="22"/>
          <w:szCs w:val="18"/>
        </w:rPr>
        <w:t xml:space="preserve">S. </w:t>
      </w:r>
      <w:proofErr w:type="spellStart"/>
      <w:r w:rsidRPr="00645B30">
        <w:rPr>
          <w:sz w:val="22"/>
          <w:szCs w:val="18"/>
        </w:rPr>
        <w:t>Jaeckel</w:t>
      </w:r>
      <w:proofErr w:type="spellEnd"/>
      <w:r w:rsidRPr="00645B30">
        <w:rPr>
          <w:color w:val="000000" w:themeColor="text1"/>
          <w:sz w:val="22"/>
          <w:szCs w:val="18"/>
        </w:rPr>
        <w:t xml:space="preserve"> et. al. “</w:t>
      </w:r>
      <w:r w:rsidRPr="00645B30">
        <w:rPr>
          <w:sz w:val="22"/>
          <w:szCs w:val="18"/>
        </w:rPr>
        <w:t xml:space="preserve">Industrial Indoor Measurements from 2-6 GHz for the 3GPP-NR and </w:t>
      </w:r>
      <w:proofErr w:type="spellStart"/>
      <w:r w:rsidRPr="00645B30">
        <w:rPr>
          <w:sz w:val="22"/>
          <w:szCs w:val="18"/>
        </w:rPr>
        <w:t>QuaDRiGa</w:t>
      </w:r>
      <w:proofErr w:type="spellEnd"/>
      <w:r w:rsidRPr="00645B30">
        <w:rPr>
          <w:sz w:val="22"/>
          <w:szCs w:val="18"/>
        </w:rPr>
        <w:t xml:space="preserve"> Channel Model</w:t>
      </w:r>
      <w:r w:rsidRPr="00645B30">
        <w:rPr>
          <w:color w:val="000000" w:themeColor="text1"/>
          <w:sz w:val="22"/>
          <w:szCs w:val="18"/>
        </w:rPr>
        <w:t xml:space="preserve">”, 2019, </w:t>
      </w:r>
      <w:hyperlink r:id="rId8" w:history="1">
        <w:r w:rsidRPr="00645B30">
          <w:rPr>
            <w:rStyle w:val="Hyperlink"/>
            <w:sz w:val="22"/>
            <w:szCs w:val="18"/>
          </w:rPr>
          <w:t>https://arxiv.org/pdf/1906.12145.pdf</w:t>
        </w:r>
      </w:hyperlink>
    </w:p>
    <w:p w14:paraId="7FFACAEC" w14:textId="77777777" w:rsidR="00446E80" w:rsidRPr="00645B30" w:rsidRDefault="00446E80" w:rsidP="00446E80">
      <w:pPr>
        <w:pStyle w:val="References"/>
        <w:rPr>
          <w:color w:val="000000" w:themeColor="text1"/>
          <w:sz w:val="22"/>
          <w:szCs w:val="18"/>
        </w:rPr>
      </w:pPr>
      <w:r w:rsidRPr="00645B30">
        <w:rPr>
          <w:color w:val="000000" w:themeColor="text1"/>
          <w:sz w:val="22"/>
          <w:szCs w:val="18"/>
        </w:rPr>
        <w:t>TR 38.855 “Study on NR positioning support”</w:t>
      </w:r>
    </w:p>
    <w:bookmarkEnd w:id="2"/>
    <w:bookmarkEnd w:id="8"/>
    <w:bookmarkEnd w:id="9"/>
    <w:bookmarkEnd w:id="10"/>
    <w:bookmarkEnd w:id="11"/>
    <w:p w14:paraId="367CF0F0" w14:textId="507A8A9C" w:rsidR="00F62478" w:rsidRPr="007F5EC6" w:rsidRDefault="00F62478" w:rsidP="00446E80">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EDE83" w14:textId="77777777" w:rsidR="007856E5" w:rsidRDefault="007856E5">
      <w:r>
        <w:separator/>
      </w:r>
    </w:p>
  </w:endnote>
  <w:endnote w:type="continuationSeparator" w:id="0">
    <w:p w14:paraId="52D8CD1B" w14:textId="77777777" w:rsidR="007856E5" w:rsidRDefault="0078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F337B" w14:textId="77777777" w:rsidR="007856E5" w:rsidRDefault="007856E5">
      <w:r>
        <w:separator/>
      </w:r>
    </w:p>
  </w:footnote>
  <w:footnote w:type="continuationSeparator" w:id="0">
    <w:p w14:paraId="5F41EBC5" w14:textId="77777777" w:rsidR="007856E5" w:rsidRDefault="00785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010553"/>
    <w:multiLevelType w:val="hybridMultilevel"/>
    <w:tmpl w:val="2708B71A"/>
    <w:lvl w:ilvl="0" w:tplc="97B22FA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105D43"/>
    <w:multiLevelType w:val="hybridMultilevel"/>
    <w:tmpl w:val="C46CD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6"/>
  </w:num>
  <w:num w:numId="6">
    <w:abstractNumId w:val="4"/>
  </w:num>
  <w:num w:numId="7">
    <w:abstractNumId w:val="0"/>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6FF4"/>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CA7"/>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39CE"/>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391"/>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C9C"/>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BAC"/>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CF3"/>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AD6"/>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85A"/>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33A"/>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0F51"/>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124"/>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4031"/>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09B2"/>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6E80"/>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C41"/>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4FE3"/>
    <w:rsid w:val="00505134"/>
    <w:rsid w:val="00505C04"/>
    <w:rsid w:val="00506853"/>
    <w:rsid w:val="005076EC"/>
    <w:rsid w:val="00507BB1"/>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6A7"/>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49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685"/>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257C"/>
    <w:rsid w:val="00634ACF"/>
    <w:rsid w:val="00635035"/>
    <w:rsid w:val="0063580D"/>
    <w:rsid w:val="00635CAE"/>
    <w:rsid w:val="00637240"/>
    <w:rsid w:val="00643607"/>
    <w:rsid w:val="00643660"/>
    <w:rsid w:val="006447DC"/>
    <w:rsid w:val="00644C95"/>
    <w:rsid w:val="00645361"/>
    <w:rsid w:val="00645817"/>
    <w:rsid w:val="00645B30"/>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658"/>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56A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725"/>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6F79"/>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6E5"/>
    <w:rsid w:val="00785900"/>
    <w:rsid w:val="00786810"/>
    <w:rsid w:val="00786958"/>
    <w:rsid w:val="00786A97"/>
    <w:rsid w:val="00786E71"/>
    <w:rsid w:val="007908F8"/>
    <w:rsid w:val="0079162F"/>
    <w:rsid w:val="00794924"/>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55F"/>
    <w:rsid w:val="007C669D"/>
    <w:rsid w:val="007C68DA"/>
    <w:rsid w:val="007C7BB9"/>
    <w:rsid w:val="007D01D9"/>
    <w:rsid w:val="007D1C9B"/>
    <w:rsid w:val="007D229A"/>
    <w:rsid w:val="007D2F44"/>
    <w:rsid w:val="007D2F4D"/>
    <w:rsid w:val="007D3C97"/>
    <w:rsid w:val="007D4178"/>
    <w:rsid w:val="007D4D33"/>
    <w:rsid w:val="007D5403"/>
    <w:rsid w:val="007D57B6"/>
    <w:rsid w:val="007D7175"/>
    <w:rsid w:val="007D7ADE"/>
    <w:rsid w:val="007E02A5"/>
    <w:rsid w:val="007E061F"/>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28B1"/>
    <w:rsid w:val="00813FD5"/>
    <w:rsid w:val="00814E3E"/>
    <w:rsid w:val="00814F60"/>
    <w:rsid w:val="0081581D"/>
    <w:rsid w:val="00816E9B"/>
    <w:rsid w:val="00816FCB"/>
    <w:rsid w:val="008172BE"/>
    <w:rsid w:val="00817B71"/>
    <w:rsid w:val="00817C94"/>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382"/>
    <w:rsid w:val="008274BF"/>
    <w:rsid w:val="00830DC3"/>
    <w:rsid w:val="0083149F"/>
    <w:rsid w:val="00831555"/>
    <w:rsid w:val="00831F52"/>
    <w:rsid w:val="00832154"/>
    <w:rsid w:val="00832F5C"/>
    <w:rsid w:val="00834046"/>
    <w:rsid w:val="00834DE6"/>
    <w:rsid w:val="00834ECD"/>
    <w:rsid w:val="008359E0"/>
    <w:rsid w:val="0083689A"/>
    <w:rsid w:val="00836E95"/>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4BA"/>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4D98"/>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3F7"/>
    <w:rsid w:val="009B24E0"/>
    <w:rsid w:val="009B26AC"/>
    <w:rsid w:val="009B37E2"/>
    <w:rsid w:val="009B44A3"/>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A3"/>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4A7A"/>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2C9"/>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66C"/>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77"/>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46E"/>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B59"/>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16F4"/>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6FB5"/>
    <w:rsid w:val="00E870A9"/>
    <w:rsid w:val="00E90279"/>
    <w:rsid w:val="00E90635"/>
    <w:rsid w:val="00E909A1"/>
    <w:rsid w:val="00E90BFF"/>
    <w:rsid w:val="00E91F04"/>
    <w:rsid w:val="00E91F35"/>
    <w:rsid w:val="00E9259E"/>
    <w:rsid w:val="00E95BA6"/>
    <w:rsid w:val="00E97648"/>
    <w:rsid w:val="00EA07E9"/>
    <w:rsid w:val="00EA0E4A"/>
    <w:rsid w:val="00EA1A54"/>
    <w:rsid w:val="00EA1DA3"/>
    <w:rsid w:val="00EA2226"/>
    <w:rsid w:val="00EA2483"/>
    <w:rsid w:val="00EA26FC"/>
    <w:rsid w:val="00EA3B5A"/>
    <w:rsid w:val="00EA410E"/>
    <w:rsid w:val="00EA43A6"/>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BB3"/>
    <w:rsid w:val="00ED5FE4"/>
    <w:rsid w:val="00ED6FAD"/>
    <w:rsid w:val="00ED71C5"/>
    <w:rsid w:val="00EE0473"/>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5C82"/>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77B"/>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0FCF"/>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Text">
    <w:name w:val="3GPP Text"/>
    <w:basedOn w:val="Normal"/>
    <w:link w:val="3GPPTextChar"/>
    <w:qFormat/>
    <w:rsid w:val="00EA43A6"/>
    <w:pPr>
      <w:overflowPunct w:val="0"/>
      <w:snapToGrid/>
      <w:spacing w:before="120"/>
      <w:textAlignment w:val="baseline"/>
    </w:pPr>
    <w:rPr>
      <w:sz w:val="20"/>
      <w:szCs w:val="20"/>
    </w:rPr>
  </w:style>
  <w:style w:type="character" w:customStyle="1" w:styleId="3GPPTextChar">
    <w:name w:val="3GPP Text Char"/>
    <w:link w:val="3GPPText"/>
    <w:rsid w:val="00EA43A6"/>
  </w:style>
  <w:style w:type="paragraph" w:customStyle="1" w:styleId="EQ">
    <w:name w:val="EQ"/>
    <w:basedOn w:val="Normal"/>
    <w:next w:val="Normal"/>
    <w:qFormat/>
    <w:rsid w:val="00507BB1"/>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H">
    <w:name w:val="TAH"/>
    <w:basedOn w:val="TAC"/>
    <w:link w:val="TAHCar"/>
    <w:rsid w:val="00507BB1"/>
    <w:rPr>
      <w:b/>
    </w:rPr>
  </w:style>
  <w:style w:type="paragraph" w:customStyle="1" w:styleId="TAC">
    <w:name w:val="TAC"/>
    <w:basedOn w:val="Normal"/>
    <w:link w:val="TACChar"/>
    <w:rsid w:val="00507BB1"/>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507BB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07BB1"/>
    <w:rPr>
      <w:rFonts w:ascii="Arial" w:eastAsia="Malgun Gothic" w:hAnsi="Arial"/>
      <w:b/>
      <w:lang w:val="en-GB"/>
    </w:rPr>
  </w:style>
  <w:style w:type="character" w:customStyle="1" w:styleId="TACChar">
    <w:name w:val="TAC Char"/>
    <w:link w:val="TAC"/>
    <w:rsid w:val="00507BB1"/>
    <w:rPr>
      <w:rFonts w:ascii="Arial" w:eastAsia="Malgun Gothic" w:hAnsi="Arial"/>
      <w:sz w:val="18"/>
      <w:lang w:val="en-GB"/>
    </w:rPr>
  </w:style>
  <w:style w:type="character" w:customStyle="1" w:styleId="TAHCar">
    <w:name w:val="TAH Car"/>
    <w:link w:val="TAH"/>
    <w:rsid w:val="00507BB1"/>
    <w:rPr>
      <w:rFonts w:ascii="Arial" w:eastAsia="Malgun Gothic"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xiv.org/pdf/1906.12145.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43E6E-7AE4-41F3-8CD8-C4359E54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Teck Hu</cp:lastModifiedBy>
  <cp:revision>2</cp:revision>
  <cp:lastPrinted>2007-06-18T22:08:00Z</cp:lastPrinted>
  <dcterms:created xsi:type="dcterms:W3CDTF">2020-05-14T15:59:00Z</dcterms:created>
  <dcterms:modified xsi:type="dcterms:W3CDTF">2020-05-14T15:59:00Z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