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067C915C"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36509D"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EA3449">
        <w:rPr>
          <w:b/>
          <w:lang w:eastAsia="zh-CN"/>
        </w:rPr>
        <w:t>100</w:t>
      </w:r>
      <w:r w:rsidR="00E157B3">
        <w:rPr>
          <w:b/>
          <w:lang w:eastAsia="zh-CN"/>
        </w:rPr>
        <w:t>-e</w:t>
      </w:r>
      <w:r w:rsidR="007611AB" w:rsidRPr="003E7E99">
        <w:rPr>
          <w:b/>
          <w:lang w:eastAsia="zh-CN"/>
        </w:rPr>
        <w:tab/>
      </w:r>
      <w:r w:rsidR="0087591E" w:rsidRPr="0087591E">
        <w:rPr>
          <w:b/>
          <w:lang w:eastAsia="zh-CN"/>
        </w:rPr>
        <w:t>R1-</w:t>
      </w:r>
      <w:r w:rsidR="00285243">
        <w:rPr>
          <w:b/>
          <w:lang w:eastAsia="zh-CN"/>
        </w:rPr>
        <w:t>2001114</w:t>
      </w:r>
    </w:p>
    <w:p w14:paraId="0CC39094" w14:textId="3B082CEA" w:rsidR="00562017" w:rsidRPr="003E7E99" w:rsidRDefault="00395E0A" w:rsidP="003E7E99">
      <w:pPr>
        <w:jc w:val="left"/>
        <w:rPr>
          <w:b/>
          <w:lang w:eastAsia="zh-CN"/>
        </w:rPr>
      </w:pPr>
      <w:r w:rsidRPr="00395E0A">
        <w:rPr>
          <w:b/>
          <w:lang w:eastAsia="zh-CN"/>
        </w:rPr>
        <w:t xml:space="preserve">February </w:t>
      </w:r>
      <w:r>
        <w:rPr>
          <w:b/>
          <w:lang w:eastAsia="zh-CN"/>
        </w:rPr>
        <w:t>24</w:t>
      </w:r>
      <w:r w:rsidR="00415A61" w:rsidRPr="003E7E99">
        <w:rPr>
          <w:b/>
          <w:lang w:eastAsia="zh-CN"/>
        </w:rPr>
        <w:t>-</w:t>
      </w:r>
      <w:r w:rsidR="00E157B3" w:rsidRPr="00E157B3">
        <w:rPr>
          <w:b/>
          <w:lang w:eastAsia="zh-CN"/>
        </w:rPr>
        <w:t>March 6</w:t>
      </w:r>
      <w:r>
        <w:rPr>
          <w:b/>
          <w:lang w:eastAsia="zh-CN"/>
        </w:rPr>
        <w:t>, 2020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4202A459"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BA04CE">
        <w:rPr>
          <w:b/>
          <w:lang w:eastAsia="zh-CN"/>
        </w:rPr>
        <w:t>6.2.2.</w:t>
      </w:r>
      <w:r w:rsidR="007A7498">
        <w:rPr>
          <w:b/>
          <w:lang w:eastAsia="zh-CN"/>
        </w:rPr>
        <w:t>7</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633E3CF3"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D80240" w:rsidRPr="00D80240">
        <w:rPr>
          <w:b/>
          <w:kern w:val="2"/>
          <w:lang w:eastAsia="zh-CN"/>
        </w:rPr>
        <w:t>Further considerations on RRC parameter lists for NB-IoT</w:t>
      </w:r>
    </w:p>
    <w:p w14:paraId="6C45EAF2" w14:textId="69C6C1D2" w:rsidR="00721F16" w:rsidRPr="003E7E99" w:rsidRDefault="00F7470F" w:rsidP="003E7E99">
      <w:pPr>
        <w:spacing w:after="60"/>
        <w:ind w:left="1555" w:hanging="1555"/>
        <w:jc w:val="left"/>
        <w:rPr>
          <w:b/>
          <w:kern w:val="2"/>
          <w:lang w:eastAsia="zh-CN"/>
        </w:rPr>
      </w:pPr>
      <w:r>
        <w:rPr>
          <w:b/>
          <w:kern w:val="2"/>
          <w:lang w:eastAsia="zh-CN"/>
        </w:rPr>
        <w:t>Document for:</w:t>
      </w:r>
      <w:r>
        <w:rPr>
          <w:b/>
          <w:kern w:val="2"/>
          <w:lang w:eastAsia="zh-CN"/>
        </w:rPr>
        <w:tab/>
        <w:t>Discussion and D</w:t>
      </w:r>
      <w:bookmarkStart w:id="0" w:name="_GoBack"/>
      <w:bookmarkEnd w:id="0"/>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9011AC">
      <w:pPr>
        <w:pStyle w:val="1"/>
        <w:numPr>
          <w:ilvl w:val="0"/>
          <w:numId w:val="6"/>
        </w:numPr>
        <w:rPr>
          <w:lang w:eastAsia="zh-CN"/>
        </w:rPr>
      </w:pPr>
      <w:bookmarkStart w:id="1" w:name="_Ref124589705"/>
      <w:bookmarkStart w:id="2" w:name="_Ref129681862"/>
      <w:r w:rsidRPr="003E7E99">
        <w:rPr>
          <w:lang w:eastAsia="zh-CN"/>
        </w:rPr>
        <w:t>Introduction</w:t>
      </w:r>
      <w:bookmarkEnd w:id="1"/>
      <w:bookmarkEnd w:id="2"/>
    </w:p>
    <w:p w14:paraId="3148CC9B" w14:textId="43AFEF64" w:rsidR="00146E24" w:rsidRPr="003E7E99" w:rsidRDefault="00146E24" w:rsidP="00C004D1">
      <w:pPr>
        <w:rPr>
          <w:lang w:eastAsia="zh-CN"/>
        </w:rPr>
      </w:pPr>
      <w:r>
        <w:rPr>
          <w:rFonts w:hint="eastAsia"/>
          <w:lang w:eastAsia="zh-CN"/>
        </w:rPr>
        <w:t>I</w:t>
      </w:r>
      <w:r>
        <w:rPr>
          <w:lang w:eastAsia="zh-CN"/>
        </w:rPr>
        <w:t>n</w:t>
      </w:r>
      <w:r>
        <w:rPr>
          <w:rFonts w:hint="eastAsia"/>
          <w:lang w:eastAsia="zh-CN"/>
        </w:rPr>
        <w:t xml:space="preserve"> NB-IoT R</w:t>
      </w:r>
      <w:r>
        <w:rPr>
          <w:lang w:eastAsia="zh-CN"/>
        </w:rPr>
        <w:t>el-</w:t>
      </w:r>
      <w:r w:rsidR="00E157B3">
        <w:rPr>
          <w:lang w:eastAsia="zh-CN"/>
        </w:rPr>
        <w:t>16</w:t>
      </w:r>
      <w:r w:rsidR="003B0F02">
        <w:rPr>
          <w:lang w:eastAsia="zh-CN"/>
        </w:rPr>
        <w:t xml:space="preserve">, the agreements are summarized in </w:t>
      </w:r>
      <w:r w:rsidR="00511BD6">
        <w:rPr>
          <w:lang w:eastAsia="zh-CN"/>
        </w:rPr>
        <w:fldChar w:fldCharType="begin"/>
      </w:r>
      <w:r w:rsidR="00511BD6">
        <w:rPr>
          <w:lang w:eastAsia="zh-CN"/>
        </w:rPr>
        <w:instrText xml:space="preserve"> REF _Ref520312828 \r \h </w:instrText>
      </w:r>
      <w:r w:rsidR="00511BD6">
        <w:rPr>
          <w:lang w:eastAsia="zh-CN"/>
        </w:rPr>
      </w:r>
      <w:r w:rsidR="00511BD6">
        <w:rPr>
          <w:lang w:eastAsia="zh-CN"/>
        </w:rPr>
        <w:fldChar w:fldCharType="separate"/>
      </w:r>
      <w:r w:rsidR="00215B18">
        <w:rPr>
          <w:lang w:eastAsia="zh-CN"/>
        </w:rPr>
        <w:t>[1]</w:t>
      </w:r>
      <w:r w:rsidR="00511BD6">
        <w:rPr>
          <w:lang w:eastAsia="zh-CN"/>
        </w:rPr>
        <w:fldChar w:fldCharType="end"/>
      </w:r>
      <w:r w:rsidR="00614C44">
        <w:rPr>
          <w:lang w:eastAsia="zh-CN"/>
        </w:rPr>
        <w:t xml:space="preserve"> and related RRC parameters list is endorsed in</w:t>
      </w:r>
      <w:r w:rsidR="004F7657">
        <w:rPr>
          <w:lang w:eastAsia="zh-CN"/>
        </w:rPr>
        <w:t xml:space="preserve"> </w:t>
      </w:r>
      <w:r w:rsidR="004F7657">
        <w:rPr>
          <w:lang w:eastAsia="zh-CN"/>
        </w:rPr>
        <w:fldChar w:fldCharType="begin"/>
      </w:r>
      <w:r w:rsidR="004F7657">
        <w:rPr>
          <w:lang w:eastAsia="zh-CN"/>
        </w:rPr>
        <w:instrText xml:space="preserve"> REF _Ref31632533 \r \h </w:instrText>
      </w:r>
      <w:r w:rsidR="004F7657">
        <w:rPr>
          <w:lang w:eastAsia="zh-CN"/>
        </w:rPr>
      </w:r>
      <w:r w:rsidR="004F7657">
        <w:rPr>
          <w:lang w:eastAsia="zh-CN"/>
        </w:rPr>
        <w:fldChar w:fldCharType="separate"/>
      </w:r>
      <w:r w:rsidR="004F7657">
        <w:rPr>
          <w:lang w:eastAsia="zh-CN"/>
        </w:rPr>
        <w:t>[2]</w:t>
      </w:r>
      <w:r w:rsidR="004F7657">
        <w:rPr>
          <w:lang w:eastAsia="zh-CN"/>
        </w:rPr>
        <w:fldChar w:fldCharType="end"/>
      </w:r>
      <w:r w:rsidR="00511BD6">
        <w:rPr>
          <w:lang w:eastAsia="zh-CN"/>
        </w:rPr>
        <w:t>.</w:t>
      </w:r>
      <w:r w:rsidR="00167B69">
        <w:rPr>
          <w:lang w:eastAsia="zh-CN"/>
        </w:rPr>
        <w:t xml:space="preserve"> </w:t>
      </w:r>
      <w:r w:rsidR="00A221C0" w:rsidRPr="00A221C0">
        <w:rPr>
          <w:lang w:eastAsia="zh-CN"/>
        </w:rPr>
        <w:t xml:space="preserve">In this contribution, we provide our </w:t>
      </w:r>
      <w:r w:rsidR="004F7657">
        <w:rPr>
          <w:lang w:eastAsia="zh-CN"/>
        </w:rPr>
        <w:t>f</w:t>
      </w:r>
      <w:r w:rsidR="004F7657" w:rsidRPr="004F7657">
        <w:rPr>
          <w:lang w:eastAsia="zh-CN"/>
        </w:rPr>
        <w:t>urther considerations on RRC parameter lists for NB-IoT</w:t>
      </w:r>
      <w:r w:rsidR="00A221C0" w:rsidRPr="00A221C0">
        <w:rPr>
          <w:lang w:eastAsia="zh-CN"/>
        </w:rPr>
        <w:t>.</w:t>
      </w:r>
    </w:p>
    <w:p w14:paraId="73FDE3C2" w14:textId="7A0D11F4" w:rsidR="004C5FC3" w:rsidRDefault="003832DA" w:rsidP="009011AC">
      <w:pPr>
        <w:pStyle w:val="1"/>
        <w:numPr>
          <w:ilvl w:val="0"/>
          <w:numId w:val="6"/>
        </w:numPr>
        <w:rPr>
          <w:lang w:eastAsia="zh-CN"/>
        </w:rPr>
      </w:pPr>
      <w:r>
        <w:rPr>
          <w:lang w:eastAsia="zh-CN"/>
        </w:rPr>
        <w:t>Transmission in preconfigured resource</w:t>
      </w:r>
    </w:p>
    <w:p w14:paraId="6F6CB804" w14:textId="0A9AEA25" w:rsidR="00A77F43" w:rsidRDefault="00F7112A" w:rsidP="004F7657">
      <w:pPr>
        <w:rPr>
          <w:lang w:eastAsia="zh-CN"/>
        </w:rPr>
      </w:pPr>
      <w:r>
        <w:rPr>
          <w:lang w:eastAsia="zh-CN"/>
        </w:rPr>
        <w:t>In RAN1#99,</w:t>
      </w:r>
      <w:r w:rsidR="000164AD">
        <w:rPr>
          <w:lang w:eastAsia="zh-CN"/>
        </w:rPr>
        <w:t xml:space="preserve"> </w:t>
      </w:r>
      <w:r w:rsidR="00AC29E9">
        <w:rPr>
          <w:lang w:eastAsia="zh-CN"/>
        </w:rPr>
        <w:t>the following agreem</w:t>
      </w:r>
      <w:r w:rsidR="00B64BB8">
        <w:rPr>
          <w:lang w:eastAsia="zh-CN"/>
        </w:rPr>
        <w:t>ent</w:t>
      </w:r>
      <w:r w:rsidR="00AC29E9">
        <w:rPr>
          <w:lang w:eastAsia="zh-CN"/>
        </w:rPr>
        <w:t xml:space="preserve"> about </w:t>
      </w:r>
      <w:r w:rsidR="00B64BB8">
        <w:rPr>
          <w:lang w:eastAsia="zh-CN"/>
        </w:rPr>
        <w:t xml:space="preserve">CFS PUR </w:t>
      </w:r>
      <w:r w:rsidR="00AC29E9">
        <w:rPr>
          <w:lang w:eastAsia="zh-CN"/>
        </w:rPr>
        <w:t>was made</w:t>
      </w:r>
      <w:r w:rsidR="00AC29E9">
        <w:rPr>
          <w:rFonts w:hint="eastAsia"/>
          <w:lang w:eastAsia="zh-CN"/>
        </w:rPr>
        <w:t>.</w:t>
      </w:r>
      <w:r w:rsidR="000164AD">
        <w:rPr>
          <w:lang w:eastAsia="zh-CN"/>
        </w:rPr>
        <w:t xml:space="preserve"> Two UE-specific cyclic shifts for DMRS were defined.</w:t>
      </w:r>
    </w:p>
    <w:tbl>
      <w:tblPr>
        <w:tblStyle w:val="a9"/>
        <w:tblW w:w="0" w:type="auto"/>
        <w:tblLook w:val="04A0" w:firstRow="1" w:lastRow="0" w:firstColumn="1" w:lastColumn="0" w:noHBand="0" w:noVBand="1"/>
      </w:tblPr>
      <w:tblGrid>
        <w:gridCol w:w="9307"/>
      </w:tblGrid>
      <w:tr w:rsidR="000164AD" w14:paraId="40B99573" w14:textId="77777777" w:rsidTr="0072161A">
        <w:tc>
          <w:tcPr>
            <w:tcW w:w="9307" w:type="dxa"/>
          </w:tcPr>
          <w:p w14:paraId="18C6494B" w14:textId="77777777" w:rsidR="000164AD" w:rsidRPr="00E47C0B" w:rsidRDefault="000164AD" w:rsidP="000164AD">
            <w:pPr>
              <w:rPr>
                <w:b/>
                <w:bCs/>
                <w:highlight w:val="green"/>
                <w:lang w:eastAsia="x-none"/>
              </w:rPr>
            </w:pPr>
            <w:r w:rsidRPr="00E47C0B">
              <w:rPr>
                <w:b/>
                <w:bCs/>
                <w:highlight w:val="green"/>
                <w:lang w:eastAsia="x-none"/>
              </w:rPr>
              <w:t>Agreement</w:t>
            </w:r>
          </w:p>
          <w:p w14:paraId="09F6854F" w14:textId="77777777" w:rsidR="000164AD" w:rsidRPr="00E47C0B" w:rsidRDefault="000164AD" w:rsidP="000164AD">
            <w:r w:rsidRPr="00E47C0B">
              <w:t>The following previous working assumption is confirmed with modification:</w:t>
            </w:r>
          </w:p>
          <w:p w14:paraId="5164F0FA" w14:textId="77777777" w:rsidR="000164AD" w:rsidRPr="00E47C0B" w:rsidRDefault="000164AD" w:rsidP="000164AD">
            <w:r w:rsidRPr="00E47C0B">
              <w:t>For NB-IoT allocation with 12 tones, for PUR with R&gt;= 64ms:</w:t>
            </w:r>
          </w:p>
          <w:p w14:paraId="287D9963" w14:textId="77777777" w:rsidR="000164AD" w:rsidRPr="00E47C0B" w:rsidRDefault="000164AD" w:rsidP="000164AD">
            <w:pPr>
              <w:numPr>
                <w:ilvl w:val="0"/>
                <w:numId w:val="13"/>
              </w:numPr>
              <w:autoSpaceDE/>
              <w:autoSpaceDN/>
              <w:adjustRightInd/>
              <w:snapToGrid/>
              <w:spacing w:after="0"/>
              <w:jc w:val="left"/>
            </w:pPr>
            <w:r w:rsidRPr="00E47C0B">
              <w:t>Allow for UE-specific cyclic shift for DMRS:</w:t>
            </w:r>
          </w:p>
          <w:p w14:paraId="75723A63" w14:textId="77777777" w:rsidR="000164AD" w:rsidRPr="00E47C0B" w:rsidRDefault="000164AD" w:rsidP="000164AD">
            <w:pPr>
              <w:numPr>
                <w:ilvl w:val="1"/>
                <w:numId w:val="13"/>
              </w:numPr>
              <w:autoSpaceDE/>
              <w:autoSpaceDN/>
              <w:adjustRightInd/>
              <w:snapToGrid/>
              <w:spacing w:after="0"/>
              <w:jc w:val="left"/>
              <w:rPr>
                <w:strike/>
              </w:rPr>
            </w:pPr>
            <w:r w:rsidRPr="00E47C0B">
              <w:t xml:space="preserve">For 12 tone allocation, </w:t>
            </w:r>
            <w:r w:rsidRPr="00E47C0B">
              <w:rPr>
                <w:color w:val="FF0000"/>
              </w:rPr>
              <w:t>following</w:t>
            </w:r>
            <w:r w:rsidRPr="00E47C0B">
              <w:t xml:space="preserve"> </w:t>
            </w:r>
            <w:r w:rsidRPr="00E47C0B">
              <w:rPr>
                <w:color w:val="FF0000"/>
              </w:rPr>
              <w:t>2</w:t>
            </w:r>
            <w:r w:rsidRPr="00E47C0B">
              <w:t xml:space="preserve"> cyclic shifts </w:t>
            </w:r>
            <w:r w:rsidRPr="00E47C0B">
              <w:rPr>
                <w:color w:val="FF0000"/>
              </w:rPr>
              <w:t>are supported</w:t>
            </w:r>
            <w:r>
              <w:rPr>
                <w:color w:val="FF0000"/>
              </w:rPr>
              <w:t xml:space="preserve"> </w:t>
            </w:r>
            <w:r w:rsidRPr="00763EBD">
              <w:rPr>
                <w:strike/>
                <w:color w:val="FF0000"/>
              </w:rPr>
              <w:t>in TS 36.211 Table 5.2.2.1.1-2</w:t>
            </w:r>
            <w:r w:rsidRPr="00763EBD">
              <w:rPr>
                <w:strike/>
              </w:rPr>
              <w:t>.</w:t>
            </w:r>
          </w:p>
          <w:p w14:paraId="3A36D67C" w14:textId="77777777" w:rsidR="000164AD" w:rsidRPr="00E47C0B" w:rsidRDefault="000164AD" w:rsidP="000164AD">
            <w:pPr>
              <w:numPr>
                <w:ilvl w:val="2"/>
                <w:numId w:val="13"/>
              </w:numPr>
              <w:autoSpaceDE/>
              <w:autoSpaceDN/>
              <w:adjustRightInd/>
              <w:snapToGrid/>
              <w:spacing w:after="0"/>
              <w:jc w:val="left"/>
              <w:rPr>
                <w:color w:val="FF0000"/>
              </w:rPr>
            </w:pPr>
            <w:r w:rsidRPr="00E47C0B">
              <w:rPr>
                <w:color w:val="FF0000"/>
              </w:rPr>
              <w:t>The cyclic shifts are {0, 6}*(2pi/12)</w:t>
            </w:r>
          </w:p>
          <w:p w14:paraId="134B0989" w14:textId="56842470" w:rsidR="000164AD" w:rsidRPr="000164AD" w:rsidRDefault="000164AD" w:rsidP="0072161A">
            <w:pPr>
              <w:numPr>
                <w:ilvl w:val="0"/>
                <w:numId w:val="13"/>
              </w:numPr>
              <w:autoSpaceDE/>
              <w:autoSpaceDN/>
              <w:adjustRightInd/>
              <w:snapToGrid/>
              <w:spacing w:after="0"/>
              <w:jc w:val="left"/>
            </w:pPr>
            <w:r w:rsidRPr="00E47C0B">
              <w:t xml:space="preserve">For NPUSCH scrambling, the current c_init </w:t>
            </w:r>
            <w:r w:rsidRPr="00E47C0B">
              <w:rPr>
                <w:color w:val="FF0000"/>
              </w:rPr>
              <w:t xml:space="preserve">is used </w:t>
            </w:r>
            <w:r w:rsidRPr="00E47C0B">
              <w:t xml:space="preserve">by using the configured PUR_RNTI. </w:t>
            </w:r>
          </w:p>
        </w:tc>
      </w:tr>
    </w:tbl>
    <w:p w14:paraId="29E0083B" w14:textId="77777777" w:rsidR="000164AD" w:rsidRDefault="000164AD" w:rsidP="004F7657"/>
    <w:p w14:paraId="12A88A97" w14:textId="0BE17808" w:rsidR="000164AD" w:rsidRDefault="000164AD" w:rsidP="004F7657">
      <w:pPr>
        <w:rPr>
          <w:lang w:eastAsia="zh-CN"/>
        </w:rPr>
      </w:pPr>
      <w:r>
        <w:rPr>
          <w:lang w:eastAsia="zh-CN"/>
        </w:rPr>
        <w:t>The above agreements have been captured in TS 36.211. It is assumed that higher layer</w:t>
      </w:r>
      <w:r w:rsidR="004375A8">
        <w:rPr>
          <w:lang w:eastAsia="zh-CN"/>
        </w:rPr>
        <w:t>s</w:t>
      </w:r>
      <w:r>
        <w:rPr>
          <w:lang w:eastAsia="zh-CN"/>
        </w:rPr>
        <w:t xml:space="preserve"> will provide the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Pr>
          <w:rFonts w:hint="eastAsia"/>
          <w:lang w:eastAsia="zh-CN"/>
        </w:rPr>
        <w:t>.</w:t>
      </w:r>
      <w:r>
        <w:rPr>
          <w:lang w:eastAsia="zh-CN"/>
        </w:rPr>
        <w:t xml:space="preserve"> And the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Pr>
          <w:rFonts w:hint="eastAsia"/>
          <w:lang w:eastAsia="zh-CN"/>
        </w:rPr>
        <w:t xml:space="preserve"> </w:t>
      </w:r>
      <w:r>
        <w:rPr>
          <w:lang w:eastAsia="zh-CN"/>
        </w:rPr>
        <w:t>is 0 or 6 according to above agreements.</w:t>
      </w:r>
    </w:p>
    <w:tbl>
      <w:tblPr>
        <w:tblStyle w:val="a9"/>
        <w:tblW w:w="0" w:type="auto"/>
        <w:tblLook w:val="04A0" w:firstRow="1" w:lastRow="0" w:firstColumn="1" w:lastColumn="0" w:noHBand="0" w:noVBand="1"/>
      </w:tblPr>
      <w:tblGrid>
        <w:gridCol w:w="9307"/>
      </w:tblGrid>
      <w:tr w:rsidR="000164AD" w14:paraId="69178E3E" w14:textId="77777777" w:rsidTr="000164AD">
        <w:tc>
          <w:tcPr>
            <w:tcW w:w="9307" w:type="dxa"/>
          </w:tcPr>
          <w:p w14:paraId="47B8D69C" w14:textId="6B09461C" w:rsidR="000164AD" w:rsidRPr="000164AD" w:rsidRDefault="000164AD" w:rsidP="004F7657">
            <w:pPr>
              <w:rPr>
                <w:i/>
                <w:szCs w:val="22"/>
                <w:lang w:eastAsia="zh-CN"/>
              </w:rPr>
            </w:pPr>
            <w:r>
              <w:rPr>
                <w:i/>
                <w:szCs w:val="22"/>
                <w:lang w:eastAsia="zh-CN"/>
              </w:rPr>
              <w:t>Extracted from 10.1.4.1.2</w:t>
            </w:r>
            <w:r w:rsidRPr="000164AD">
              <w:rPr>
                <w:i/>
                <w:szCs w:val="22"/>
                <w:lang w:eastAsia="zh-CN"/>
              </w:rPr>
              <w:t xml:space="preserve"> in TS 36.213</w:t>
            </w:r>
          </w:p>
          <w:p w14:paraId="2321F743" w14:textId="42E044BC" w:rsidR="000164AD" w:rsidRDefault="000164AD" w:rsidP="004F7657">
            <w:r w:rsidRPr="005E0144">
              <w:rPr>
                <w:bCs/>
              </w:rPr>
              <w:t xml:space="preserve">The cyclic shift </w:t>
            </w:r>
            <w:r w:rsidRPr="005E0144">
              <w:rPr>
                <w:position w:val="-6"/>
                <w:szCs w:val="22"/>
              </w:rPr>
              <w:object w:dxaOrig="200" w:dyaOrig="200" w14:anchorId="190E0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o:ole="">
                  <v:imagedata r:id="rId8" o:title=""/>
                </v:shape>
                <o:OLEObject Type="Embed" ProgID="Equation.3" ShapeID="_x0000_i1025" DrawAspect="Content" ObjectID="_1643268290" r:id="rId9"/>
              </w:object>
            </w:r>
            <w:r w:rsidRPr="005E0144">
              <w:t xml:space="preserve"> for </w:t>
            </w:r>
            <w:r w:rsidRPr="005E0144">
              <w:rPr>
                <w:bCs/>
                <w:position w:val="-10"/>
                <w:szCs w:val="22"/>
              </w:rPr>
              <w:object w:dxaOrig="780" w:dyaOrig="340" w14:anchorId="498A79AC">
                <v:shape id="_x0000_i1026" type="#_x0000_t75" style="width:35.7pt;height:14.1pt" o:ole="">
                  <v:imagedata r:id="rId10" o:title=""/>
                </v:shape>
                <o:OLEObject Type="Embed" ProgID="Equation.3" ShapeID="_x0000_i1026" DrawAspect="Content" ObjectID="_1643268291" r:id="rId11"/>
              </w:object>
            </w:r>
            <w:r w:rsidRPr="005E0144">
              <w:rPr>
                <w:bCs/>
              </w:rPr>
              <w:t xml:space="preserve"> and </w:t>
            </w:r>
            <w:r w:rsidRPr="005E0144">
              <w:rPr>
                <w:bCs/>
                <w:position w:val="-10"/>
                <w:szCs w:val="22"/>
              </w:rPr>
              <w:object w:dxaOrig="780" w:dyaOrig="340" w14:anchorId="606AA3DC">
                <v:shape id="_x0000_i1027" type="#_x0000_t75" style="width:35.7pt;height:14.1pt" o:ole="">
                  <v:imagedata r:id="rId12" o:title=""/>
                </v:shape>
                <o:OLEObject Type="Embed" ProgID="Equation.3" ShapeID="_x0000_i1027" DrawAspect="Content" ObjectID="_1643268292" r:id="rId13"/>
              </w:object>
            </w:r>
            <w:r w:rsidRPr="005E0144">
              <w:rPr>
                <w:bCs/>
              </w:rPr>
              <w:t xml:space="preserve"> </w:t>
            </w:r>
            <w:r w:rsidRPr="005E0144">
              <w:t xml:space="preserve">is derived from higher layer parameters </w:t>
            </w:r>
            <w:r w:rsidRPr="005E0144">
              <w:rPr>
                <w:bCs/>
                <w:i/>
              </w:rPr>
              <w:t xml:space="preserve">threeTone-CyclicShift </w:t>
            </w:r>
            <w:r w:rsidRPr="005E0144">
              <w:rPr>
                <w:bCs/>
              </w:rPr>
              <w:t xml:space="preserve">and </w:t>
            </w:r>
            <w:r w:rsidRPr="005E0144">
              <w:rPr>
                <w:bCs/>
                <w:i/>
              </w:rPr>
              <w:t>sixTone-CyclicShift</w:t>
            </w:r>
            <w:r w:rsidRPr="005E0144">
              <w:rPr>
                <w:bCs/>
              </w:rPr>
              <w:t xml:space="preserve">, respectively, </w:t>
            </w:r>
            <w:r w:rsidRPr="005E0144">
              <w:t xml:space="preserve">as defined in </w:t>
            </w:r>
            <w:r w:rsidRPr="005E0144">
              <w:rPr>
                <w:bCs/>
              </w:rPr>
              <w:t xml:space="preserve">Table 10.1.4.1.2-3. </w:t>
            </w:r>
            <w:r w:rsidRPr="000164AD">
              <w:rPr>
                <w:bCs/>
                <w:highlight w:val="yellow"/>
              </w:rPr>
              <w:t xml:space="preserve">For </w:t>
            </w:r>
            <w:r w:rsidRPr="000164AD">
              <w:rPr>
                <w:bCs/>
                <w:position w:val="-10"/>
                <w:szCs w:val="22"/>
                <w:highlight w:val="yellow"/>
              </w:rPr>
              <w:object w:dxaOrig="859" w:dyaOrig="340" w14:anchorId="761D09BB">
                <v:shape id="_x0000_i1028" type="#_x0000_t75" style="width:42.9pt;height:14.1pt" o:ole="">
                  <v:imagedata r:id="rId14" o:title=""/>
                </v:shape>
                <o:OLEObject Type="Embed" ProgID="Equation.3" ShapeID="_x0000_i1028" DrawAspect="Content" ObjectID="_1643268293" r:id="rId15"/>
              </w:object>
            </w:r>
            <w:r w:rsidRPr="000164AD">
              <w:rPr>
                <w:bCs/>
                <w:highlight w:val="yellow"/>
              </w:rPr>
              <w:t xml:space="preserve">, if </w:t>
            </w:r>
            <w:r w:rsidRPr="000164AD">
              <w:rPr>
                <w:i/>
                <w:highlight w:val="yellow"/>
              </w:rPr>
              <w:t>pur-NPUSCH-cyclic-shift</w:t>
            </w:r>
            <w:r w:rsidRPr="000164AD">
              <w:rPr>
                <w:highlight w:val="yellow"/>
              </w:rPr>
              <w:t xml:space="preserve"> is configured it provides the value of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cs</m:t>
                  </m:r>
                </m:sub>
              </m:sSub>
            </m:oMath>
            <w:r w:rsidRPr="000164AD">
              <w:rPr>
                <w:highlight w:val="yellow"/>
              </w:rPr>
              <w:t xml:space="preserve"> and the cyclic shift </w:t>
            </w:r>
            <m:oMath>
              <m:r>
                <w:rPr>
                  <w:rFonts w:ascii="Cambria Math" w:hAnsi="Cambria Math"/>
                  <w:highlight w:val="yellow"/>
                </w:rPr>
                <m:t>α</m:t>
              </m:r>
            </m:oMath>
            <w:r w:rsidRPr="000164AD">
              <w:rPr>
                <w:highlight w:val="yellow"/>
              </w:rPr>
              <w:t xml:space="preserve"> in a slot </w:t>
            </w:r>
            <w:r w:rsidRPr="000164AD">
              <w:rPr>
                <w:position w:val="-10"/>
                <w:szCs w:val="22"/>
                <w:highlight w:val="yellow"/>
              </w:rPr>
              <w:object w:dxaOrig="240" w:dyaOrig="300" w14:anchorId="530B50D4">
                <v:shape id="_x0000_i1029" type="#_x0000_t75" style="width:14.1pt;height:14.1pt" o:ole="">
                  <v:imagedata r:id="rId16" o:title=""/>
                </v:shape>
                <o:OLEObject Type="Embed" ProgID="Equation.3" ShapeID="_x0000_i1029" DrawAspect="Content" ObjectID="_1643268294" r:id="rId17"/>
              </w:object>
            </w:r>
            <w:r w:rsidRPr="000164AD">
              <w:rPr>
                <w:highlight w:val="yellow"/>
              </w:rPr>
              <w:t xml:space="preserve"> is given as </w:t>
            </w:r>
            <m:oMath>
              <m:r>
                <w:rPr>
                  <w:rFonts w:ascii="Cambria Math" w:hAnsi="Cambria Math"/>
                  <w:highlight w:val="yellow"/>
                </w:rPr>
                <m:t>α=2π</m:t>
              </m:r>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cs</m:t>
                  </m:r>
                </m:sub>
              </m:sSub>
              <m:r>
                <w:rPr>
                  <w:rFonts w:ascii="Cambria Math" w:hAnsi="Cambria Math"/>
                  <w:highlight w:val="yellow"/>
                </w:rPr>
                <m:t>/12</m:t>
              </m:r>
            </m:oMath>
            <w:r>
              <w:rPr>
                <w:bCs/>
              </w:rPr>
              <w:t>, otherwise</w:t>
            </w:r>
            <w:r w:rsidRPr="005E0144">
              <w:t xml:space="preserve"> </w:t>
            </w:r>
            <w:r w:rsidRPr="005E0144">
              <w:rPr>
                <w:position w:val="-6"/>
                <w:szCs w:val="22"/>
              </w:rPr>
              <w:object w:dxaOrig="520" w:dyaOrig="240" w14:anchorId="7428C5A1">
                <v:shape id="_x0000_i1030" type="#_x0000_t75" style="width:29.1pt;height:14.1pt" o:ole="">
                  <v:imagedata r:id="rId18" o:title=""/>
                </v:shape>
                <o:OLEObject Type="Embed" ProgID="Equation.3" ShapeID="_x0000_i1030" DrawAspect="Content" ObjectID="_1643268295" r:id="rId19"/>
              </w:object>
            </w:r>
            <w:r w:rsidRPr="005E0144">
              <w:t>.</w:t>
            </w:r>
          </w:p>
        </w:tc>
      </w:tr>
    </w:tbl>
    <w:p w14:paraId="741535AD" w14:textId="77777777" w:rsidR="000164AD" w:rsidRDefault="000164AD" w:rsidP="004F7657"/>
    <w:p w14:paraId="6CB91C70" w14:textId="71C02A97" w:rsidR="000164AD" w:rsidRDefault="000164AD" w:rsidP="004F7657">
      <w:pPr>
        <w:rPr>
          <w:lang w:eastAsia="zh-CN"/>
        </w:rPr>
      </w:pPr>
      <w:r>
        <w:rPr>
          <w:rFonts w:hint="eastAsia"/>
          <w:lang w:eastAsia="zh-CN"/>
        </w:rPr>
        <w:t>B</w:t>
      </w:r>
      <w:r>
        <w:rPr>
          <w:lang w:eastAsia="zh-CN"/>
        </w:rPr>
        <w:t xml:space="preserve">ut in the endorsed RRC </w:t>
      </w:r>
      <w:r w:rsidR="00CA419C">
        <w:rPr>
          <w:lang w:eastAsia="zh-CN"/>
        </w:rPr>
        <w:t xml:space="preserve">parameters list </w:t>
      </w:r>
      <w:r w:rsidR="00CA419C">
        <w:rPr>
          <w:lang w:eastAsia="zh-CN"/>
        </w:rPr>
        <w:fldChar w:fldCharType="begin"/>
      </w:r>
      <w:r w:rsidR="00CA419C">
        <w:rPr>
          <w:lang w:eastAsia="zh-CN"/>
        </w:rPr>
        <w:instrText xml:space="preserve"> REF _Ref31632533 \r \h </w:instrText>
      </w:r>
      <w:r w:rsidR="00CA419C">
        <w:rPr>
          <w:lang w:eastAsia="zh-CN"/>
        </w:rPr>
      </w:r>
      <w:r w:rsidR="00CA419C">
        <w:rPr>
          <w:lang w:eastAsia="zh-CN"/>
        </w:rPr>
        <w:fldChar w:fldCharType="separate"/>
      </w:r>
      <w:r w:rsidR="00CA419C">
        <w:rPr>
          <w:lang w:eastAsia="zh-CN"/>
        </w:rPr>
        <w:t>[2]</w:t>
      </w:r>
      <w:r w:rsidR="00CA419C">
        <w:rPr>
          <w:lang w:eastAsia="zh-CN"/>
        </w:rPr>
        <w:fldChar w:fldCharType="end"/>
      </w:r>
      <w:r w:rsidR="00CA419C">
        <w:rPr>
          <w:lang w:eastAsia="zh-CN"/>
        </w:rPr>
        <w:t>, the value range of higher layer parameter for UE-specific cyclic shift is {0, 6}*(2*pi/12). It is not in consistent with current description of TS 36.211.</w:t>
      </w:r>
    </w:p>
    <w:tbl>
      <w:tblPr>
        <w:tblW w:w="4651" w:type="pct"/>
        <w:tblLook w:val="04A0" w:firstRow="1" w:lastRow="0" w:firstColumn="1" w:lastColumn="0" w:noHBand="0" w:noVBand="1"/>
      </w:tblPr>
      <w:tblGrid>
        <w:gridCol w:w="752"/>
        <w:gridCol w:w="487"/>
        <w:gridCol w:w="694"/>
        <w:gridCol w:w="506"/>
        <w:gridCol w:w="472"/>
        <w:gridCol w:w="467"/>
        <w:gridCol w:w="621"/>
        <w:gridCol w:w="559"/>
        <w:gridCol w:w="621"/>
        <w:gridCol w:w="651"/>
        <w:gridCol w:w="621"/>
        <w:gridCol w:w="491"/>
        <w:gridCol w:w="554"/>
        <w:gridCol w:w="506"/>
        <w:gridCol w:w="597"/>
        <w:gridCol w:w="708"/>
      </w:tblGrid>
      <w:tr w:rsidR="00CA419C" w:rsidRPr="00CA419C" w14:paraId="073379C2" w14:textId="77777777" w:rsidTr="003832DA">
        <w:trPr>
          <w:trHeight w:val="675"/>
        </w:trPr>
        <w:tc>
          <w:tcPr>
            <w:tcW w:w="400"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2084C569" w14:textId="77777777" w:rsidR="00CA419C" w:rsidRPr="00CA419C" w:rsidRDefault="00CA419C" w:rsidP="00CA419C">
            <w:pPr>
              <w:autoSpaceDE/>
              <w:autoSpaceDN/>
              <w:adjustRightInd/>
              <w:snapToGrid/>
              <w:spacing w:after="0"/>
              <w:jc w:val="left"/>
              <w:rPr>
                <w:rFonts w:ascii="Arial" w:eastAsia="等线" w:hAnsi="Arial" w:cs="Arial"/>
                <w:b/>
                <w:bCs/>
                <w:color w:val="000000"/>
                <w:sz w:val="11"/>
                <w:szCs w:val="11"/>
                <w:lang w:eastAsia="zh-CN"/>
              </w:rPr>
            </w:pPr>
            <w:r w:rsidRPr="00CA419C">
              <w:rPr>
                <w:rFonts w:ascii="Arial" w:eastAsia="等线" w:hAnsi="Arial" w:cs="Arial"/>
                <w:b/>
                <w:bCs/>
                <w:color w:val="000000"/>
                <w:sz w:val="11"/>
                <w:szCs w:val="11"/>
                <w:lang w:eastAsia="zh-CN"/>
              </w:rPr>
              <w:t>WI code</w:t>
            </w:r>
          </w:p>
        </w:tc>
        <w:tc>
          <w:tcPr>
            <w:tcW w:w="264" w:type="pct"/>
            <w:tcBorders>
              <w:top w:val="single" w:sz="4" w:space="0" w:color="auto"/>
              <w:left w:val="nil"/>
              <w:bottom w:val="single" w:sz="4" w:space="0" w:color="auto"/>
              <w:right w:val="single" w:sz="4" w:space="0" w:color="auto"/>
            </w:tcBorders>
            <w:shd w:val="clear" w:color="000000" w:fill="00B0F0"/>
            <w:vAlign w:val="center"/>
            <w:hideMark/>
          </w:tcPr>
          <w:p w14:paraId="20961142" w14:textId="77777777"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Sub-feature group</w:t>
            </w:r>
          </w:p>
        </w:tc>
        <w:tc>
          <w:tcPr>
            <w:tcW w:w="370" w:type="pct"/>
            <w:tcBorders>
              <w:top w:val="single" w:sz="4" w:space="0" w:color="auto"/>
              <w:left w:val="nil"/>
              <w:bottom w:val="single" w:sz="4" w:space="0" w:color="auto"/>
              <w:right w:val="single" w:sz="4" w:space="0" w:color="auto"/>
            </w:tcBorders>
            <w:shd w:val="clear" w:color="000000" w:fill="00B0F0"/>
            <w:vAlign w:val="center"/>
            <w:hideMark/>
          </w:tcPr>
          <w:p w14:paraId="3820C8B9" w14:textId="77777777"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RAN1 specification</w:t>
            </w:r>
          </w:p>
        </w:tc>
        <w:tc>
          <w:tcPr>
            <w:tcW w:w="273" w:type="pct"/>
            <w:tcBorders>
              <w:top w:val="single" w:sz="4" w:space="0" w:color="auto"/>
              <w:left w:val="nil"/>
              <w:bottom w:val="single" w:sz="4" w:space="0" w:color="auto"/>
              <w:right w:val="single" w:sz="4" w:space="0" w:color="auto"/>
            </w:tcBorders>
            <w:shd w:val="clear" w:color="000000" w:fill="00B0F0"/>
            <w:vAlign w:val="center"/>
            <w:hideMark/>
          </w:tcPr>
          <w:p w14:paraId="5CC14071" w14:textId="77777777"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Section</w:t>
            </w:r>
          </w:p>
        </w:tc>
        <w:tc>
          <w:tcPr>
            <w:tcW w:w="256" w:type="pct"/>
            <w:tcBorders>
              <w:top w:val="single" w:sz="4" w:space="0" w:color="auto"/>
              <w:left w:val="nil"/>
              <w:bottom w:val="single" w:sz="4" w:space="0" w:color="auto"/>
              <w:right w:val="single" w:sz="4" w:space="0" w:color="auto"/>
            </w:tcBorders>
            <w:shd w:val="clear" w:color="000000" w:fill="00B0F0"/>
            <w:vAlign w:val="center"/>
            <w:hideMark/>
          </w:tcPr>
          <w:p w14:paraId="7CD203B7" w14:textId="77777777"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RAN2 Parant IE</w:t>
            </w:r>
          </w:p>
        </w:tc>
        <w:tc>
          <w:tcPr>
            <w:tcW w:w="254" w:type="pct"/>
            <w:tcBorders>
              <w:top w:val="single" w:sz="4" w:space="0" w:color="auto"/>
              <w:left w:val="nil"/>
              <w:bottom w:val="single" w:sz="4" w:space="0" w:color="auto"/>
              <w:right w:val="single" w:sz="4" w:space="0" w:color="auto"/>
            </w:tcBorders>
            <w:shd w:val="clear" w:color="000000" w:fill="00B0F0"/>
            <w:vAlign w:val="center"/>
            <w:hideMark/>
          </w:tcPr>
          <w:p w14:paraId="1FE58D6D" w14:textId="77777777"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RAN2 ASN.1 name</w:t>
            </w:r>
          </w:p>
        </w:tc>
        <w:tc>
          <w:tcPr>
            <w:tcW w:w="333" w:type="pct"/>
            <w:tcBorders>
              <w:top w:val="single" w:sz="4" w:space="0" w:color="auto"/>
              <w:left w:val="nil"/>
              <w:bottom w:val="single" w:sz="4" w:space="0" w:color="auto"/>
              <w:right w:val="single" w:sz="4" w:space="0" w:color="auto"/>
            </w:tcBorders>
            <w:shd w:val="clear" w:color="000000" w:fill="00B0F0"/>
            <w:vAlign w:val="center"/>
            <w:hideMark/>
          </w:tcPr>
          <w:p w14:paraId="446F5182" w14:textId="77777777"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Parameter name in the spec</w:t>
            </w:r>
          </w:p>
        </w:tc>
        <w:tc>
          <w:tcPr>
            <w:tcW w:w="301" w:type="pct"/>
            <w:tcBorders>
              <w:top w:val="single" w:sz="4" w:space="0" w:color="auto"/>
              <w:left w:val="nil"/>
              <w:bottom w:val="single" w:sz="4" w:space="0" w:color="auto"/>
              <w:right w:val="single" w:sz="4" w:space="0" w:color="auto"/>
            </w:tcBorders>
            <w:shd w:val="clear" w:color="000000" w:fill="00B0F0"/>
            <w:vAlign w:val="center"/>
            <w:hideMark/>
          </w:tcPr>
          <w:p w14:paraId="7D96C9EE" w14:textId="77777777"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New or existing?</w:t>
            </w:r>
          </w:p>
        </w:tc>
        <w:tc>
          <w:tcPr>
            <w:tcW w:w="333" w:type="pct"/>
            <w:tcBorders>
              <w:top w:val="single" w:sz="4" w:space="0" w:color="auto"/>
              <w:left w:val="nil"/>
              <w:bottom w:val="single" w:sz="4" w:space="0" w:color="auto"/>
              <w:right w:val="single" w:sz="4" w:space="0" w:color="auto"/>
            </w:tcBorders>
            <w:shd w:val="clear" w:color="000000" w:fill="00B0F0"/>
            <w:vAlign w:val="center"/>
            <w:hideMark/>
          </w:tcPr>
          <w:p w14:paraId="1CCDAA45" w14:textId="77777777"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Parameter name in the text</w:t>
            </w:r>
          </w:p>
        </w:tc>
        <w:tc>
          <w:tcPr>
            <w:tcW w:w="348" w:type="pct"/>
            <w:tcBorders>
              <w:top w:val="single" w:sz="4" w:space="0" w:color="auto"/>
              <w:left w:val="nil"/>
              <w:bottom w:val="single" w:sz="4" w:space="0" w:color="auto"/>
              <w:right w:val="single" w:sz="4" w:space="0" w:color="auto"/>
            </w:tcBorders>
            <w:shd w:val="clear" w:color="000000" w:fill="00B0F0"/>
            <w:vAlign w:val="center"/>
            <w:hideMark/>
          </w:tcPr>
          <w:p w14:paraId="1909E7D2" w14:textId="77777777"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Description</w:t>
            </w:r>
          </w:p>
        </w:tc>
        <w:tc>
          <w:tcPr>
            <w:tcW w:w="333" w:type="pct"/>
            <w:tcBorders>
              <w:top w:val="single" w:sz="4" w:space="0" w:color="auto"/>
              <w:left w:val="nil"/>
              <w:bottom w:val="single" w:sz="4" w:space="0" w:color="auto"/>
              <w:right w:val="single" w:sz="4" w:space="0" w:color="auto"/>
            </w:tcBorders>
            <w:shd w:val="clear" w:color="auto" w:fill="FFFF00"/>
            <w:vAlign w:val="center"/>
            <w:hideMark/>
          </w:tcPr>
          <w:p w14:paraId="2C0F1318" w14:textId="77777777"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highlight w:val="yellow"/>
                <w:lang w:eastAsia="zh-CN"/>
              </w:rPr>
              <w:t>Value range</w:t>
            </w:r>
          </w:p>
        </w:tc>
        <w:tc>
          <w:tcPr>
            <w:tcW w:w="266" w:type="pct"/>
            <w:tcBorders>
              <w:top w:val="single" w:sz="4" w:space="0" w:color="auto"/>
              <w:left w:val="nil"/>
              <w:bottom w:val="single" w:sz="4" w:space="0" w:color="auto"/>
              <w:right w:val="single" w:sz="4" w:space="0" w:color="auto"/>
            </w:tcBorders>
            <w:shd w:val="clear" w:color="000000" w:fill="00B0F0"/>
            <w:vAlign w:val="center"/>
            <w:hideMark/>
          </w:tcPr>
          <w:p w14:paraId="595C5536" w14:textId="77777777"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Default value aspect (see note)</w:t>
            </w:r>
          </w:p>
        </w:tc>
        <w:tc>
          <w:tcPr>
            <w:tcW w:w="298" w:type="pct"/>
            <w:tcBorders>
              <w:top w:val="single" w:sz="4" w:space="0" w:color="auto"/>
              <w:left w:val="nil"/>
              <w:bottom w:val="single" w:sz="4" w:space="0" w:color="auto"/>
              <w:right w:val="single" w:sz="4" w:space="0" w:color="auto"/>
            </w:tcBorders>
            <w:shd w:val="clear" w:color="000000" w:fill="00B0F0"/>
            <w:vAlign w:val="center"/>
            <w:hideMark/>
          </w:tcPr>
          <w:p w14:paraId="463DDC1F" w14:textId="77777777" w:rsidR="00CA419C" w:rsidRPr="00CA419C" w:rsidRDefault="00CA419C" w:rsidP="00CA419C">
            <w:pPr>
              <w:autoSpaceDE/>
              <w:autoSpaceDN/>
              <w:adjustRightInd/>
              <w:snapToGrid/>
              <w:spacing w:after="0"/>
              <w:jc w:val="left"/>
              <w:rPr>
                <w:rFonts w:ascii="Arial" w:eastAsia="等线" w:hAnsi="Arial" w:cs="Arial"/>
                <w:b/>
                <w:bCs/>
                <w:sz w:val="11"/>
                <w:szCs w:val="11"/>
                <w:lang w:eastAsia="zh-CN"/>
              </w:rPr>
            </w:pPr>
            <w:r w:rsidRPr="00CA419C">
              <w:rPr>
                <w:rFonts w:ascii="Arial" w:eastAsia="等线" w:hAnsi="Arial" w:cs="Arial"/>
                <w:b/>
                <w:bCs/>
                <w:sz w:val="11"/>
                <w:szCs w:val="11"/>
                <w:lang w:eastAsia="zh-CN"/>
              </w:rPr>
              <w:t>Per (UE, cell, TRP, …)</w:t>
            </w:r>
          </w:p>
        </w:tc>
        <w:tc>
          <w:tcPr>
            <w:tcW w:w="273" w:type="pct"/>
            <w:tcBorders>
              <w:top w:val="single" w:sz="4" w:space="0" w:color="auto"/>
              <w:left w:val="nil"/>
              <w:bottom w:val="single" w:sz="4" w:space="0" w:color="auto"/>
              <w:right w:val="single" w:sz="4" w:space="0" w:color="auto"/>
            </w:tcBorders>
            <w:shd w:val="clear" w:color="000000" w:fill="00B0F0"/>
            <w:vAlign w:val="center"/>
            <w:hideMark/>
          </w:tcPr>
          <w:p w14:paraId="4E32737E" w14:textId="77777777"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UE-specific or Cell-specific</w:t>
            </w:r>
          </w:p>
        </w:tc>
        <w:tc>
          <w:tcPr>
            <w:tcW w:w="321" w:type="pct"/>
            <w:tcBorders>
              <w:top w:val="single" w:sz="4" w:space="0" w:color="auto"/>
              <w:left w:val="nil"/>
              <w:bottom w:val="single" w:sz="4" w:space="0" w:color="auto"/>
              <w:right w:val="single" w:sz="4" w:space="0" w:color="auto"/>
            </w:tcBorders>
            <w:shd w:val="clear" w:color="000000" w:fill="00B0F0"/>
            <w:vAlign w:val="center"/>
            <w:hideMark/>
          </w:tcPr>
          <w:p w14:paraId="008587A3" w14:textId="77777777" w:rsidR="00CA419C" w:rsidRPr="00CA419C" w:rsidRDefault="00CA419C" w:rsidP="00CA419C">
            <w:pPr>
              <w:autoSpaceDE/>
              <w:autoSpaceDN/>
              <w:adjustRightInd/>
              <w:snapToGrid/>
              <w:spacing w:after="0"/>
              <w:jc w:val="left"/>
              <w:rPr>
                <w:rFonts w:ascii="Arial" w:eastAsia="等线" w:hAnsi="Arial" w:cs="Arial"/>
                <w:b/>
                <w:bCs/>
                <w:color w:val="000000"/>
                <w:sz w:val="11"/>
                <w:szCs w:val="11"/>
                <w:lang w:eastAsia="zh-CN"/>
              </w:rPr>
            </w:pPr>
            <w:r w:rsidRPr="00CA419C">
              <w:rPr>
                <w:rFonts w:ascii="Arial" w:eastAsia="等线" w:hAnsi="Arial" w:cs="Arial"/>
                <w:b/>
                <w:bCs/>
                <w:color w:val="000000"/>
                <w:sz w:val="11"/>
                <w:szCs w:val="11"/>
                <w:lang w:eastAsia="zh-CN"/>
              </w:rPr>
              <w:t>TDD/FDD</w:t>
            </w:r>
          </w:p>
        </w:tc>
        <w:tc>
          <w:tcPr>
            <w:tcW w:w="378" w:type="pct"/>
            <w:tcBorders>
              <w:top w:val="single" w:sz="4" w:space="0" w:color="auto"/>
              <w:left w:val="nil"/>
              <w:bottom w:val="single" w:sz="4" w:space="0" w:color="auto"/>
              <w:right w:val="single" w:sz="4" w:space="0" w:color="auto"/>
            </w:tcBorders>
            <w:shd w:val="clear" w:color="000000" w:fill="00B0F0"/>
            <w:vAlign w:val="center"/>
            <w:hideMark/>
          </w:tcPr>
          <w:p w14:paraId="1DB12A0B" w14:textId="77777777"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Specification</w:t>
            </w:r>
          </w:p>
        </w:tc>
      </w:tr>
      <w:tr w:rsidR="00CA419C" w:rsidRPr="00CA419C" w14:paraId="6A8C0329" w14:textId="77777777" w:rsidTr="003832DA">
        <w:trPr>
          <w:trHeight w:val="67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2A1E4163" w14:textId="4ECF380B" w:rsidR="00CA419C" w:rsidRPr="00CA419C" w:rsidRDefault="00CA419C" w:rsidP="00CA419C">
            <w:pPr>
              <w:autoSpaceDE/>
              <w:autoSpaceDN/>
              <w:adjustRightInd/>
              <w:snapToGrid/>
              <w:spacing w:after="0"/>
              <w:jc w:val="left"/>
              <w:rPr>
                <w:rFonts w:ascii="Arial" w:eastAsia="等线" w:hAnsi="Arial" w:cs="Arial"/>
                <w:b/>
                <w:bCs/>
                <w:color w:val="000000"/>
                <w:sz w:val="11"/>
                <w:szCs w:val="11"/>
                <w:lang w:eastAsia="zh-CN"/>
              </w:rPr>
            </w:pPr>
            <w:r w:rsidRPr="00CA419C">
              <w:rPr>
                <w:rFonts w:ascii="Arial" w:eastAsia="等线" w:hAnsi="Arial" w:cs="Arial"/>
                <w:sz w:val="11"/>
                <w:szCs w:val="11"/>
              </w:rPr>
              <w:t>NB_IOTenh3-Core</w:t>
            </w:r>
          </w:p>
        </w:tc>
        <w:tc>
          <w:tcPr>
            <w:tcW w:w="264" w:type="pct"/>
            <w:tcBorders>
              <w:top w:val="single" w:sz="4" w:space="0" w:color="auto"/>
              <w:left w:val="nil"/>
              <w:bottom w:val="single" w:sz="4" w:space="0" w:color="auto"/>
              <w:right w:val="single" w:sz="4" w:space="0" w:color="auto"/>
            </w:tcBorders>
            <w:shd w:val="clear" w:color="auto" w:fill="auto"/>
            <w:vAlign w:val="center"/>
          </w:tcPr>
          <w:p w14:paraId="65BF3606" w14:textId="7EA5E206"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sz w:val="11"/>
                <w:szCs w:val="11"/>
              </w:rPr>
              <w:t>PUR</w:t>
            </w:r>
          </w:p>
        </w:tc>
        <w:tc>
          <w:tcPr>
            <w:tcW w:w="370" w:type="pct"/>
            <w:tcBorders>
              <w:top w:val="single" w:sz="4" w:space="0" w:color="auto"/>
              <w:left w:val="nil"/>
              <w:bottom w:val="single" w:sz="4" w:space="0" w:color="auto"/>
              <w:right w:val="single" w:sz="4" w:space="0" w:color="auto"/>
            </w:tcBorders>
            <w:shd w:val="clear" w:color="auto" w:fill="auto"/>
            <w:vAlign w:val="center"/>
          </w:tcPr>
          <w:p w14:paraId="738873D2" w14:textId="3CDCECD4"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strike/>
                <w:color w:val="0000FF"/>
                <w:sz w:val="11"/>
                <w:szCs w:val="11"/>
              </w:rPr>
              <w:t>36.213</w:t>
            </w:r>
            <w:r w:rsidRPr="00CA419C">
              <w:rPr>
                <w:rFonts w:ascii="Arial" w:eastAsia="等线" w:hAnsi="Arial" w:cs="Arial"/>
                <w:color w:val="0000FF"/>
                <w:sz w:val="11"/>
                <w:szCs w:val="11"/>
              </w:rPr>
              <w:br/>
              <w:t>36.211</w:t>
            </w:r>
          </w:p>
        </w:tc>
        <w:tc>
          <w:tcPr>
            <w:tcW w:w="273" w:type="pct"/>
            <w:tcBorders>
              <w:top w:val="single" w:sz="4" w:space="0" w:color="auto"/>
              <w:left w:val="nil"/>
              <w:bottom w:val="single" w:sz="4" w:space="0" w:color="auto"/>
              <w:right w:val="single" w:sz="4" w:space="0" w:color="auto"/>
            </w:tcBorders>
            <w:shd w:val="clear" w:color="auto" w:fill="auto"/>
            <w:vAlign w:val="center"/>
          </w:tcPr>
          <w:p w14:paraId="54D031DA" w14:textId="0276432E"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sz w:val="11"/>
                <w:szCs w:val="11"/>
              </w:rPr>
              <w:t xml:space="preserve">　</w:t>
            </w:r>
          </w:p>
        </w:tc>
        <w:tc>
          <w:tcPr>
            <w:tcW w:w="256" w:type="pct"/>
            <w:tcBorders>
              <w:top w:val="single" w:sz="4" w:space="0" w:color="auto"/>
              <w:left w:val="nil"/>
              <w:bottom w:val="single" w:sz="4" w:space="0" w:color="auto"/>
              <w:right w:val="single" w:sz="4" w:space="0" w:color="auto"/>
            </w:tcBorders>
            <w:shd w:val="clear" w:color="auto" w:fill="auto"/>
            <w:vAlign w:val="center"/>
          </w:tcPr>
          <w:p w14:paraId="52156E0F" w14:textId="0DFBFE1A"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sz w:val="11"/>
                <w:szCs w:val="11"/>
              </w:rPr>
              <w:t xml:space="preserve">　</w:t>
            </w:r>
          </w:p>
        </w:tc>
        <w:tc>
          <w:tcPr>
            <w:tcW w:w="254" w:type="pct"/>
            <w:tcBorders>
              <w:top w:val="single" w:sz="4" w:space="0" w:color="auto"/>
              <w:left w:val="nil"/>
              <w:bottom w:val="single" w:sz="4" w:space="0" w:color="auto"/>
              <w:right w:val="single" w:sz="4" w:space="0" w:color="auto"/>
            </w:tcBorders>
            <w:shd w:val="clear" w:color="auto" w:fill="auto"/>
            <w:vAlign w:val="center"/>
          </w:tcPr>
          <w:p w14:paraId="1B2C0493" w14:textId="174FDC61"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sz w:val="11"/>
                <w:szCs w:val="11"/>
              </w:rPr>
              <w:t xml:space="preserve">　</w:t>
            </w:r>
          </w:p>
        </w:tc>
        <w:tc>
          <w:tcPr>
            <w:tcW w:w="333" w:type="pct"/>
            <w:tcBorders>
              <w:top w:val="single" w:sz="4" w:space="0" w:color="auto"/>
              <w:left w:val="nil"/>
              <w:bottom w:val="single" w:sz="4" w:space="0" w:color="auto"/>
              <w:right w:val="single" w:sz="4" w:space="0" w:color="auto"/>
            </w:tcBorders>
            <w:shd w:val="clear" w:color="auto" w:fill="auto"/>
            <w:vAlign w:val="center"/>
          </w:tcPr>
          <w:p w14:paraId="02B84E0D" w14:textId="6DC630CE"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sz w:val="11"/>
                <w:szCs w:val="11"/>
              </w:rPr>
              <w:t>pur-NPUSCH-cyclic-shift</w:t>
            </w:r>
          </w:p>
        </w:tc>
        <w:tc>
          <w:tcPr>
            <w:tcW w:w="301" w:type="pct"/>
            <w:tcBorders>
              <w:top w:val="single" w:sz="4" w:space="0" w:color="auto"/>
              <w:left w:val="nil"/>
              <w:bottom w:val="single" w:sz="4" w:space="0" w:color="auto"/>
              <w:right w:val="single" w:sz="4" w:space="0" w:color="auto"/>
            </w:tcBorders>
            <w:shd w:val="clear" w:color="auto" w:fill="auto"/>
            <w:vAlign w:val="center"/>
          </w:tcPr>
          <w:p w14:paraId="7397099C" w14:textId="674B382F"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sz w:val="11"/>
                <w:szCs w:val="11"/>
              </w:rPr>
              <w:t>New</w:t>
            </w:r>
          </w:p>
        </w:tc>
        <w:tc>
          <w:tcPr>
            <w:tcW w:w="333" w:type="pct"/>
            <w:tcBorders>
              <w:top w:val="single" w:sz="4" w:space="0" w:color="auto"/>
              <w:left w:val="nil"/>
              <w:bottom w:val="single" w:sz="4" w:space="0" w:color="auto"/>
              <w:right w:val="single" w:sz="4" w:space="0" w:color="auto"/>
            </w:tcBorders>
            <w:shd w:val="clear" w:color="auto" w:fill="auto"/>
            <w:vAlign w:val="center"/>
          </w:tcPr>
          <w:p w14:paraId="04588B0E" w14:textId="4BB74BE6"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sz w:val="11"/>
                <w:szCs w:val="11"/>
              </w:rPr>
              <w:t>PUR NPUSCH cyclic shift</w:t>
            </w:r>
          </w:p>
        </w:tc>
        <w:tc>
          <w:tcPr>
            <w:tcW w:w="348" w:type="pct"/>
            <w:tcBorders>
              <w:top w:val="single" w:sz="4" w:space="0" w:color="auto"/>
              <w:left w:val="nil"/>
              <w:bottom w:val="single" w:sz="4" w:space="0" w:color="auto"/>
              <w:right w:val="single" w:sz="4" w:space="0" w:color="auto"/>
            </w:tcBorders>
            <w:shd w:val="clear" w:color="auto" w:fill="auto"/>
            <w:vAlign w:val="center"/>
          </w:tcPr>
          <w:p w14:paraId="53DB5959" w14:textId="51E794D0"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sz w:val="11"/>
                <w:szCs w:val="11"/>
              </w:rPr>
              <w:t>PUR NPUSCH cyclic shift for the DMRS</w:t>
            </w:r>
          </w:p>
        </w:tc>
        <w:tc>
          <w:tcPr>
            <w:tcW w:w="333" w:type="pct"/>
            <w:tcBorders>
              <w:top w:val="single" w:sz="4" w:space="0" w:color="auto"/>
              <w:left w:val="nil"/>
              <w:bottom w:val="single" w:sz="4" w:space="0" w:color="auto"/>
              <w:right w:val="single" w:sz="4" w:space="0" w:color="auto"/>
            </w:tcBorders>
            <w:shd w:val="clear" w:color="auto" w:fill="FFFF00"/>
            <w:vAlign w:val="center"/>
          </w:tcPr>
          <w:p w14:paraId="20FF8D31" w14:textId="3C44DCBC"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3832DA">
              <w:rPr>
                <w:rFonts w:ascii="Arial" w:eastAsia="等线" w:hAnsi="Arial" w:cs="Arial"/>
                <w:strike/>
                <w:color w:val="0000FF"/>
                <w:sz w:val="11"/>
                <w:szCs w:val="11"/>
                <w:highlight w:val="yellow"/>
              </w:rPr>
              <w:t>FFS</w:t>
            </w:r>
            <w:r w:rsidRPr="003832DA">
              <w:rPr>
                <w:rFonts w:ascii="Arial" w:eastAsia="等线" w:hAnsi="Arial" w:cs="Arial"/>
                <w:color w:val="0000FF"/>
                <w:sz w:val="11"/>
                <w:szCs w:val="11"/>
                <w:highlight w:val="yellow"/>
              </w:rPr>
              <w:br/>
              <w:t>{0, 6}*(2pi/12)</w:t>
            </w:r>
          </w:p>
        </w:tc>
        <w:tc>
          <w:tcPr>
            <w:tcW w:w="266" w:type="pct"/>
            <w:tcBorders>
              <w:top w:val="single" w:sz="4" w:space="0" w:color="auto"/>
              <w:left w:val="nil"/>
              <w:bottom w:val="single" w:sz="4" w:space="0" w:color="auto"/>
              <w:right w:val="single" w:sz="4" w:space="0" w:color="auto"/>
            </w:tcBorders>
            <w:shd w:val="clear" w:color="auto" w:fill="auto"/>
            <w:vAlign w:val="center"/>
          </w:tcPr>
          <w:p w14:paraId="06D84CD2" w14:textId="38D4E4B9"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sz w:val="11"/>
                <w:szCs w:val="11"/>
              </w:rPr>
              <w:t xml:space="preserve">　</w:t>
            </w:r>
          </w:p>
        </w:tc>
        <w:tc>
          <w:tcPr>
            <w:tcW w:w="298" w:type="pct"/>
            <w:tcBorders>
              <w:top w:val="single" w:sz="4" w:space="0" w:color="auto"/>
              <w:left w:val="nil"/>
              <w:bottom w:val="single" w:sz="4" w:space="0" w:color="auto"/>
              <w:right w:val="single" w:sz="4" w:space="0" w:color="auto"/>
            </w:tcBorders>
            <w:shd w:val="clear" w:color="auto" w:fill="auto"/>
            <w:vAlign w:val="center"/>
          </w:tcPr>
          <w:p w14:paraId="3307DAB9" w14:textId="5A577189" w:rsidR="00CA419C" w:rsidRPr="00CA419C" w:rsidRDefault="00CA419C" w:rsidP="00CA419C">
            <w:pPr>
              <w:autoSpaceDE/>
              <w:autoSpaceDN/>
              <w:adjustRightInd/>
              <w:snapToGrid/>
              <w:spacing w:after="0"/>
              <w:jc w:val="left"/>
              <w:rPr>
                <w:rFonts w:ascii="Arial" w:eastAsia="等线" w:hAnsi="Arial" w:cs="Arial"/>
                <w:b/>
                <w:bCs/>
                <w:sz w:val="11"/>
                <w:szCs w:val="11"/>
                <w:lang w:eastAsia="zh-CN"/>
              </w:rPr>
            </w:pPr>
            <w:r w:rsidRPr="00CA419C">
              <w:rPr>
                <w:rFonts w:ascii="Arial" w:eastAsia="等线" w:hAnsi="Arial" w:cs="Arial"/>
                <w:sz w:val="11"/>
                <w:szCs w:val="11"/>
              </w:rPr>
              <w:t xml:space="preserve">　</w:t>
            </w:r>
          </w:p>
        </w:tc>
        <w:tc>
          <w:tcPr>
            <w:tcW w:w="273" w:type="pct"/>
            <w:tcBorders>
              <w:top w:val="single" w:sz="4" w:space="0" w:color="auto"/>
              <w:left w:val="nil"/>
              <w:bottom w:val="single" w:sz="4" w:space="0" w:color="auto"/>
              <w:right w:val="single" w:sz="4" w:space="0" w:color="auto"/>
            </w:tcBorders>
            <w:shd w:val="clear" w:color="auto" w:fill="auto"/>
            <w:vAlign w:val="center"/>
          </w:tcPr>
          <w:p w14:paraId="4F5EBB28" w14:textId="67AB76EC"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sz w:val="11"/>
                <w:szCs w:val="11"/>
              </w:rPr>
              <w:t>UE-specific</w:t>
            </w:r>
          </w:p>
        </w:tc>
        <w:tc>
          <w:tcPr>
            <w:tcW w:w="321" w:type="pct"/>
            <w:tcBorders>
              <w:top w:val="single" w:sz="4" w:space="0" w:color="auto"/>
              <w:left w:val="nil"/>
              <w:bottom w:val="single" w:sz="4" w:space="0" w:color="auto"/>
              <w:right w:val="single" w:sz="4" w:space="0" w:color="auto"/>
            </w:tcBorders>
            <w:shd w:val="clear" w:color="auto" w:fill="auto"/>
            <w:vAlign w:val="center"/>
          </w:tcPr>
          <w:p w14:paraId="003EC01B" w14:textId="37FE39FD" w:rsidR="00CA419C" w:rsidRPr="00CA419C" w:rsidRDefault="00CA419C" w:rsidP="00CA419C">
            <w:pPr>
              <w:autoSpaceDE/>
              <w:autoSpaceDN/>
              <w:adjustRightInd/>
              <w:snapToGrid/>
              <w:spacing w:after="0"/>
              <w:jc w:val="left"/>
              <w:rPr>
                <w:rFonts w:ascii="Arial" w:eastAsia="等线" w:hAnsi="Arial" w:cs="Arial"/>
                <w:b/>
                <w:bCs/>
                <w:color w:val="000000"/>
                <w:sz w:val="11"/>
                <w:szCs w:val="11"/>
                <w:lang w:eastAsia="zh-CN"/>
              </w:rPr>
            </w:pPr>
            <w:r w:rsidRPr="00CA419C">
              <w:rPr>
                <w:rFonts w:ascii="Arial" w:eastAsia="等线" w:hAnsi="Arial" w:cs="Arial"/>
                <w:sz w:val="11"/>
                <w:szCs w:val="11"/>
              </w:rPr>
              <w:t>FDD</w:t>
            </w:r>
          </w:p>
        </w:tc>
        <w:tc>
          <w:tcPr>
            <w:tcW w:w="378" w:type="pct"/>
            <w:tcBorders>
              <w:top w:val="single" w:sz="4" w:space="0" w:color="auto"/>
              <w:left w:val="nil"/>
              <w:bottom w:val="single" w:sz="4" w:space="0" w:color="auto"/>
              <w:right w:val="single" w:sz="4" w:space="0" w:color="auto"/>
            </w:tcBorders>
            <w:shd w:val="clear" w:color="auto" w:fill="auto"/>
            <w:vAlign w:val="center"/>
          </w:tcPr>
          <w:p w14:paraId="025C85BB" w14:textId="2F037B39" w:rsidR="00CA419C" w:rsidRPr="00CA419C" w:rsidRDefault="00CA419C" w:rsidP="00CA419C">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sz w:val="11"/>
                <w:szCs w:val="11"/>
              </w:rPr>
              <w:t>36.331</w:t>
            </w:r>
          </w:p>
        </w:tc>
      </w:tr>
    </w:tbl>
    <w:p w14:paraId="1484F8CA" w14:textId="77777777" w:rsidR="000164AD" w:rsidRDefault="000164AD" w:rsidP="004F7657"/>
    <w:p w14:paraId="439E677A" w14:textId="5334A334" w:rsidR="00AF1E3E" w:rsidRPr="002D3425" w:rsidRDefault="00912215" w:rsidP="00FB7655">
      <w:pPr>
        <w:pStyle w:val="a3"/>
        <w:jc w:val="left"/>
        <w:rPr>
          <w:sz w:val="22"/>
        </w:rPr>
      </w:pPr>
      <w:bookmarkStart w:id="3" w:name="_Ref32571961"/>
      <w:r w:rsidRPr="002D3425">
        <w:rPr>
          <w:sz w:val="22"/>
        </w:rPr>
        <w:t xml:space="preserve">Proposal </w:t>
      </w:r>
      <w:r w:rsidRPr="002D3425">
        <w:rPr>
          <w:sz w:val="22"/>
        </w:rPr>
        <w:fldChar w:fldCharType="begin"/>
      </w:r>
      <w:r w:rsidRPr="002D3425">
        <w:rPr>
          <w:sz w:val="22"/>
        </w:rPr>
        <w:instrText xml:space="preserve"> SEQ Proposal \* ARABIC </w:instrText>
      </w:r>
      <w:r w:rsidRPr="002D3425">
        <w:rPr>
          <w:sz w:val="22"/>
        </w:rPr>
        <w:fldChar w:fldCharType="separate"/>
      </w:r>
      <w:r w:rsidR="003832DA" w:rsidRPr="002D3425">
        <w:rPr>
          <w:noProof/>
          <w:sz w:val="22"/>
        </w:rPr>
        <w:t>1</w:t>
      </w:r>
      <w:r w:rsidRPr="002D3425">
        <w:rPr>
          <w:sz w:val="22"/>
        </w:rPr>
        <w:fldChar w:fldCharType="end"/>
      </w:r>
      <w:r w:rsidRPr="002D3425">
        <w:rPr>
          <w:sz w:val="22"/>
        </w:rPr>
        <w:t>: For</w:t>
      </w:r>
      <w:r w:rsidR="003832DA" w:rsidRPr="002D3425">
        <w:rPr>
          <w:sz w:val="22"/>
        </w:rPr>
        <w:t xml:space="preserve"> CFS PUR</w:t>
      </w:r>
      <w:r w:rsidRPr="002D3425">
        <w:rPr>
          <w:sz w:val="22"/>
        </w:rPr>
        <w:t xml:space="preserve">, the </w:t>
      </w:r>
      <w:r w:rsidR="003832DA" w:rsidRPr="002D3425">
        <w:rPr>
          <w:sz w:val="22"/>
        </w:rPr>
        <w:t xml:space="preserve">value range of higher layer parameter </w:t>
      </w:r>
      <w:r w:rsidR="003832DA" w:rsidRPr="002D3425">
        <w:rPr>
          <w:i/>
          <w:sz w:val="22"/>
        </w:rPr>
        <w:t>pur-NPUSCH-cyclic-shift</w:t>
      </w:r>
      <w:r w:rsidR="003832DA" w:rsidRPr="002D3425">
        <w:rPr>
          <w:sz w:val="22"/>
        </w:rPr>
        <w:t xml:space="preserve"> is {0, 6}</w:t>
      </w:r>
      <w:r w:rsidRPr="002D3425">
        <w:rPr>
          <w:sz w:val="22"/>
        </w:rPr>
        <w:t>.</w:t>
      </w:r>
      <w:bookmarkEnd w:id="3"/>
    </w:p>
    <w:p w14:paraId="77E2CC93" w14:textId="534F4BF4" w:rsidR="00184259" w:rsidRDefault="004F7657" w:rsidP="008809D8">
      <w:pPr>
        <w:pStyle w:val="1"/>
        <w:numPr>
          <w:ilvl w:val="0"/>
          <w:numId w:val="6"/>
        </w:numPr>
        <w:rPr>
          <w:lang w:eastAsia="zh-CN"/>
        </w:rPr>
      </w:pPr>
      <w:r>
        <w:rPr>
          <w:lang w:eastAsia="zh-CN"/>
        </w:rPr>
        <w:lastRenderedPageBreak/>
        <w:t>Multiple TB scheduling</w:t>
      </w:r>
    </w:p>
    <w:p w14:paraId="02D0451A" w14:textId="4C4B3686" w:rsidR="007713C3" w:rsidRDefault="005F7FF4" w:rsidP="004F7657">
      <w:pPr>
        <w:rPr>
          <w:rFonts w:cs="Times"/>
          <w:szCs w:val="20"/>
          <w:lang w:eastAsia="zh-CN"/>
        </w:rPr>
      </w:pPr>
      <w:r>
        <w:rPr>
          <w:rFonts w:cs="Times"/>
          <w:szCs w:val="20"/>
          <w:lang w:eastAsia="zh-CN"/>
        </w:rPr>
        <w:t>According to</w:t>
      </w:r>
      <w:r w:rsidRPr="005F7FF4">
        <w:rPr>
          <w:rFonts w:cs="Times"/>
          <w:szCs w:val="20"/>
          <w:lang w:eastAsia="zh-CN"/>
        </w:rPr>
        <w:t xml:space="preserve"> the endorsed RRC parameters list</w:t>
      </w:r>
      <w:r>
        <w:rPr>
          <w:rFonts w:cs="Times"/>
          <w:szCs w:val="20"/>
          <w:lang w:eastAsia="zh-CN"/>
        </w:rPr>
        <w:t xml:space="preserve"> </w:t>
      </w:r>
      <w:r>
        <w:rPr>
          <w:rFonts w:cs="Times"/>
          <w:szCs w:val="20"/>
          <w:lang w:eastAsia="zh-CN"/>
        </w:rPr>
        <w:fldChar w:fldCharType="begin"/>
      </w:r>
      <w:r>
        <w:rPr>
          <w:rFonts w:cs="Times"/>
          <w:szCs w:val="20"/>
          <w:lang w:eastAsia="zh-CN"/>
        </w:rPr>
        <w:instrText xml:space="preserve"> REF _Ref31632533 \r \h </w:instrText>
      </w:r>
      <w:r>
        <w:rPr>
          <w:rFonts w:cs="Times"/>
          <w:szCs w:val="20"/>
          <w:lang w:eastAsia="zh-CN"/>
        </w:rPr>
      </w:r>
      <w:r>
        <w:rPr>
          <w:rFonts w:cs="Times"/>
          <w:szCs w:val="20"/>
          <w:lang w:eastAsia="zh-CN"/>
        </w:rPr>
        <w:fldChar w:fldCharType="separate"/>
      </w:r>
      <w:r>
        <w:rPr>
          <w:rFonts w:cs="Times"/>
          <w:szCs w:val="20"/>
          <w:lang w:eastAsia="zh-CN"/>
        </w:rPr>
        <w:t>[2]</w:t>
      </w:r>
      <w:r>
        <w:rPr>
          <w:rFonts w:cs="Times"/>
          <w:szCs w:val="20"/>
          <w:lang w:eastAsia="zh-CN"/>
        </w:rPr>
        <w:fldChar w:fldCharType="end"/>
      </w:r>
      <w:r>
        <w:rPr>
          <w:rFonts w:cs="Times"/>
          <w:szCs w:val="20"/>
          <w:lang w:eastAsia="zh-CN"/>
        </w:rPr>
        <w:t xml:space="preserve"> for NB-IoT</w:t>
      </w:r>
      <w:r>
        <w:rPr>
          <w:rFonts w:cs="Times" w:hint="eastAsia"/>
          <w:szCs w:val="20"/>
          <w:lang w:eastAsia="zh-CN"/>
        </w:rPr>
        <w:t>,</w:t>
      </w:r>
      <w:r>
        <w:rPr>
          <w:rFonts w:cs="Times"/>
          <w:szCs w:val="20"/>
          <w:lang w:eastAsia="zh-CN"/>
        </w:rPr>
        <w:t xml:space="preserve"> multiple DL or UL TB scheduling for unicast is enabled by the same higher layer parameter.  </w:t>
      </w:r>
    </w:p>
    <w:tbl>
      <w:tblPr>
        <w:tblW w:w="5000" w:type="pct"/>
        <w:tblLook w:val="04A0" w:firstRow="1" w:lastRow="0" w:firstColumn="1" w:lastColumn="0" w:noHBand="0" w:noVBand="1"/>
      </w:tblPr>
      <w:tblGrid>
        <w:gridCol w:w="741"/>
        <w:gridCol w:w="624"/>
        <w:gridCol w:w="686"/>
        <w:gridCol w:w="500"/>
        <w:gridCol w:w="468"/>
        <w:gridCol w:w="462"/>
        <w:gridCol w:w="614"/>
        <w:gridCol w:w="553"/>
        <w:gridCol w:w="624"/>
        <w:gridCol w:w="643"/>
        <w:gridCol w:w="520"/>
        <w:gridCol w:w="534"/>
        <w:gridCol w:w="548"/>
        <w:gridCol w:w="500"/>
        <w:gridCol w:w="590"/>
        <w:gridCol w:w="700"/>
      </w:tblGrid>
      <w:tr w:rsidR="003832DA" w:rsidRPr="00CA419C" w14:paraId="74B81BD4" w14:textId="77777777" w:rsidTr="003832DA">
        <w:trPr>
          <w:trHeight w:val="675"/>
        </w:trPr>
        <w:tc>
          <w:tcPr>
            <w:tcW w:w="235"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41E0E87A" w14:textId="77777777" w:rsidR="003832DA" w:rsidRPr="00CA419C" w:rsidRDefault="003832DA" w:rsidP="0072161A">
            <w:pPr>
              <w:autoSpaceDE/>
              <w:autoSpaceDN/>
              <w:adjustRightInd/>
              <w:snapToGrid/>
              <w:spacing w:after="0"/>
              <w:jc w:val="left"/>
              <w:rPr>
                <w:rFonts w:ascii="Arial" w:eastAsia="等线" w:hAnsi="Arial" w:cs="Arial"/>
                <w:b/>
                <w:bCs/>
                <w:color w:val="000000"/>
                <w:sz w:val="11"/>
                <w:szCs w:val="11"/>
                <w:lang w:eastAsia="zh-CN"/>
              </w:rPr>
            </w:pPr>
            <w:r w:rsidRPr="00CA419C">
              <w:rPr>
                <w:rFonts w:ascii="Arial" w:eastAsia="等线" w:hAnsi="Arial" w:cs="Arial"/>
                <w:b/>
                <w:bCs/>
                <w:color w:val="000000"/>
                <w:sz w:val="11"/>
                <w:szCs w:val="11"/>
                <w:lang w:eastAsia="zh-CN"/>
              </w:rPr>
              <w:t>WI code</w:t>
            </w:r>
          </w:p>
        </w:tc>
        <w:tc>
          <w:tcPr>
            <w:tcW w:w="276" w:type="pct"/>
            <w:tcBorders>
              <w:top w:val="single" w:sz="4" w:space="0" w:color="auto"/>
              <w:left w:val="nil"/>
              <w:bottom w:val="single" w:sz="4" w:space="0" w:color="auto"/>
              <w:right w:val="single" w:sz="4" w:space="0" w:color="auto"/>
            </w:tcBorders>
            <w:shd w:val="clear" w:color="000000" w:fill="00B0F0"/>
            <w:vAlign w:val="center"/>
            <w:hideMark/>
          </w:tcPr>
          <w:p w14:paraId="6C4356C0" w14:textId="77777777" w:rsidR="003832DA" w:rsidRPr="00CA419C" w:rsidRDefault="003832DA"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Sub-feature group</w:t>
            </w:r>
          </w:p>
        </w:tc>
        <w:tc>
          <w:tcPr>
            <w:tcW w:w="398" w:type="pct"/>
            <w:tcBorders>
              <w:top w:val="single" w:sz="4" w:space="0" w:color="auto"/>
              <w:left w:val="nil"/>
              <w:bottom w:val="single" w:sz="4" w:space="0" w:color="auto"/>
              <w:right w:val="single" w:sz="4" w:space="0" w:color="auto"/>
            </w:tcBorders>
            <w:shd w:val="clear" w:color="000000" w:fill="00B0F0"/>
            <w:vAlign w:val="center"/>
            <w:hideMark/>
          </w:tcPr>
          <w:p w14:paraId="6E63FA0F" w14:textId="77777777" w:rsidR="003832DA" w:rsidRPr="00CA419C" w:rsidRDefault="003832DA"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RAN1 specification</w:t>
            </w:r>
          </w:p>
        </w:tc>
        <w:tc>
          <w:tcPr>
            <w:tcW w:w="287" w:type="pct"/>
            <w:tcBorders>
              <w:top w:val="single" w:sz="4" w:space="0" w:color="auto"/>
              <w:left w:val="nil"/>
              <w:bottom w:val="single" w:sz="4" w:space="0" w:color="auto"/>
              <w:right w:val="single" w:sz="4" w:space="0" w:color="auto"/>
            </w:tcBorders>
            <w:shd w:val="clear" w:color="000000" w:fill="00B0F0"/>
            <w:vAlign w:val="center"/>
            <w:hideMark/>
          </w:tcPr>
          <w:p w14:paraId="0C7D0A76" w14:textId="77777777" w:rsidR="003832DA" w:rsidRPr="00CA419C" w:rsidRDefault="003832DA"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Section</w:t>
            </w:r>
          </w:p>
        </w:tc>
        <w:tc>
          <w:tcPr>
            <w:tcW w:w="267" w:type="pct"/>
            <w:tcBorders>
              <w:top w:val="single" w:sz="4" w:space="0" w:color="auto"/>
              <w:left w:val="nil"/>
              <w:bottom w:val="single" w:sz="4" w:space="0" w:color="auto"/>
              <w:right w:val="single" w:sz="4" w:space="0" w:color="auto"/>
            </w:tcBorders>
            <w:shd w:val="clear" w:color="000000" w:fill="00B0F0"/>
            <w:vAlign w:val="center"/>
            <w:hideMark/>
          </w:tcPr>
          <w:p w14:paraId="340711D5" w14:textId="77777777" w:rsidR="003832DA" w:rsidRPr="00CA419C" w:rsidRDefault="003832DA"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RAN2 Parant IE</w:t>
            </w:r>
          </w:p>
        </w:tc>
        <w:tc>
          <w:tcPr>
            <w:tcW w:w="264" w:type="pct"/>
            <w:tcBorders>
              <w:top w:val="single" w:sz="4" w:space="0" w:color="auto"/>
              <w:left w:val="nil"/>
              <w:bottom w:val="single" w:sz="4" w:space="0" w:color="auto"/>
              <w:right w:val="single" w:sz="4" w:space="0" w:color="auto"/>
            </w:tcBorders>
            <w:shd w:val="clear" w:color="000000" w:fill="00B0F0"/>
            <w:vAlign w:val="center"/>
            <w:hideMark/>
          </w:tcPr>
          <w:p w14:paraId="0E43DE5E" w14:textId="77777777" w:rsidR="003832DA" w:rsidRPr="00CA419C" w:rsidRDefault="003832DA"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RAN2 ASN.1 name</w:t>
            </w:r>
          </w:p>
        </w:tc>
        <w:tc>
          <w:tcPr>
            <w:tcW w:w="355" w:type="pct"/>
            <w:tcBorders>
              <w:top w:val="single" w:sz="4" w:space="0" w:color="auto"/>
              <w:left w:val="nil"/>
              <w:bottom w:val="single" w:sz="4" w:space="0" w:color="auto"/>
              <w:right w:val="single" w:sz="4" w:space="0" w:color="auto"/>
            </w:tcBorders>
            <w:shd w:val="clear" w:color="000000" w:fill="00B0F0"/>
            <w:vAlign w:val="center"/>
            <w:hideMark/>
          </w:tcPr>
          <w:p w14:paraId="5CB66249" w14:textId="77777777" w:rsidR="003832DA" w:rsidRPr="00CA419C" w:rsidRDefault="003832DA"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Parameter name in the spec</w:t>
            </w:r>
          </w:p>
        </w:tc>
        <w:tc>
          <w:tcPr>
            <w:tcW w:w="318" w:type="pct"/>
            <w:tcBorders>
              <w:top w:val="single" w:sz="4" w:space="0" w:color="auto"/>
              <w:left w:val="nil"/>
              <w:bottom w:val="single" w:sz="4" w:space="0" w:color="auto"/>
              <w:right w:val="single" w:sz="4" w:space="0" w:color="auto"/>
            </w:tcBorders>
            <w:shd w:val="clear" w:color="000000" w:fill="00B0F0"/>
            <w:vAlign w:val="center"/>
            <w:hideMark/>
          </w:tcPr>
          <w:p w14:paraId="5BE575D1" w14:textId="77777777" w:rsidR="003832DA" w:rsidRPr="00CA419C" w:rsidRDefault="003832DA"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New or existing?</w:t>
            </w:r>
          </w:p>
        </w:tc>
        <w:tc>
          <w:tcPr>
            <w:tcW w:w="355" w:type="pct"/>
            <w:tcBorders>
              <w:top w:val="single" w:sz="4" w:space="0" w:color="auto"/>
              <w:left w:val="nil"/>
              <w:bottom w:val="single" w:sz="4" w:space="0" w:color="auto"/>
              <w:right w:val="single" w:sz="4" w:space="0" w:color="auto"/>
            </w:tcBorders>
            <w:shd w:val="clear" w:color="000000" w:fill="00B0F0"/>
            <w:vAlign w:val="center"/>
            <w:hideMark/>
          </w:tcPr>
          <w:p w14:paraId="0CE5B0F7" w14:textId="77777777" w:rsidR="003832DA" w:rsidRPr="00CA419C" w:rsidRDefault="003832DA"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Parameter name in the text</w:t>
            </w:r>
          </w:p>
        </w:tc>
        <w:tc>
          <w:tcPr>
            <w:tcW w:w="372" w:type="pct"/>
            <w:tcBorders>
              <w:top w:val="single" w:sz="4" w:space="0" w:color="auto"/>
              <w:left w:val="nil"/>
              <w:bottom w:val="single" w:sz="4" w:space="0" w:color="auto"/>
              <w:right w:val="single" w:sz="4" w:space="0" w:color="auto"/>
            </w:tcBorders>
            <w:shd w:val="clear" w:color="000000" w:fill="00B0F0"/>
            <w:vAlign w:val="center"/>
            <w:hideMark/>
          </w:tcPr>
          <w:p w14:paraId="62C2A5A2" w14:textId="77777777" w:rsidR="003832DA" w:rsidRPr="00CA419C" w:rsidRDefault="003832DA"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Description</w:t>
            </w:r>
          </w:p>
        </w:tc>
        <w:tc>
          <w:tcPr>
            <w:tcW w:w="247" w:type="pct"/>
            <w:tcBorders>
              <w:top w:val="single" w:sz="4" w:space="0" w:color="auto"/>
              <w:left w:val="nil"/>
              <w:bottom w:val="single" w:sz="4" w:space="0" w:color="auto"/>
              <w:right w:val="single" w:sz="4" w:space="0" w:color="auto"/>
            </w:tcBorders>
            <w:shd w:val="clear" w:color="auto" w:fill="00B0F0"/>
            <w:vAlign w:val="center"/>
            <w:hideMark/>
          </w:tcPr>
          <w:p w14:paraId="605910A4" w14:textId="77777777" w:rsidR="003832DA" w:rsidRPr="00CA419C" w:rsidRDefault="003832DA"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Value range</w:t>
            </w:r>
          </w:p>
        </w:tc>
        <w:tc>
          <w:tcPr>
            <w:tcW w:w="278" w:type="pct"/>
            <w:tcBorders>
              <w:top w:val="single" w:sz="4" w:space="0" w:color="auto"/>
              <w:left w:val="nil"/>
              <w:bottom w:val="single" w:sz="4" w:space="0" w:color="auto"/>
              <w:right w:val="single" w:sz="4" w:space="0" w:color="auto"/>
            </w:tcBorders>
            <w:shd w:val="clear" w:color="000000" w:fill="00B0F0"/>
            <w:vAlign w:val="center"/>
            <w:hideMark/>
          </w:tcPr>
          <w:p w14:paraId="53E046C8" w14:textId="77777777" w:rsidR="003832DA" w:rsidRPr="00CA419C" w:rsidRDefault="003832DA"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Default value aspect (see note)</w:t>
            </w:r>
          </w:p>
        </w:tc>
        <w:tc>
          <w:tcPr>
            <w:tcW w:w="315" w:type="pct"/>
            <w:tcBorders>
              <w:top w:val="single" w:sz="4" w:space="0" w:color="auto"/>
              <w:left w:val="nil"/>
              <w:bottom w:val="single" w:sz="4" w:space="0" w:color="auto"/>
              <w:right w:val="single" w:sz="4" w:space="0" w:color="auto"/>
            </w:tcBorders>
            <w:shd w:val="clear" w:color="000000" w:fill="00B0F0"/>
            <w:vAlign w:val="center"/>
            <w:hideMark/>
          </w:tcPr>
          <w:p w14:paraId="5E085360" w14:textId="77777777" w:rsidR="003832DA" w:rsidRPr="00CA419C" w:rsidRDefault="003832DA" w:rsidP="0072161A">
            <w:pPr>
              <w:autoSpaceDE/>
              <w:autoSpaceDN/>
              <w:adjustRightInd/>
              <w:snapToGrid/>
              <w:spacing w:after="0"/>
              <w:jc w:val="left"/>
              <w:rPr>
                <w:rFonts w:ascii="Arial" w:eastAsia="等线" w:hAnsi="Arial" w:cs="Arial"/>
                <w:b/>
                <w:bCs/>
                <w:sz w:val="11"/>
                <w:szCs w:val="11"/>
                <w:lang w:eastAsia="zh-CN"/>
              </w:rPr>
            </w:pPr>
            <w:r w:rsidRPr="00CA419C">
              <w:rPr>
                <w:rFonts w:ascii="Arial" w:eastAsia="等线" w:hAnsi="Arial" w:cs="Arial"/>
                <w:b/>
                <w:bCs/>
                <w:sz w:val="11"/>
                <w:szCs w:val="11"/>
                <w:lang w:eastAsia="zh-CN"/>
              </w:rPr>
              <w:t>Per (UE, cell, TRP, …)</w:t>
            </w:r>
          </w:p>
        </w:tc>
        <w:tc>
          <w:tcPr>
            <w:tcW w:w="287" w:type="pct"/>
            <w:tcBorders>
              <w:top w:val="single" w:sz="4" w:space="0" w:color="auto"/>
              <w:left w:val="nil"/>
              <w:bottom w:val="single" w:sz="4" w:space="0" w:color="auto"/>
              <w:right w:val="single" w:sz="4" w:space="0" w:color="auto"/>
            </w:tcBorders>
            <w:shd w:val="clear" w:color="000000" w:fill="00B0F0"/>
            <w:vAlign w:val="center"/>
            <w:hideMark/>
          </w:tcPr>
          <w:p w14:paraId="00737939" w14:textId="77777777" w:rsidR="003832DA" w:rsidRPr="00CA419C" w:rsidRDefault="003832DA"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UE-specific or Cell-specific</w:t>
            </w:r>
          </w:p>
        </w:tc>
        <w:tc>
          <w:tcPr>
            <w:tcW w:w="341" w:type="pct"/>
            <w:tcBorders>
              <w:top w:val="single" w:sz="4" w:space="0" w:color="auto"/>
              <w:left w:val="nil"/>
              <w:bottom w:val="single" w:sz="4" w:space="0" w:color="auto"/>
              <w:right w:val="single" w:sz="4" w:space="0" w:color="auto"/>
            </w:tcBorders>
            <w:shd w:val="clear" w:color="000000" w:fill="00B0F0"/>
            <w:vAlign w:val="center"/>
            <w:hideMark/>
          </w:tcPr>
          <w:p w14:paraId="68FE3009" w14:textId="77777777" w:rsidR="003832DA" w:rsidRPr="00CA419C" w:rsidRDefault="003832DA" w:rsidP="0072161A">
            <w:pPr>
              <w:autoSpaceDE/>
              <w:autoSpaceDN/>
              <w:adjustRightInd/>
              <w:snapToGrid/>
              <w:spacing w:after="0"/>
              <w:jc w:val="left"/>
              <w:rPr>
                <w:rFonts w:ascii="Arial" w:eastAsia="等线" w:hAnsi="Arial" w:cs="Arial"/>
                <w:b/>
                <w:bCs/>
                <w:color w:val="000000"/>
                <w:sz w:val="11"/>
                <w:szCs w:val="11"/>
                <w:lang w:eastAsia="zh-CN"/>
              </w:rPr>
            </w:pPr>
            <w:r w:rsidRPr="00CA419C">
              <w:rPr>
                <w:rFonts w:ascii="Arial" w:eastAsia="等线" w:hAnsi="Arial" w:cs="Arial"/>
                <w:b/>
                <w:bCs/>
                <w:color w:val="000000"/>
                <w:sz w:val="11"/>
                <w:szCs w:val="11"/>
                <w:lang w:eastAsia="zh-CN"/>
              </w:rPr>
              <w:t>TDD/FDD</w:t>
            </w:r>
          </w:p>
        </w:tc>
        <w:tc>
          <w:tcPr>
            <w:tcW w:w="406" w:type="pct"/>
            <w:tcBorders>
              <w:top w:val="single" w:sz="4" w:space="0" w:color="auto"/>
              <w:left w:val="nil"/>
              <w:bottom w:val="single" w:sz="4" w:space="0" w:color="auto"/>
              <w:right w:val="single" w:sz="4" w:space="0" w:color="auto"/>
            </w:tcBorders>
            <w:shd w:val="clear" w:color="000000" w:fill="00B0F0"/>
            <w:vAlign w:val="center"/>
            <w:hideMark/>
          </w:tcPr>
          <w:p w14:paraId="7A85A92D" w14:textId="77777777" w:rsidR="003832DA" w:rsidRPr="00CA419C" w:rsidRDefault="003832DA"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Specification</w:t>
            </w:r>
          </w:p>
        </w:tc>
      </w:tr>
      <w:tr w:rsidR="003832DA" w:rsidRPr="00CA419C" w14:paraId="304ACD16" w14:textId="77777777" w:rsidTr="003832DA">
        <w:trPr>
          <w:trHeight w:val="675"/>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14:paraId="60A993AD" w14:textId="514264E4" w:rsidR="003832DA" w:rsidRPr="003832DA" w:rsidRDefault="003832DA" w:rsidP="003832DA">
            <w:pPr>
              <w:autoSpaceDE/>
              <w:autoSpaceDN/>
              <w:adjustRightInd/>
              <w:snapToGrid/>
              <w:spacing w:after="0"/>
              <w:jc w:val="left"/>
              <w:rPr>
                <w:rFonts w:ascii="Arial" w:eastAsia="等线" w:hAnsi="Arial" w:cs="Arial"/>
                <w:b/>
                <w:bCs/>
                <w:color w:val="000000"/>
                <w:sz w:val="11"/>
                <w:szCs w:val="11"/>
                <w:lang w:eastAsia="zh-CN"/>
              </w:rPr>
            </w:pPr>
            <w:r w:rsidRPr="003832DA">
              <w:rPr>
                <w:rFonts w:ascii="Arial" w:eastAsia="等线" w:hAnsi="Arial" w:cs="Arial"/>
                <w:sz w:val="11"/>
                <w:szCs w:val="11"/>
              </w:rPr>
              <w:t>NB_IOTenh3-Core</w:t>
            </w:r>
          </w:p>
        </w:tc>
        <w:tc>
          <w:tcPr>
            <w:tcW w:w="276" w:type="pct"/>
            <w:tcBorders>
              <w:top w:val="single" w:sz="4" w:space="0" w:color="auto"/>
              <w:left w:val="nil"/>
              <w:bottom w:val="single" w:sz="4" w:space="0" w:color="auto"/>
              <w:right w:val="single" w:sz="4" w:space="0" w:color="auto"/>
            </w:tcBorders>
            <w:shd w:val="clear" w:color="auto" w:fill="auto"/>
            <w:vAlign w:val="center"/>
          </w:tcPr>
          <w:p w14:paraId="649340CB" w14:textId="7B256F38" w:rsidR="003832DA" w:rsidRPr="003832DA" w:rsidRDefault="003832DA" w:rsidP="003832DA">
            <w:pPr>
              <w:autoSpaceDE/>
              <w:autoSpaceDN/>
              <w:adjustRightInd/>
              <w:snapToGrid/>
              <w:spacing w:after="0"/>
              <w:jc w:val="left"/>
              <w:rPr>
                <w:rFonts w:ascii="Arial" w:eastAsia="等线" w:hAnsi="Arial" w:cs="Arial"/>
                <w:color w:val="000000"/>
                <w:sz w:val="11"/>
                <w:szCs w:val="11"/>
                <w:lang w:eastAsia="zh-CN"/>
              </w:rPr>
            </w:pPr>
            <w:r w:rsidRPr="003832DA">
              <w:rPr>
                <w:rFonts w:ascii="Arial" w:eastAsia="等线" w:hAnsi="Arial" w:cs="Arial"/>
                <w:sz w:val="11"/>
                <w:szCs w:val="11"/>
              </w:rPr>
              <w:t>Multi-TB scheduling</w:t>
            </w:r>
          </w:p>
        </w:tc>
        <w:tc>
          <w:tcPr>
            <w:tcW w:w="398" w:type="pct"/>
            <w:tcBorders>
              <w:top w:val="single" w:sz="4" w:space="0" w:color="auto"/>
              <w:left w:val="nil"/>
              <w:bottom w:val="single" w:sz="4" w:space="0" w:color="auto"/>
              <w:right w:val="single" w:sz="4" w:space="0" w:color="auto"/>
            </w:tcBorders>
            <w:shd w:val="clear" w:color="auto" w:fill="auto"/>
            <w:vAlign w:val="center"/>
          </w:tcPr>
          <w:p w14:paraId="002989A3" w14:textId="6628A2DD" w:rsidR="003832DA" w:rsidRPr="003832DA" w:rsidRDefault="003832DA" w:rsidP="003832DA">
            <w:pPr>
              <w:autoSpaceDE/>
              <w:autoSpaceDN/>
              <w:adjustRightInd/>
              <w:snapToGrid/>
              <w:spacing w:after="0"/>
              <w:jc w:val="left"/>
              <w:rPr>
                <w:rFonts w:ascii="Arial" w:eastAsia="等线" w:hAnsi="Arial" w:cs="Arial"/>
                <w:color w:val="000000"/>
                <w:sz w:val="11"/>
                <w:szCs w:val="11"/>
                <w:lang w:eastAsia="zh-CN"/>
              </w:rPr>
            </w:pPr>
            <w:r w:rsidRPr="003832DA">
              <w:rPr>
                <w:rFonts w:ascii="Arial" w:eastAsia="等线" w:hAnsi="Arial" w:cs="Arial"/>
                <w:sz w:val="11"/>
                <w:szCs w:val="11"/>
              </w:rPr>
              <w:t>36.211, 36.212, 36.213</w:t>
            </w:r>
          </w:p>
        </w:tc>
        <w:tc>
          <w:tcPr>
            <w:tcW w:w="287" w:type="pct"/>
            <w:tcBorders>
              <w:top w:val="single" w:sz="4" w:space="0" w:color="auto"/>
              <w:left w:val="nil"/>
              <w:bottom w:val="single" w:sz="4" w:space="0" w:color="auto"/>
              <w:right w:val="single" w:sz="4" w:space="0" w:color="auto"/>
            </w:tcBorders>
            <w:shd w:val="clear" w:color="auto" w:fill="auto"/>
            <w:vAlign w:val="center"/>
          </w:tcPr>
          <w:p w14:paraId="5491D62E" w14:textId="3FFCEB4D" w:rsidR="003832DA" w:rsidRPr="003832DA" w:rsidRDefault="003832DA" w:rsidP="003832DA">
            <w:pPr>
              <w:autoSpaceDE/>
              <w:autoSpaceDN/>
              <w:adjustRightInd/>
              <w:snapToGrid/>
              <w:spacing w:after="0"/>
              <w:jc w:val="left"/>
              <w:rPr>
                <w:rFonts w:ascii="Arial" w:eastAsia="等线" w:hAnsi="Arial" w:cs="Arial"/>
                <w:color w:val="000000"/>
                <w:sz w:val="11"/>
                <w:szCs w:val="11"/>
                <w:lang w:eastAsia="zh-CN"/>
              </w:rPr>
            </w:pPr>
            <w:r w:rsidRPr="003832DA">
              <w:rPr>
                <w:rFonts w:ascii="等线" w:eastAsia="等线" w:hAnsi="等线" w:hint="eastAsia"/>
                <w:sz w:val="11"/>
                <w:szCs w:val="11"/>
              </w:rPr>
              <w:t xml:space="preserve">　</w:t>
            </w:r>
          </w:p>
        </w:tc>
        <w:tc>
          <w:tcPr>
            <w:tcW w:w="267" w:type="pct"/>
            <w:tcBorders>
              <w:top w:val="single" w:sz="4" w:space="0" w:color="auto"/>
              <w:left w:val="nil"/>
              <w:bottom w:val="single" w:sz="4" w:space="0" w:color="auto"/>
              <w:right w:val="single" w:sz="4" w:space="0" w:color="auto"/>
            </w:tcBorders>
            <w:shd w:val="clear" w:color="auto" w:fill="auto"/>
            <w:vAlign w:val="center"/>
          </w:tcPr>
          <w:p w14:paraId="79D283BE" w14:textId="64DBBBD7" w:rsidR="003832DA" w:rsidRPr="003832DA" w:rsidRDefault="003832DA" w:rsidP="003832DA">
            <w:pPr>
              <w:autoSpaceDE/>
              <w:autoSpaceDN/>
              <w:adjustRightInd/>
              <w:snapToGrid/>
              <w:spacing w:after="0"/>
              <w:jc w:val="left"/>
              <w:rPr>
                <w:rFonts w:ascii="Arial" w:eastAsia="等线" w:hAnsi="Arial" w:cs="Arial"/>
                <w:color w:val="000000"/>
                <w:sz w:val="11"/>
                <w:szCs w:val="11"/>
                <w:lang w:eastAsia="zh-CN"/>
              </w:rPr>
            </w:pPr>
            <w:r w:rsidRPr="003832DA">
              <w:rPr>
                <w:rFonts w:ascii="等线" w:eastAsia="等线" w:hAnsi="等线" w:hint="eastAsia"/>
                <w:sz w:val="11"/>
                <w:szCs w:val="11"/>
              </w:rPr>
              <w:t xml:space="preserve">　</w:t>
            </w:r>
          </w:p>
        </w:tc>
        <w:tc>
          <w:tcPr>
            <w:tcW w:w="264" w:type="pct"/>
            <w:tcBorders>
              <w:top w:val="single" w:sz="4" w:space="0" w:color="auto"/>
              <w:left w:val="nil"/>
              <w:bottom w:val="single" w:sz="4" w:space="0" w:color="auto"/>
              <w:right w:val="single" w:sz="4" w:space="0" w:color="auto"/>
            </w:tcBorders>
            <w:shd w:val="clear" w:color="auto" w:fill="auto"/>
            <w:vAlign w:val="center"/>
          </w:tcPr>
          <w:p w14:paraId="1C1500DE" w14:textId="5CC22343" w:rsidR="003832DA" w:rsidRPr="003832DA" w:rsidRDefault="003832DA" w:rsidP="003832DA">
            <w:pPr>
              <w:autoSpaceDE/>
              <w:autoSpaceDN/>
              <w:adjustRightInd/>
              <w:snapToGrid/>
              <w:spacing w:after="0"/>
              <w:jc w:val="left"/>
              <w:rPr>
                <w:rFonts w:ascii="Arial" w:eastAsia="等线" w:hAnsi="Arial" w:cs="Arial"/>
                <w:color w:val="000000"/>
                <w:sz w:val="11"/>
                <w:szCs w:val="11"/>
                <w:lang w:eastAsia="zh-CN"/>
              </w:rPr>
            </w:pPr>
            <w:r w:rsidRPr="003832DA">
              <w:rPr>
                <w:rFonts w:ascii="等线" w:eastAsia="等线" w:hAnsi="等线" w:hint="eastAsia"/>
                <w:sz w:val="11"/>
                <w:szCs w:val="11"/>
              </w:rPr>
              <w:t xml:space="preserve">　</w:t>
            </w:r>
          </w:p>
        </w:tc>
        <w:tc>
          <w:tcPr>
            <w:tcW w:w="355" w:type="pct"/>
            <w:tcBorders>
              <w:top w:val="single" w:sz="4" w:space="0" w:color="auto"/>
              <w:left w:val="nil"/>
              <w:bottom w:val="single" w:sz="4" w:space="0" w:color="auto"/>
              <w:right w:val="single" w:sz="4" w:space="0" w:color="auto"/>
            </w:tcBorders>
            <w:shd w:val="clear" w:color="auto" w:fill="auto"/>
            <w:vAlign w:val="center"/>
          </w:tcPr>
          <w:p w14:paraId="6CCF0D67" w14:textId="1ECF9A5B" w:rsidR="003832DA" w:rsidRPr="003832DA" w:rsidRDefault="003832DA" w:rsidP="003832DA">
            <w:pPr>
              <w:autoSpaceDE/>
              <w:autoSpaceDN/>
              <w:adjustRightInd/>
              <w:snapToGrid/>
              <w:spacing w:after="0"/>
              <w:jc w:val="left"/>
              <w:rPr>
                <w:rFonts w:ascii="Arial" w:eastAsia="等线" w:hAnsi="Arial" w:cs="Arial"/>
                <w:color w:val="000000"/>
                <w:sz w:val="11"/>
                <w:szCs w:val="11"/>
                <w:lang w:eastAsia="zh-CN"/>
              </w:rPr>
            </w:pPr>
            <w:r w:rsidRPr="003832DA">
              <w:rPr>
                <w:rFonts w:ascii="Arial" w:eastAsia="等线" w:hAnsi="Arial" w:cs="Arial"/>
                <w:sz w:val="11"/>
                <w:szCs w:val="11"/>
              </w:rPr>
              <w:t>multi-TB-Unicast-config</w:t>
            </w:r>
          </w:p>
        </w:tc>
        <w:tc>
          <w:tcPr>
            <w:tcW w:w="318" w:type="pct"/>
            <w:tcBorders>
              <w:top w:val="single" w:sz="4" w:space="0" w:color="auto"/>
              <w:left w:val="nil"/>
              <w:bottom w:val="single" w:sz="4" w:space="0" w:color="auto"/>
              <w:right w:val="single" w:sz="4" w:space="0" w:color="auto"/>
            </w:tcBorders>
            <w:shd w:val="clear" w:color="auto" w:fill="auto"/>
            <w:vAlign w:val="center"/>
          </w:tcPr>
          <w:p w14:paraId="5E421091" w14:textId="1D6166CF" w:rsidR="003832DA" w:rsidRPr="003832DA" w:rsidRDefault="003832DA" w:rsidP="003832DA">
            <w:pPr>
              <w:autoSpaceDE/>
              <w:autoSpaceDN/>
              <w:adjustRightInd/>
              <w:snapToGrid/>
              <w:spacing w:after="0"/>
              <w:jc w:val="left"/>
              <w:rPr>
                <w:rFonts w:ascii="Arial" w:eastAsia="等线" w:hAnsi="Arial" w:cs="Arial"/>
                <w:color w:val="000000"/>
                <w:sz w:val="11"/>
                <w:szCs w:val="11"/>
                <w:lang w:eastAsia="zh-CN"/>
              </w:rPr>
            </w:pPr>
            <w:r w:rsidRPr="003832DA">
              <w:rPr>
                <w:rFonts w:ascii="Arial" w:eastAsia="等线" w:hAnsi="Arial" w:cs="Arial"/>
                <w:sz w:val="11"/>
                <w:szCs w:val="11"/>
              </w:rPr>
              <w:t>New</w:t>
            </w:r>
          </w:p>
        </w:tc>
        <w:tc>
          <w:tcPr>
            <w:tcW w:w="355" w:type="pct"/>
            <w:tcBorders>
              <w:top w:val="single" w:sz="4" w:space="0" w:color="auto"/>
              <w:left w:val="nil"/>
              <w:bottom w:val="single" w:sz="4" w:space="0" w:color="auto"/>
              <w:right w:val="single" w:sz="4" w:space="0" w:color="auto"/>
            </w:tcBorders>
            <w:shd w:val="clear" w:color="auto" w:fill="auto"/>
            <w:vAlign w:val="center"/>
          </w:tcPr>
          <w:p w14:paraId="27827719" w14:textId="3CB1CD32" w:rsidR="003832DA" w:rsidRPr="003832DA" w:rsidRDefault="003832DA" w:rsidP="003832DA">
            <w:pPr>
              <w:autoSpaceDE/>
              <w:autoSpaceDN/>
              <w:adjustRightInd/>
              <w:snapToGrid/>
              <w:spacing w:after="0"/>
              <w:jc w:val="left"/>
              <w:rPr>
                <w:rFonts w:ascii="Arial" w:eastAsia="等线" w:hAnsi="Arial" w:cs="Arial"/>
                <w:color w:val="000000"/>
                <w:sz w:val="11"/>
                <w:szCs w:val="11"/>
                <w:lang w:eastAsia="zh-CN"/>
              </w:rPr>
            </w:pPr>
            <w:r w:rsidRPr="003832DA">
              <w:rPr>
                <w:rFonts w:ascii="Arial" w:eastAsia="等线" w:hAnsi="Arial" w:cs="Arial"/>
                <w:sz w:val="11"/>
                <w:szCs w:val="11"/>
              </w:rPr>
              <w:t>Multi-TB scheduling enabled for unicast</w:t>
            </w:r>
          </w:p>
        </w:tc>
        <w:tc>
          <w:tcPr>
            <w:tcW w:w="372" w:type="pct"/>
            <w:tcBorders>
              <w:top w:val="single" w:sz="4" w:space="0" w:color="auto"/>
              <w:left w:val="nil"/>
              <w:bottom w:val="single" w:sz="4" w:space="0" w:color="auto"/>
              <w:right w:val="single" w:sz="4" w:space="0" w:color="auto"/>
            </w:tcBorders>
            <w:shd w:val="clear" w:color="auto" w:fill="auto"/>
            <w:vAlign w:val="center"/>
          </w:tcPr>
          <w:p w14:paraId="531FCD8D" w14:textId="0C19C146" w:rsidR="003832DA" w:rsidRPr="003832DA" w:rsidRDefault="003832DA" w:rsidP="003832DA">
            <w:pPr>
              <w:autoSpaceDE/>
              <w:autoSpaceDN/>
              <w:adjustRightInd/>
              <w:snapToGrid/>
              <w:spacing w:after="0"/>
              <w:jc w:val="left"/>
              <w:rPr>
                <w:rFonts w:ascii="Arial" w:eastAsia="等线" w:hAnsi="Arial" w:cs="Arial"/>
                <w:color w:val="000000"/>
                <w:sz w:val="11"/>
                <w:szCs w:val="11"/>
                <w:lang w:eastAsia="zh-CN"/>
              </w:rPr>
            </w:pPr>
            <w:r w:rsidRPr="003832DA">
              <w:rPr>
                <w:rFonts w:ascii="Arial" w:eastAsia="等线" w:hAnsi="Arial" w:cs="Arial"/>
                <w:sz w:val="11"/>
                <w:szCs w:val="11"/>
              </w:rPr>
              <w:t>If enabled, one DCI can be used to schedule multiple TBs for unicast.</w:t>
            </w:r>
          </w:p>
        </w:tc>
        <w:tc>
          <w:tcPr>
            <w:tcW w:w="247" w:type="pct"/>
            <w:tcBorders>
              <w:top w:val="single" w:sz="4" w:space="0" w:color="auto"/>
              <w:left w:val="nil"/>
              <w:bottom w:val="single" w:sz="4" w:space="0" w:color="auto"/>
              <w:right w:val="single" w:sz="4" w:space="0" w:color="auto"/>
            </w:tcBorders>
            <w:shd w:val="clear" w:color="auto" w:fill="auto"/>
            <w:vAlign w:val="center"/>
          </w:tcPr>
          <w:p w14:paraId="061D8167" w14:textId="53184031" w:rsidR="003832DA" w:rsidRPr="003832DA" w:rsidRDefault="003832DA" w:rsidP="003832DA">
            <w:pPr>
              <w:autoSpaceDE/>
              <w:autoSpaceDN/>
              <w:adjustRightInd/>
              <w:snapToGrid/>
              <w:spacing w:after="0"/>
              <w:jc w:val="left"/>
              <w:rPr>
                <w:rFonts w:ascii="Arial" w:eastAsia="等线" w:hAnsi="Arial" w:cs="Arial"/>
                <w:color w:val="000000"/>
                <w:sz w:val="11"/>
                <w:szCs w:val="11"/>
                <w:highlight w:val="yellow"/>
                <w:lang w:eastAsia="zh-CN"/>
              </w:rPr>
            </w:pPr>
            <w:r w:rsidRPr="003832DA">
              <w:rPr>
                <w:rFonts w:ascii="Arial" w:eastAsia="等线" w:hAnsi="Arial" w:cs="Arial"/>
                <w:sz w:val="11"/>
                <w:szCs w:val="11"/>
              </w:rPr>
              <w:t>enabled</w:t>
            </w:r>
          </w:p>
        </w:tc>
        <w:tc>
          <w:tcPr>
            <w:tcW w:w="278" w:type="pct"/>
            <w:tcBorders>
              <w:top w:val="single" w:sz="4" w:space="0" w:color="auto"/>
              <w:left w:val="nil"/>
              <w:bottom w:val="single" w:sz="4" w:space="0" w:color="auto"/>
              <w:right w:val="single" w:sz="4" w:space="0" w:color="auto"/>
            </w:tcBorders>
            <w:shd w:val="clear" w:color="auto" w:fill="auto"/>
            <w:vAlign w:val="center"/>
          </w:tcPr>
          <w:p w14:paraId="34FA0477" w14:textId="6463869E" w:rsidR="003832DA" w:rsidRPr="003832DA" w:rsidRDefault="003832DA" w:rsidP="003832DA">
            <w:pPr>
              <w:autoSpaceDE/>
              <w:autoSpaceDN/>
              <w:adjustRightInd/>
              <w:snapToGrid/>
              <w:spacing w:after="0"/>
              <w:jc w:val="left"/>
              <w:rPr>
                <w:rFonts w:ascii="Arial" w:eastAsia="等线" w:hAnsi="Arial" w:cs="Arial"/>
                <w:color w:val="000000"/>
                <w:sz w:val="11"/>
                <w:szCs w:val="11"/>
                <w:lang w:eastAsia="zh-CN"/>
              </w:rPr>
            </w:pPr>
            <w:r w:rsidRPr="003832DA">
              <w:rPr>
                <w:rFonts w:ascii="Arial" w:eastAsia="等线" w:hAnsi="Arial" w:cs="Arial"/>
                <w:sz w:val="11"/>
                <w:szCs w:val="11"/>
              </w:rPr>
              <w:t>disabled</w:t>
            </w:r>
          </w:p>
        </w:tc>
        <w:tc>
          <w:tcPr>
            <w:tcW w:w="315" w:type="pct"/>
            <w:tcBorders>
              <w:top w:val="single" w:sz="4" w:space="0" w:color="auto"/>
              <w:left w:val="nil"/>
              <w:bottom w:val="single" w:sz="4" w:space="0" w:color="auto"/>
              <w:right w:val="single" w:sz="4" w:space="0" w:color="auto"/>
            </w:tcBorders>
            <w:shd w:val="clear" w:color="auto" w:fill="auto"/>
            <w:vAlign w:val="center"/>
          </w:tcPr>
          <w:p w14:paraId="768A1DF9" w14:textId="59304E0A" w:rsidR="003832DA" w:rsidRPr="003832DA" w:rsidRDefault="003832DA" w:rsidP="003832DA">
            <w:pPr>
              <w:autoSpaceDE/>
              <w:autoSpaceDN/>
              <w:adjustRightInd/>
              <w:snapToGrid/>
              <w:spacing w:after="0"/>
              <w:jc w:val="left"/>
              <w:rPr>
                <w:rFonts w:ascii="Arial" w:eastAsia="等线" w:hAnsi="Arial" w:cs="Arial"/>
                <w:b/>
                <w:bCs/>
                <w:sz w:val="11"/>
                <w:szCs w:val="11"/>
                <w:lang w:eastAsia="zh-CN"/>
              </w:rPr>
            </w:pPr>
            <w:r w:rsidRPr="003832DA">
              <w:rPr>
                <w:rFonts w:ascii="Arial" w:eastAsia="等线" w:hAnsi="Arial" w:cs="Arial"/>
                <w:sz w:val="11"/>
                <w:szCs w:val="11"/>
              </w:rPr>
              <w:t xml:space="preserve">　</w:t>
            </w:r>
          </w:p>
        </w:tc>
        <w:tc>
          <w:tcPr>
            <w:tcW w:w="287" w:type="pct"/>
            <w:tcBorders>
              <w:top w:val="single" w:sz="4" w:space="0" w:color="auto"/>
              <w:left w:val="nil"/>
              <w:bottom w:val="single" w:sz="4" w:space="0" w:color="auto"/>
              <w:right w:val="single" w:sz="4" w:space="0" w:color="auto"/>
            </w:tcBorders>
            <w:shd w:val="clear" w:color="auto" w:fill="auto"/>
            <w:vAlign w:val="center"/>
          </w:tcPr>
          <w:p w14:paraId="2BACC402" w14:textId="2D2EAC07" w:rsidR="003832DA" w:rsidRPr="003832DA" w:rsidRDefault="003832DA" w:rsidP="003832DA">
            <w:pPr>
              <w:autoSpaceDE/>
              <w:autoSpaceDN/>
              <w:adjustRightInd/>
              <w:snapToGrid/>
              <w:spacing w:after="0"/>
              <w:jc w:val="left"/>
              <w:rPr>
                <w:rFonts w:ascii="Arial" w:eastAsia="等线" w:hAnsi="Arial" w:cs="Arial"/>
                <w:color w:val="000000"/>
                <w:sz w:val="11"/>
                <w:szCs w:val="11"/>
                <w:lang w:eastAsia="zh-CN"/>
              </w:rPr>
            </w:pPr>
            <w:r w:rsidRPr="003832DA">
              <w:rPr>
                <w:rFonts w:ascii="Arial" w:eastAsia="等线" w:hAnsi="Arial" w:cs="Arial"/>
                <w:sz w:val="11"/>
                <w:szCs w:val="11"/>
              </w:rPr>
              <w:t>UE-specific</w:t>
            </w:r>
          </w:p>
        </w:tc>
        <w:tc>
          <w:tcPr>
            <w:tcW w:w="341" w:type="pct"/>
            <w:tcBorders>
              <w:top w:val="single" w:sz="4" w:space="0" w:color="auto"/>
              <w:left w:val="nil"/>
              <w:bottom w:val="single" w:sz="4" w:space="0" w:color="auto"/>
              <w:right w:val="single" w:sz="4" w:space="0" w:color="auto"/>
            </w:tcBorders>
            <w:shd w:val="clear" w:color="auto" w:fill="auto"/>
            <w:vAlign w:val="center"/>
          </w:tcPr>
          <w:p w14:paraId="1DE83F98" w14:textId="728A4C93" w:rsidR="003832DA" w:rsidRPr="003832DA" w:rsidRDefault="003832DA" w:rsidP="003832DA">
            <w:pPr>
              <w:autoSpaceDE/>
              <w:autoSpaceDN/>
              <w:adjustRightInd/>
              <w:snapToGrid/>
              <w:spacing w:after="0"/>
              <w:jc w:val="left"/>
              <w:rPr>
                <w:rFonts w:ascii="Arial" w:eastAsia="等线" w:hAnsi="Arial" w:cs="Arial"/>
                <w:b/>
                <w:bCs/>
                <w:color w:val="000000"/>
                <w:sz w:val="11"/>
                <w:szCs w:val="11"/>
                <w:lang w:eastAsia="zh-CN"/>
              </w:rPr>
            </w:pPr>
            <w:r w:rsidRPr="003832DA">
              <w:rPr>
                <w:rFonts w:ascii="Arial" w:eastAsia="等线" w:hAnsi="Arial" w:cs="Arial"/>
                <w:sz w:val="11"/>
                <w:szCs w:val="11"/>
              </w:rPr>
              <w:t>FDD</w:t>
            </w:r>
          </w:p>
        </w:tc>
        <w:tc>
          <w:tcPr>
            <w:tcW w:w="406" w:type="pct"/>
            <w:tcBorders>
              <w:top w:val="single" w:sz="4" w:space="0" w:color="auto"/>
              <w:left w:val="nil"/>
              <w:bottom w:val="single" w:sz="4" w:space="0" w:color="auto"/>
              <w:right w:val="single" w:sz="4" w:space="0" w:color="auto"/>
            </w:tcBorders>
            <w:shd w:val="clear" w:color="auto" w:fill="auto"/>
            <w:vAlign w:val="center"/>
          </w:tcPr>
          <w:p w14:paraId="71DC6CE7" w14:textId="3EA8A0E8" w:rsidR="003832DA" w:rsidRPr="003832DA" w:rsidRDefault="003832DA" w:rsidP="003832DA">
            <w:pPr>
              <w:autoSpaceDE/>
              <w:autoSpaceDN/>
              <w:adjustRightInd/>
              <w:snapToGrid/>
              <w:spacing w:after="0"/>
              <w:jc w:val="left"/>
              <w:rPr>
                <w:rFonts w:ascii="Arial" w:eastAsia="等线" w:hAnsi="Arial" w:cs="Arial"/>
                <w:color w:val="000000"/>
                <w:sz w:val="11"/>
                <w:szCs w:val="11"/>
                <w:lang w:eastAsia="zh-CN"/>
              </w:rPr>
            </w:pPr>
            <w:r w:rsidRPr="003832DA">
              <w:rPr>
                <w:rFonts w:ascii="Arial" w:eastAsia="等线" w:hAnsi="Arial" w:cs="Arial"/>
                <w:sz w:val="11"/>
                <w:szCs w:val="11"/>
              </w:rPr>
              <w:t>36.331</w:t>
            </w:r>
          </w:p>
        </w:tc>
      </w:tr>
    </w:tbl>
    <w:p w14:paraId="40724CC3" w14:textId="77777777" w:rsidR="005F7FF4" w:rsidRDefault="005F7FF4" w:rsidP="003832DA">
      <w:pPr>
        <w:rPr>
          <w:lang w:eastAsia="zh-CN"/>
        </w:rPr>
      </w:pPr>
    </w:p>
    <w:p w14:paraId="7BF7B75E" w14:textId="338234CE" w:rsidR="005F7FF4" w:rsidRDefault="005F7FF4" w:rsidP="003832DA">
      <w:pPr>
        <w:rPr>
          <w:lang w:eastAsia="zh-CN"/>
        </w:rPr>
      </w:pPr>
      <w:r>
        <w:rPr>
          <w:rFonts w:hint="eastAsia"/>
          <w:lang w:eastAsia="zh-CN"/>
        </w:rPr>
        <w:t>B</w:t>
      </w:r>
      <w:r>
        <w:rPr>
          <w:lang w:eastAsia="zh-CN"/>
        </w:rPr>
        <w:t xml:space="preserve">ut in eMTC, </w:t>
      </w:r>
      <w:r w:rsidRPr="005F7FF4">
        <w:rPr>
          <w:lang w:eastAsia="zh-CN"/>
        </w:rPr>
        <w:t>multiple DL or UL TB scheduling for</w:t>
      </w:r>
      <w:r>
        <w:rPr>
          <w:lang w:eastAsia="zh-CN"/>
        </w:rPr>
        <w:t xml:space="preserve"> unicast is enabled by separate </w:t>
      </w:r>
      <w:r w:rsidRPr="005F7FF4">
        <w:rPr>
          <w:lang w:eastAsia="zh-CN"/>
        </w:rPr>
        <w:t>higher layer parameter</w:t>
      </w:r>
      <w:r>
        <w:rPr>
          <w:lang w:eastAsia="zh-CN"/>
        </w:rPr>
        <w:t>s</w:t>
      </w:r>
      <w:r w:rsidRPr="005F7FF4">
        <w:rPr>
          <w:lang w:eastAsia="zh-CN"/>
        </w:rPr>
        <w:t>.</w:t>
      </w:r>
      <w:r w:rsidR="00705A00">
        <w:rPr>
          <w:lang w:eastAsia="zh-CN"/>
        </w:rPr>
        <w:t xml:space="preserve"> </w:t>
      </w:r>
    </w:p>
    <w:tbl>
      <w:tblPr>
        <w:tblW w:w="5000" w:type="pct"/>
        <w:tblLook w:val="04A0" w:firstRow="1" w:lastRow="0" w:firstColumn="1" w:lastColumn="0" w:noHBand="0" w:noVBand="1"/>
      </w:tblPr>
      <w:tblGrid>
        <w:gridCol w:w="695"/>
        <w:gridCol w:w="575"/>
        <w:gridCol w:w="672"/>
        <w:gridCol w:w="492"/>
        <w:gridCol w:w="461"/>
        <w:gridCol w:w="455"/>
        <w:gridCol w:w="603"/>
        <w:gridCol w:w="543"/>
        <w:gridCol w:w="603"/>
        <w:gridCol w:w="945"/>
        <w:gridCol w:w="488"/>
        <w:gridCol w:w="479"/>
        <w:gridCol w:w="538"/>
        <w:gridCol w:w="492"/>
        <w:gridCol w:w="580"/>
        <w:gridCol w:w="686"/>
      </w:tblGrid>
      <w:tr w:rsidR="00705A00" w:rsidRPr="00CA419C" w14:paraId="55E769DC" w14:textId="77777777" w:rsidTr="00705A00">
        <w:trPr>
          <w:trHeight w:val="675"/>
        </w:trPr>
        <w:tc>
          <w:tcPr>
            <w:tcW w:w="398"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7607E04A" w14:textId="77777777" w:rsidR="00705A00" w:rsidRPr="00CA419C" w:rsidRDefault="00705A00" w:rsidP="0072161A">
            <w:pPr>
              <w:autoSpaceDE/>
              <w:autoSpaceDN/>
              <w:adjustRightInd/>
              <w:snapToGrid/>
              <w:spacing w:after="0"/>
              <w:jc w:val="left"/>
              <w:rPr>
                <w:rFonts w:ascii="Arial" w:eastAsia="等线" w:hAnsi="Arial" w:cs="Arial"/>
                <w:b/>
                <w:bCs/>
                <w:color w:val="000000"/>
                <w:sz w:val="11"/>
                <w:szCs w:val="11"/>
                <w:lang w:eastAsia="zh-CN"/>
              </w:rPr>
            </w:pPr>
            <w:r w:rsidRPr="00CA419C">
              <w:rPr>
                <w:rFonts w:ascii="Arial" w:eastAsia="等线" w:hAnsi="Arial" w:cs="Arial"/>
                <w:b/>
                <w:bCs/>
                <w:color w:val="000000"/>
                <w:sz w:val="11"/>
                <w:szCs w:val="11"/>
                <w:lang w:eastAsia="zh-CN"/>
              </w:rPr>
              <w:t>WI code</w:t>
            </w:r>
          </w:p>
        </w:tc>
        <w:tc>
          <w:tcPr>
            <w:tcW w:w="335" w:type="pct"/>
            <w:tcBorders>
              <w:top w:val="single" w:sz="4" w:space="0" w:color="auto"/>
              <w:left w:val="nil"/>
              <w:bottom w:val="single" w:sz="4" w:space="0" w:color="auto"/>
              <w:right w:val="single" w:sz="4" w:space="0" w:color="auto"/>
            </w:tcBorders>
            <w:shd w:val="clear" w:color="000000" w:fill="00B0F0"/>
            <w:vAlign w:val="center"/>
            <w:hideMark/>
          </w:tcPr>
          <w:p w14:paraId="27346148" w14:textId="77777777" w:rsidR="00705A00" w:rsidRPr="00CA419C" w:rsidRDefault="00705A00"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Sub-feature group</w:t>
            </w:r>
          </w:p>
        </w:tc>
        <w:tc>
          <w:tcPr>
            <w:tcW w:w="369" w:type="pct"/>
            <w:tcBorders>
              <w:top w:val="single" w:sz="4" w:space="0" w:color="auto"/>
              <w:left w:val="nil"/>
              <w:bottom w:val="single" w:sz="4" w:space="0" w:color="auto"/>
              <w:right w:val="single" w:sz="4" w:space="0" w:color="auto"/>
            </w:tcBorders>
            <w:shd w:val="clear" w:color="000000" w:fill="00B0F0"/>
            <w:vAlign w:val="center"/>
            <w:hideMark/>
          </w:tcPr>
          <w:p w14:paraId="1F84DE4D" w14:textId="77777777" w:rsidR="00705A00" w:rsidRPr="00CA419C" w:rsidRDefault="00705A00"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RAN1 specification</w:t>
            </w:r>
          </w:p>
        </w:tc>
        <w:tc>
          <w:tcPr>
            <w:tcW w:w="269" w:type="pct"/>
            <w:tcBorders>
              <w:top w:val="single" w:sz="4" w:space="0" w:color="auto"/>
              <w:left w:val="nil"/>
              <w:bottom w:val="single" w:sz="4" w:space="0" w:color="auto"/>
              <w:right w:val="single" w:sz="4" w:space="0" w:color="auto"/>
            </w:tcBorders>
            <w:shd w:val="clear" w:color="000000" w:fill="00B0F0"/>
            <w:vAlign w:val="center"/>
            <w:hideMark/>
          </w:tcPr>
          <w:p w14:paraId="4750ECF7" w14:textId="77777777" w:rsidR="00705A00" w:rsidRPr="00CA419C" w:rsidRDefault="00705A00"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Section</w:t>
            </w:r>
          </w:p>
        </w:tc>
        <w:tc>
          <w:tcPr>
            <w:tcW w:w="251" w:type="pct"/>
            <w:tcBorders>
              <w:top w:val="single" w:sz="4" w:space="0" w:color="auto"/>
              <w:left w:val="nil"/>
              <w:bottom w:val="single" w:sz="4" w:space="0" w:color="auto"/>
              <w:right w:val="single" w:sz="4" w:space="0" w:color="auto"/>
            </w:tcBorders>
            <w:shd w:val="clear" w:color="000000" w:fill="00B0F0"/>
            <w:vAlign w:val="center"/>
            <w:hideMark/>
          </w:tcPr>
          <w:p w14:paraId="069F9407" w14:textId="77777777" w:rsidR="00705A00" w:rsidRPr="00CA419C" w:rsidRDefault="00705A00"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RAN2 Parant IE</w:t>
            </w:r>
          </w:p>
        </w:tc>
        <w:tc>
          <w:tcPr>
            <w:tcW w:w="248" w:type="pct"/>
            <w:tcBorders>
              <w:top w:val="single" w:sz="4" w:space="0" w:color="auto"/>
              <w:left w:val="nil"/>
              <w:bottom w:val="single" w:sz="4" w:space="0" w:color="auto"/>
              <w:right w:val="single" w:sz="4" w:space="0" w:color="auto"/>
            </w:tcBorders>
            <w:shd w:val="clear" w:color="000000" w:fill="00B0F0"/>
            <w:vAlign w:val="center"/>
            <w:hideMark/>
          </w:tcPr>
          <w:p w14:paraId="32FE9148" w14:textId="77777777" w:rsidR="00705A00" w:rsidRPr="00CA419C" w:rsidRDefault="00705A00"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RAN2 ASN.1 name</w:t>
            </w:r>
          </w:p>
        </w:tc>
        <w:tc>
          <w:tcPr>
            <w:tcW w:w="330" w:type="pct"/>
            <w:tcBorders>
              <w:top w:val="single" w:sz="4" w:space="0" w:color="auto"/>
              <w:left w:val="nil"/>
              <w:bottom w:val="single" w:sz="4" w:space="0" w:color="auto"/>
              <w:right w:val="single" w:sz="4" w:space="0" w:color="auto"/>
            </w:tcBorders>
            <w:shd w:val="clear" w:color="000000" w:fill="00B0F0"/>
            <w:vAlign w:val="center"/>
            <w:hideMark/>
          </w:tcPr>
          <w:p w14:paraId="6B184E98" w14:textId="77777777" w:rsidR="00705A00" w:rsidRPr="00CA419C" w:rsidRDefault="00705A00"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Parameter name in the spec</w:t>
            </w:r>
          </w:p>
        </w:tc>
        <w:tc>
          <w:tcPr>
            <w:tcW w:w="297" w:type="pct"/>
            <w:tcBorders>
              <w:top w:val="single" w:sz="4" w:space="0" w:color="auto"/>
              <w:left w:val="nil"/>
              <w:bottom w:val="single" w:sz="4" w:space="0" w:color="auto"/>
              <w:right w:val="single" w:sz="4" w:space="0" w:color="auto"/>
            </w:tcBorders>
            <w:shd w:val="clear" w:color="000000" w:fill="00B0F0"/>
            <w:vAlign w:val="center"/>
            <w:hideMark/>
          </w:tcPr>
          <w:p w14:paraId="1E8C1C73" w14:textId="77777777" w:rsidR="00705A00" w:rsidRPr="00CA419C" w:rsidRDefault="00705A00"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New or existing?</w:t>
            </w:r>
          </w:p>
        </w:tc>
        <w:tc>
          <w:tcPr>
            <w:tcW w:w="335" w:type="pct"/>
            <w:tcBorders>
              <w:top w:val="single" w:sz="4" w:space="0" w:color="auto"/>
              <w:left w:val="nil"/>
              <w:bottom w:val="single" w:sz="4" w:space="0" w:color="auto"/>
              <w:right w:val="single" w:sz="4" w:space="0" w:color="auto"/>
            </w:tcBorders>
            <w:shd w:val="clear" w:color="000000" w:fill="00B0F0"/>
            <w:vAlign w:val="center"/>
            <w:hideMark/>
          </w:tcPr>
          <w:p w14:paraId="002C2BBE" w14:textId="77777777" w:rsidR="00705A00" w:rsidRPr="00CA419C" w:rsidRDefault="00705A00"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Parameter name in the text</w:t>
            </w:r>
          </w:p>
        </w:tc>
        <w:tc>
          <w:tcPr>
            <w:tcW w:w="345" w:type="pct"/>
            <w:tcBorders>
              <w:top w:val="single" w:sz="4" w:space="0" w:color="auto"/>
              <w:left w:val="nil"/>
              <w:bottom w:val="single" w:sz="4" w:space="0" w:color="auto"/>
              <w:right w:val="single" w:sz="4" w:space="0" w:color="auto"/>
            </w:tcBorders>
            <w:shd w:val="clear" w:color="000000" w:fill="00B0F0"/>
            <w:vAlign w:val="center"/>
            <w:hideMark/>
          </w:tcPr>
          <w:p w14:paraId="3996C1D6" w14:textId="77777777" w:rsidR="00705A00" w:rsidRPr="00CA419C" w:rsidRDefault="00705A00"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Description</w:t>
            </w:r>
          </w:p>
        </w:tc>
        <w:tc>
          <w:tcPr>
            <w:tcW w:w="279" w:type="pct"/>
            <w:tcBorders>
              <w:top w:val="single" w:sz="4" w:space="0" w:color="auto"/>
              <w:left w:val="nil"/>
              <w:bottom w:val="single" w:sz="4" w:space="0" w:color="auto"/>
              <w:right w:val="single" w:sz="4" w:space="0" w:color="auto"/>
            </w:tcBorders>
            <w:shd w:val="clear" w:color="auto" w:fill="00B0F0"/>
            <w:vAlign w:val="center"/>
            <w:hideMark/>
          </w:tcPr>
          <w:p w14:paraId="6796EFDB" w14:textId="77777777" w:rsidR="00705A00" w:rsidRPr="00CA419C" w:rsidRDefault="00705A00"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Value range</w:t>
            </w:r>
          </w:p>
        </w:tc>
        <w:tc>
          <w:tcPr>
            <w:tcW w:w="287" w:type="pct"/>
            <w:tcBorders>
              <w:top w:val="single" w:sz="4" w:space="0" w:color="auto"/>
              <w:left w:val="nil"/>
              <w:bottom w:val="single" w:sz="4" w:space="0" w:color="auto"/>
              <w:right w:val="single" w:sz="4" w:space="0" w:color="auto"/>
            </w:tcBorders>
            <w:shd w:val="clear" w:color="000000" w:fill="00B0F0"/>
            <w:vAlign w:val="center"/>
            <w:hideMark/>
          </w:tcPr>
          <w:p w14:paraId="247C86DE" w14:textId="77777777" w:rsidR="00705A00" w:rsidRPr="00CA419C" w:rsidRDefault="00705A00"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Default value aspect (see note)</w:t>
            </w:r>
          </w:p>
        </w:tc>
        <w:tc>
          <w:tcPr>
            <w:tcW w:w="294" w:type="pct"/>
            <w:tcBorders>
              <w:top w:val="single" w:sz="4" w:space="0" w:color="auto"/>
              <w:left w:val="nil"/>
              <w:bottom w:val="single" w:sz="4" w:space="0" w:color="auto"/>
              <w:right w:val="single" w:sz="4" w:space="0" w:color="auto"/>
            </w:tcBorders>
            <w:shd w:val="clear" w:color="000000" w:fill="00B0F0"/>
            <w:vAlign w:val="center"/>
            <w:hideMark/>
          </w:tcPr>
          <w:p w14:paraId="584EB21D" w14:textId="77777777" w:rsidR="00705A00" w:rsidRPr="00CA419C" w:rsidRDefault="00705A00" w:rsidP="0072161A">
            <w:pPr>
              <w:autoSpaceDE/>
              <w:autoSpaceDN/>
              <w:adjustRightInd/>
              <w:snapToGrid/>
              <w:spacing w:after="0"/>
              <w:jc w:val="left"/>
              <w:rPr>
                <w:rFonts w:ascii="Arial" w:eastAsia="等线" w:hAnsi="Arial" w:cs="Arial"/>
                <w:b/>
                <w:bCs/>
                <w:sz w:val="11"/>
                <w:szCs w:val="11"/>
                <w:lang w:eastAsia="zh-CN"/>
              </w:rPr>
            </w:pPr>
            <w:r w:rsidRPr="00CA419C">
              <w:rPr>
                <w:rFonts w:ascii="Arial" w:eastAsia="等线" w:hAnsi="Arial" w:cs="Arial"/>
                <w:b/>
                <w:bCs/>
                <w:sz w:val="11"/>
                <w:szCs w:val="11"/>
                <w:lang w:eastAsia="zh-CN"/>
              </w:rPr>
              <w:t>Per (UE, cell, TRP, …)</w:t>
            </w:r>
          </w:p>
        </w:tc>
        <w:tc>
          <w:tcPr>
            <w:tcW w:w="269" w:type="pct"/>
            <w:tcBorders>
              <w:top w:val="single" w:sz="4" w:space="0" w:color="auto"/>
              <w:left w:val="nil"/>
              <w:bottom w:val="single" w:sz="4" w:space="0" w:color="auto"/>
              <w:right w:val="single" w:sz="4" w:space="0" w:color="auto"/>
            </w:tcBorders>
            <w:shd w:val="clear" w:color="000000" w:fill="00B0F0"/>
            <w:vAlign w:val="center"/>
            <w:hideMark/>
          </w:tcPr>
          <w:p w14:paraId="5E13D69A" w14:textId="77777777" w:rsidR="00705A00" w:rsidRPr="00CA419C" w:rsidRDefault="00705A00"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UE-specific or Cell-specific</w:t>
            </w:r>
          </w:p>
        </w:tc>
        <w:tc>
          <w:tcPr>
            <w:tcW w:w="317" w:type="pct"/>
            <w:tcBorders>
              <w:top w:val="single" w:sz="4" w:space="0" w:color="auto"/>
              <w:left w:val="nil"/>
              <w:bottom w:val="single" w:sz="4" w:space="0" w:color="auto"/>
              <w:right w:val="single" w:sz="4" w:space="0" w:color="auto"/>
            </w:tcBorders>
            <w:shd w:val="clear" w:color="000000" w:fill="00B0F0"/>
            <w:vAlign w:val="center"/>
            <w:hideMark/>
          </w:tcPr>
          <w:p w14:paraId="3A1CCA81" w14:textId="77777777" w:rsidR="00705A00" w:rsidRPr="00CA419C" w:rsidRDefault="00705A00" w:rsidP="0072161A">
            <w:pPr>
              <w:autoSpaceDE/>
              <w:autoSpaceDN/>
              <w:adjustRightInd/>
              <w:snapToGrid/>
              <w:spacing w:after="0"/>
              <w:jc w:val="left"/>
              <w:rPr>
                <w:rFonts w:ascii="Arial" w:eastAsia="等线" w:hAnsi="Arial" w:cs="Arial"/>
                <w:b/>
                <w:bCs/>
                <w:color w:val="000000"/>
                <w:sz w:val="11"/>
                <w:szCs w:val="11"/>
                <w:lang w:eastAsia="zh-CN"/>
              </w:rPr>
            </w:pPr>
            <w:r w:rsidRPr="00CA419C">
              <w:rPr>
                <w:rFonts w:ascii="Arial" w:eastAsia="等线" w:hAnsi="Arial" w:cs="Arial"/>
                <w:b/>
                <w:bCs/>
                <w:color w:val="000000"/>
                <w:sz w:val="11"/>
                <w:szCs w:val="11"/>
                <w:lang w:eastAsia="zh-CN"/>
              </w:rPr>
              <w:t>TDD/FDD</w:t>
            </w:r>
          </w:p>
        </w:tc>
        <w:tc>
          <w:tcPr>
            <w:tcW w:w="376" w:type="pct"/>
            <w:tcBorders>
              <w:top w:val="single" w:sz="4" w:space="0" w:color="auto"/>
              <w:left w:val="nil"/>
              <w:bottom w:val="single" w:sz="4" w:space="0" w:color="auto"/>
              <w:right w:val="single" w:sz="4" w:space="0" w:color="auto"/>
            </w:tcBorders>
            <w:shd w:val="clear" w:color="000000" w:fill="00B0F0"/>
            <w:vAlign w:val="center"/>
            <w:hideMark/>
          </w:tcPr>
          <w:p w14:paraId="7D919AAA" w14:textId="77777777" w:rsidR="00705A00" w:rsidRPr="00CA419C" w:rsidRDefault="00705A00" w:rsidP="0072161A">
            <w:pPr>
              <w:autoSpaceDE/>
              <w:autoSpaceDN/>
              <w:adjustRightInd/>
              <w:snapToGrid/>
              <w:spacing w:after="0"/>
              <w:jc w:val="left"/>
              <w:rPr>
                <w:rFonts w:ascii="Arial" w:eastAsia="等线" w:hAnsi="Arial" w:cs="Arial"/>
                <w:color w:val="000000"/>
                <w:sz w:val="11"/>
                <w:szCs w:val="11"/>
                <w:lang w:eastAsia="zh-CN"/>
              </w:rPr>
            </w:pPr>
            <w:r w:rsidRPr="00CA419C">
              <w:rPr>
                <w:rFonts w:ascii="Arial" w:eastAsia="等线" w:hAnsi="Arial" w:cs="Arial"/>
                <w:color w:val="000000"/>
                <w:sz w:val="11"/>
                <w:szCs w:val="11"/>
                <w:lang w:eastAsia="zh-CN"/>
              </w:rPr>
              <w:t>Specification</w:t>
            </w:r>
          </w:p>
        </w:tc>
      </w:tr>
      <w:tr w:rsidR="00705A00" w:rsidRPr="00CA419C" w14:paraId="4D6CA662" w14:textId="77777777" w:rsidTr="00705A00">
        <w:trPr>
          <w:trHeight w:val="675"/>
        </w:trPr>
        <w:tc>
          <w:tcPr>
            <w:tcW w:w="398" w:type="pct"/>
            <w:tcBorders>
              <w:top w:val="single" w:sz="4" w:space="0" w:color="auto"/>
              <w:left w:val="single" w:sz="4" w:space="0" w:color="auto"/>
              <w:bottom w:val="single" w:sz="4" w:space="0" w:color="auto"/>
              <w:right w:val="single" w:sz="4" w:space="0" w:color="auto"/>
            </w:tcBorders>
            <w:shd w:val="clear" w:color="auto" w:fill="auto"/>
          </w:tcPr>
          <w:p w14:paraId="29D511BD" w14:textId="0E1549B0" w:rsidR="00705A00" w:rsidRPr="00705A00" w:rsidRDefault="00705A00" w:rsidP="00705A00">
            <w:pPr>
              <w:autoSpaceDE/>
              <w:autoSpaceDN/>
              <w:adjustRightInd/>
              <w:snapToGrid/>
              <w:spacing w:after="0"/>
              <w:jc w:val="left"/>
              <w:rPr>
                <w:rFonts w:ascii="Arial" w:eastAsia="等线" w:hAnsi="Arial" w:cs="Arial"/>
                <w:b/>
                <w:bCs/>
                <w:color w:val="000000"/>
                <w:sz w:val="11"/>
                <w:szCs w:val="11"/>
                <w:lang w:eastAsia="zh-CN"/>
              </w:rPr>
            </w:pPr>
            <w:r w:rsidRPr="00705A00">
              <w:rPr>
                <w:sz w:val="11"/>
                <w:szCs w:val="11"/>
              </w:rPr>
              <w:t>LTE_eMTC5-Core</w:t>
            </w:r>
          </w:p>
        </w:tc>
        <w:tc>
          <w:tcPr>
            <w:tcW w:w="335" w:type="pct"/>
            <w:tcBorders>
              <w:top w:val="single" w:sz="4" w:space="0" w:color="auto"/>
              <w:left w:val="nil"/>
              <w:bottom w:val="single" w:sz="4" w:space="0" w:color="auto"/>
              <w:right w:val="single" w:sz="4" w:space="0" w:color="auto"/>
            </w:tcBorders>
            <w:shd w:val="clear" w:color="auto" w:fill="auto"/>
          </w:tcPr>
          <w:p w14:paraId="6E1639F4" w14:textId="023D465D" w:rsidR="00705A00" w:rsidRPr="00705A00" w:rsidRDefault="00705A00" w:rsidP="00705A00">
            <w:pPr>
              <w:autoSpaceDE/>
              <w:autoSpaceDN/>
              <w:adjustRightInd/>
              <w:snapToGrid/>
              <w:spacing w:after="0"/>
              <w:jc w:val="left"/>
              <w:rPr>
                <w:rFonts w:ascii="Arial" w:eastAsia="等线" w:hAnsi="Arial" w:cs="Arial"/>
                <w:color w:val="000000"/>
                <w:sz w:val="11"/>
                <w:szCs w:val="11"/>
                <w:lang w:eastAsia="zh-CN"/>
              </w:rPr>
            </w:pPr>
            <w:r w:rsidRPr="00705A00">
              <w:rPr>
                <w:sz w:val="11"/>
                <w:szCs w:val="11"/>
              </w:rPr>
              <w:t>Multi-TB scheduling</w:t>
            </w:r>
          </w:p>
        </w:tc>
        <w:tc>
          <w:tcPr>
            <w:tcW w:w="369" w:type="pct"/>
            <w:tcBorders>
              <w:top w:val="single" w:sz="4" w:space="0" w:color="auto"/>
              <w:left w:val="nil"/>
              <w:bottom w:val="single" w:sz="4" w:space="0" w:color="auto"/>
              <w:right w:val="single" w:sz="4" w:space="0" w:color="auto"/>
            </w:tcBorders>
            <w:shd w:val="clear" w:color="auto" w:fill="auto"/>
          </w:tcPr>
          <w:p w14:paraId="65BA2B9E" w14:textId="21A31ECD" w:rsidR="00705A00" w:rsidRPr="00705A00" w:rsidRDefault="00705A00" w:rsidP="00705A00">
            <w:pPr>
              <w:autoSpaceDE/>
              <w:autoSpaceDN/>
              <w:adjustRightInd/>
              <w:snapToGrid/>
              <w:spacing w:after="0"/>
              <w:jc w:val="left"/>
              <w:rPr>
                <w:rFonts w:ascii="Arial" w:eastAsia="等线" w:hAnsi="Arial" w:cs="Arial"/>
                <w:color w:val="000000"/>
                <w:sz w:val="11"/>
                <w:szCs w:val="11"/>
                <w:lang w:eastAsia="zh-CN"/>
              </w:rPr>
            </w:pPr>
            <w:r w:rsidRPr="00705A00">
              <w:rPr>
                <w:sz w:val="11"/>
                <w:szCs w:val="11"/>
              </w:rPr>
              <w:t>36.212, 36.213</w:t>
            </w:r>
          </w:p>
        </w:tc>
        <w:tc>
          <w:tcPr>
            <w:tcW w:w="269" w:type="pct"/>
            <w:tcBorders>
              <w:top w:val="single" w:sz="4" w:space="0" w:color="auto"/>
              <w:left w:val="nil"/>
              <w:bottom w:val="single" w:sz="4" w:space="0" w:color="auto"/>
              <w:right w:val="single" w:sz="4" w:space="0" w:color="auto"/>
            </w:tcBorders>
            <w:shd w:val="clear" w:color="auto" w:fill="auto"/>
          </w:tcPr>
          <w:p w14:paraId="32282E7B" w14:textId="09E155D7" w:rsidR="00705A00" w:rsidRPr="00705A00" w:rsidRDefault="00705A00" w:rsidP="00705A00">
            <w:pPr>
              <w:autoSpaceDE/>
              <w:autoSpaceDN/>
              <w:adjustRightInd/>
              <w:snapToGrid/>
              <w:spacing w:after="0"/>
              <w:jc w:val="left"/>
              <w:rPr>
                <w:rFonts w:ascii="Arial" w:eastAsia="等线" w:hAnsi="Arial" w:cs="Arial"/>
                <w:color w:val="000000"/>
                <w:sz w:val="11"/>
                <w:szCs w:val="11"/>
                <w:lang w:eastAsia="zh-CN"/>
              </w:rPr>
            </w:pPr>
          </w:p>
        </w:tc>
        <w:tc>
          <w:tcPr>
            <w:tcW w:w="251" w:type="pct"/>
            <w:tcBorders>
              <w:top w:val="single" w:sz="4" w:space="0" w:color="auto"/>
              <w:left w:val="nil"/>
              <w:bottom w:val="single" w:sz="4" w:space="0" w:color="auto"/>
              <w:right w:val="single" w:sz="4" w:space="0" w:color="auto"/>
            </w:tcBorders>
            <w:shd w:val="clear" w:color="auto" w:fill="auto"/>
          </w:tcPr>
          <w:p w14:paraId="4A8BF59B" w14:textId="24A6C640" w:rsidR="00705A00" w:rsidRPr="00705A00" w:rsidRDefault="00705A00" w:rsidP="00705A00">
            <w:pPr>
              <w:autoSpaceDE/>
              <w:autoSpaceDN/>
              <w:adjustRightInd/>
              <w:snapToGrid/>
              <w:spacing w:after="0"/>
              <w:jc w:val="left"/>
              <w:rPr>
                <w:rFonts w:ascii="Arial" w:eastAsia="等线" w:hAnsi="Arial" w:cs="Arial"/>
                <w:color w:val="000000"/>
                <w:sz w:val="11"/>
                <w:szCs w:val="11"/>
                <w:lang w:eastAsia="zh-CN"/>
              </w:rPr>
            </w:pPr>
          </w:p>
        </w:tc>
        <w:tc>
          <w:tcPr>
            <w:tcW w:w="248" w:type="pct"/>
            <w:tcBorders>
              <w:top w:val="single" w:sz="4" w:space="0" w:color="auto"/>
              <w:left w:val="nil"/>
              <w:bottom w:val="single" w:sz="4" w:space="0" w:color="auto"/>
              <w:right w:val="single" w:sz="4" w:space="0" w:color="auto"/>
            </w:tcBorders>
            <w:shd w:val="clear" w:color="auto" w:fill="auto"/>
          </w:tcPr>
          <w:p w14:paraId="765A1BBD" w14:textId="2D105CBB" w:rsidR="00705A00" w:rsidRPr="00705A00" w:rsidRDefault="00705A00" w:rsidP="00705A00">
            <w:pPr>
              <w:autoSpaceDE/>
              <w:autoSpaceDN/>
              <w:adjustRightInd/>
              <w:snapToGrid/>
              <w:spacing w:after="0"/>
              <w:jc w:val="left"/>
              <w:rPr>
                <w:rFonts w:ascii="Arial" w:eastAsia="等线" w:hAnsi="Arial" w:cs="Arial"/>
                <w:color w:val="000000"/>
                <w:sz w:val="11"/>
                <w:szCs w:val="11"/>
                <w:lang w:eastAsia="zh-CN"/>
              </w:rPr>
            </w:pPr>
          </w:p>
        </w:tc>
        <w:tc>
          <w:tcPr>
            <w:tcW w:w="330" w:type="pct"/>
            <w:tcBorders>
              <w:top w:val="single" w:sz="4" w:space="0" w:color="auto"/>
              <w:left w:val="nil"/>
              <w:bottom w:val="single" w:sz="4" w:space="0" w:color="auto"/>
              <w:right w:val="single" w:sz="4" w:space="0" w:color="auto"/>
            </w:tcBorders>
            <w:shd w:val="clear" w:color="auto" w:fill="auto"/>
          </w:tcPr>
          <w:p w14:paraId="79E71918" w14:textId="21622961" w:rsidR="00705A00" w:rsidRPr="00705A00" w:rsidRDefault="00705A00" w:rsidP="00705A00">
            <w:pPr>
              <w:autoSpaceDE/>
              <w:autoSpaceDN/>
              <w:adjustRightInd/>
              <w:snapToGrid/>
              <w:spacing w:after="0"/>
              <w:jc w:val="left"/>
              <w:rPr>
                <w:rFonts w:ascii="Arial" w:eastAsia="等线" w:hAnsi="Arial" w:cs="Arial"/>
                <w:color w:val="000000"/>
                <w:sz w:val="11"/>
                <w:szCs w:val="11"/>
                <w:lang w:eastAsia="zh-CN"/>
              </w:rPr>
            </w:pPr>
            <w:r w:rsidRPr="00705A00">
              <w:rPr>
                <w:sz w:val="11"/>
                <w:szCs w:val="11"/>
              </w:rPr>
              <w:t>multi-TB-DL-config</w:t>
            </w:r>
          </w:p>
        </w:tc>
        <w:tc>
          <w:tcPr>
            <w:tcW w:w="297" w:type="pct"/>
            <w:tcBorders>
              <w:top w:val="single" w:sz="4" w:space="0" w:color="auto"/>
              <w:left w:val="nil"/>
              <w:bottom w:val="single" w:sz="4" w:space="0" w:color="auto"/>
              <w:right w:val="single" w:sz="4" w:space="0" w:color="auto"/>
            </w:tcBorders>
            <w:shd w:val="clear" w:color="auto" w:fill="auto"/>
          </w:tcPr>
          <w:p w14:paraId="31BA9C3D" w14:textId="4688416B" w:rsidR="00705A00" w:rsidRPr="00705A00" w:rsidRDefault="00705A00" w:rsidP="00705A00">
            <w:pPr>
              <w:autoSpaceDE/>
              <w:autoSpaceDN/>
              <w:adjustRightInd/>
              <w:snapToGrid/>
              <w:spacing w:after="0"/>
              <w:jc w:val="left"/>
              <w:rPr>
                <w:rFonts w:ascii="Arial" w:eastAsia="等线" w:hAnsi="Arial" w:cs="Arial"/>
                <w:color w:val="000000"/>
                <w:sz w:val="11"/>
                <w:szCs w:val="11"/>
                <w:lang w:eastAsia="zh-CN"/>
              </w:rPr>
            </w:pPr>
            <w:r w:rsidRPr="00705A00">
              <w:rPr>
                <w:sz w:val="11"/>
                <w:szCs w:val="11"/>
              </w:rPr>
              <w:t>New</w:t>
            </w:r>
          </w:p>
        </w:tc>
        <w:tc>
          <w:tcPr>
            <w:tcW w:w="335" w:type="pct"/>
            <w:tcBorders>
              <w:top w:val="single" w:sz="4" w:space="0" w:color="auto"/>
              <w:left w:val="nil"/>
              <w:bottom w:val="single" w:sz="4" w:space="0" w:color="auto"/>
              <w:right w:val="single" w:sz="4" w:space="0" w:color="auto"/>
            </w:tcBorders>
            <w:shd w:val="clear" w:color="auto" w:fill="auto"/>
          </w:tcPr>
          <w:p w14:paraId="5F08A700" w14:textId="33EE3487" w:rsidR="00705A00" w:rsidRPr="00705A00" w:rsidRDefault="00705A00" w:rsidP="00705A00">
            <w:pPr>
              <w:autoSpaceDE/>
              <w:autoSpaceDN/>
              <w:adjustRightInd/>
              <w:snapToGrid/>
              <w:spacing w:after="0"/>
              <w:jc w:val="left"/>
              <w:rPr>
                <w:rFonts w:ascii="Arial" w:eastAsia="等线" w:hAnsi="Arial" w:cs="Arial"/>
                <w:color w:val="000000"/>
                <w:sz w:val="11"/>
                <w:szCs w:val="11"/>
                <w:lang w:eastAsia="zh-CN"/>
              </w:rPr>
            </w:pPr>
            <w:r w:rsidRPr="00705A00">
              <w:rPr>
                <w:sz w:val="11"/>
                <w:szCs w:val="11"/>
              </w:rPr>
              <w:t>Multi-TB scheduling enabled for unicast in downlink</w:t>
            </w:r>
          </w:p>
        </w:tc>
        <w:tc>
          <w:tcPr>
            <w:tcW w:w="345" w:type="pct"/>
            <w:tcBorders>
              <w:top w:val="single" w:sz="4" w:space="0" w:color="auto"/>
              <w:left w:val="nil"/>
              <w:bottom w:val="single" w:sz="4" w:space="0" w:color="auto"/>
              <w:right w:val="single" w:sz="4" w:space="0" w:color="auto"/>
            </w:tcBorders>
            <w:shd w:val="clear" w:color="auto" w:fill="auto"/>
          </w:tcPr>
          <w:p w14:paraId="69FB98D8" w14:textId="49F271AD" w:rsidR="00705A00" w:rsidRPr="00705A00" w:rsidRDefault="00705A00" w:rsidP="00705A00">
            <w:pPr>
              <w:autoSpaceDE/>
              <w:autoSpaceDN/>
              <w:adjustRightInd/>
              <w:snapToGrid/>
              <w:spacing w:after="0"/>
              <w:jc w:val="left"/>
              <w:rPr>
                <w:rFonts w:ascii="Arial" w:eastAsia="等线" w:hAnsi="Arial" w:cs="Arial"/>
                <w:color w:val="000000"/>
                <w:sz w:val="11"/>
                <w:szCs w:val="11"/>
                <w:lang w:eastAsia="zh-CN"/>
              </w:rPr>
            </w:pPr>
            <w:r w:rsidRPr="00705A00">
              <w:rPr>
                <w:sz w:val="11"/>
                <w:szCs w:val="11"/>
              </w:rPr>
              <w:t>If enabled, a single DCI can schedule multiple (up to 8 in CE mode A and up to 4 in CE mode B) transport blocks for DL unicast in CE mode A/B in RRC_CONNECTED.</w:t>
            </w:r>
          </w:p>
        </w:tc>
        <w:tc>
          <w:tcPr>
            <w:tcW w:w="279" w:type="pct"/>
            <w:tcBorders>
              <w:top w:val="single" w:sz="4" w:space="0" w:color="auto"/>
              <w:left w:val="nil"/>
              <w:bottom w:val="single" w:sz="4" w:space="0" w:color="auto"/>
              <w:right w:val="single" w:sz="4" w:space="0" w:color="auto"/>
            </w:tcBorders>
            <w:shd w:val="clear" w:color="auto" w:fill="auto"/>
          </w:tcPr>
          <w:p w14:paraId="74237B3F" w14:textId="14382652" w:rsidR="00705A00" w:rsidRPr="00705A00" w:rsidRDefault="00705A00" w:rsidP="00705A00">
            <w:pPr>
              <w:autoSpaceDE/>
              <w:autoSpaceDN/>
              <w:adjustRightInd/>
              <w:snapToGrid/>
              <w:spacing w:after="0"/>
              <w:jc w:val="left"/>
              <w:rPr>
                <w:rFonts w:ascii="Arial" w:eastAsia="等线" w:hAnsi="Arial" w:cs="Arial"/>
                <w:color w:val="000000"/>
                <w:sz w:val="11"/>
                <w:szCs w:val="11"/>
                <w:highlight w:val="yellow"/>
                <w:lang w:eastAsia="zh-CN"/>
              </w:rPr>
            </w:pPr>
            <w:r w:rsidRPr="00705A00">
              <w:rPr>
                <w:sz w:val="11"/>
                <w:szCs w:val="11"/>
              </w:rPr>
              <w:t>Enabled</w:t>
            </w:r>
          </w:p>
        </w:tc>
        <w:tc>
          <w:tcPr>
            <w:tcW w:w="287" w:type="pct"/>
            <w:tcBorders>
              <w:top w:val="single" w:sz="4" w:space="0" w:color="auto"/>
              <w:left w:val="nil"/>
              <w:bottom w:val="single" w:sz="4" w:space="0" w:color="auto"/>
              <w:right w:val="single" w:sz="4" w:space="0" w:color="auto"/>
            </w:tcBorders>
            <w:shd w:val="clear" w:color="auto" w:fill="auto"/>
          </w:tcPr>
          <w:p w14:paraId="103C057E" w14:textId="4922D9A7" w:rsidR="00705A00" w:rsidRPr="00705A00" w:rsidRDefault="00705A00" w:rsidP="00705A00">
            <w:pPr>
              <w:autoSpaceDE/>
              <w:autoSpaceDN/>
              <w:adjustRightInd/>
              <w:snapToGrid/>
              <w:spacing w:after="0"/>
              <w:jc w:val="left"/>
              <w:rPr>
                <w:rFonts w:ascii="Arial" w:eastAsia="等线" w:hAnsi="Arial" w:cs="Arial"/>
                <w:color w:val="000000"/>
                <w:sz w:val="11"/>
                <w:szCs w:val="11"/>
                <w:lang w:eastAsia="zh-CN"/>
              </w:rPr>
            </w:pPr>
          </w:p>
        </w:tc>
        <w:tc>
          <w:tcPr>
            <w:tcW w:w="294" w:type="pct"/>
            <w:tcBorders>
              <w:top w:val="single" w:sz="4" w:space="0" w:color="auto"/>
              <w:left w:val="nil"/>
              <w:bottom w:val="single" w:sz="4" w:space="0" w:color="auto"/>
              <w:right w:val="single" w:sz="4" w:space="0" w:color="auto"/>
            </w:tcBorders>
            <w:shd w:val="clear" w:color="auto" w:fill="auto"/>
          </w:tcPr>
          <w:p w14:paraId="69AB71F0" w14:textId="5904A88B" w:rsidR="00705A00" w:rsidRPr="00705A00" w:rsidRDefault="00705A00" w:rsidP="00705A00">
            <w:pPr>
              <w:autoSpaceDE/>
              <w:autoSpaceDN/>
              <w:adjustRightInd/>
              <w:snapToGrid/>
              <w:spacing w:after="0"/>
              <w:jc w:val="left"/>
              <w:rPr>
                <w:rFonts w:ascii="Arial" w:eastAsia="等线" w:hAnsi="Arial" w:cs="Arial"/>
                <w:b/>
                <w:bCs/>
                <w:sz w:val="11"/>
                <w:szCs w:val="11"/>
                <w:lang w:eastAsia="zh-CN"/>
              </w:rPr>
            </w:pPr>
          </w:p>
        </w:tc>
        <w:tc>
          <w:tcPr>
            <w:tcW w:w="269" w:type="pct"/>
            <w:tcBorders>
              <w:top w:val="single" w:sz="4" w:space="0" w:color="auto"/>
              <w:left w:val="nil"/>
              <w:bottom w:val="single" w:sz="4" w:space="0" w:color="auto"/>
              <w:right w:val="single" w:sz="4" w:space="0" w:color="auto"/>
            </w:tcBorders>
            <w:shd w:val="clear" w:color="auto" w:fill="auto"/>
          </w:tcPr>
          <w:p w14:paraId="713EE2BF" w14:textId="24F07ADD" w:rsidR="00705A00" w:rsidRPr="00705A00" w:rsidRDefault="00705A00" w:rsidP="00705A00">
            <w:pPr>
              <w:autoSpaceDE/>
              <w:autoSpaceDN/>
              <w:adjustRightInd/>
              <w:snapToGrid/>
              <w:spacing w:after="0"/>
              <w:jc w:val="left"/>
              <w:rPr>
                <w:rFonts w:ascii="Arial" w:eastAsia="等线" w:hAnsi="Arial" w:cs="Arial"/>
                <w:color w:val="000000"/>
                <w:sz w:val="11"/>
                <w:szCs w:val="11"/>
                <w:lang w:eastAsia="zh-CN"/>
              </w:rPr>
            </w:pPr>
            <w:r w:rsidRPr="00705A00">
              <w:rPr>
                <w:sz w:val="11"/>
                <w:szCs w:val="11"/>
              </w:rPr>
              <w:t>UE specific</w:t>
            </w:r>
          </w:p>
        </w:tc>
        <w:tc>
          <w:tcPr>
            <w:tcW w:w="317" w:type="pct"/>
            <w:tcBorders>
              <w:top w:val="single" w:sz="4" w:space="0" w:color="auto"/>
              <w:left w:val="nil"/>
              <w:bottom w:val="single" w:sz="4" w:space="0" w:color="auto"/>
              <w:right w:val="single" w:sz="4" w:space="0" w:color="auto"/>
            </w:tcBorders>
            <w:shd w:val="clear" w:color="auto" w:fill="auto"/>
          </w:tcPr>
          <w:p w14:paraId="148D9C12" w14:textId="38A62410" w:rsidR="00705A00" w:rsidRPr="00705A00" w:rsidRDefault="00705A00" w:rsidP="00705A00">
            <w:pPr>
              <w:autoSpaceDE/>
              <w:autoSpaceDN/>
              <w:adjustRightInd/>
              <w:snapToGrid/>
              <w:spacing w:after="0"/>
              <w:jc w:val="left"/>
              <w:rPr>
                <w:rFonts w:ascii="Arial" w:eastAsia="等线" w:hAnsi="Arial" w:cs="Arial"/>
                <w:b/>
                <w:bCs/>
                <w:color w:val="000000"/>
                <w:sz w:val="11"/>
                <w:szCs w:val="11"/>
                <w:lang w:eastAsia="zh-CN"/>
              </w:rPr>
            </w:pPr>
          </w:p>
        </w:tc>
        <w:tc>
          <w:tcPr>
            <w:tcW w:w="376" w:type="pct"/>
            <w:tcBorders>
              <w:top w:val="single" w:sz="4" w:space="0" w:color="auto"/>
              <w:left w:val="nil"/>
              <w:bottom w:val="single" w:sz="4" w:space="0" w:color="auto"/>
              <w:right w:val="single" w:sz="4" w:space="0" w:color="auto"/>
            </w:tcBorders>
            <w:shd w:val="clear" w:color="auto" w:fill="auto"/>
          </w:tcPr>
          <w:p w14:paraId="17A91A8F" w14:textId="2F443F8B" w:rsidR="00705A00" w:rsidRPr="00705A00" w:rsidRDefault="00705A00" w:rsidP="00705A00">
            <w:pPr>
              <w:autoSpaceDE/>
              <w:autoSpaceDN/>
              <w:adjustRightInd/>
              <w:snapToGrid/>
              <w:spacing w:after="0"/>
              <w:jc w:val="left"/>
              <w:rPr>
                <w:rFonts w:ascii="Arial" w:eastAsia="等线" w:hAnsi="Arial" w:cs="Arial"/>
                <w:color w:val="000000"/>
                <w:sz w:val="11"/>
                <w:szCs w:val="11"/>
                <w:lang w:eastAsia="zh-CN"/>
              </w:rPr>
            </w:pPr>
            <w:r w:rsidRPr="00705A00">
              <w:rPr>
                <w:sz w:val="11"/>
                <w:szCs w:val="11"/>
              </w:rPr>
              <w:t>36.331</w:t>
            </w:r>
          </w:p>
        </w:tc>
      </w:tr>
      <w:tr w:rsidR="00705A00" w:rsidRPr="00CA419C" w14:paraId="0A50468A" w14:textId="77777777" w:rsidTr="00705A00">
        <w:trPr>
          <w:trHeight w:val="675"/>
        </w:trPr>
        <w:tc>
          <w:tcPr>
            <w:tcW w:w="398" w:type="pct"/>
            <w:tcBorders>
              <w:top w:val="single" w:sz="4" w:space="0" w:color="auto"/>
              <w:left w:val="single" w:sz="4" w:space="0" w:color="auto"/>
              <w:bottom w:val="single" w:sz="4" w:space="0" w:color="auto"/>
              <w:right w:val="single" w:sz="4" w:space="0" w:color="auto"/>
            </w:tcBorders>
            <w:shd w:val="clear" w:color="auto" w:fill="auto"/>
          </w:tcPr>
          <w:p w14:paraId="1CED8AE1" w14:textId="68468738" w:rsidR="00705A00" w:rsidRPr="00705A00" w:rsidRDefault="00705A00" w:rsidP="00705A00">
            <w:pPr>
              <w:autoSpaceDE/>
              <w:autoSpaceDN/>
              <w:adjustRightInd/>
              <w:snapToGrid/>
              <w:spacing w:after="0"/>
              <w:jc w:val="left"/>
              <w:rPr>
                <w:rFonts w:ascii="Arial" w:eastAsia="等线" w:hAnsi="Arial" w:cs="Arial"/>
                <w:sz w:val="11"/>
                <w:szCs w:val="11"/>
              </w:rPr>
            </w:pPr>
            <w:r w:rsidRPr="00705A00">
              <w:rPr>
                <w:sz w:val="11"/>
                <w:szCs w:val="11"/>
              </w:rPr>
              <w:t>LTE_eMTC5-Core</w:t>
            </w:r>
          </w:p>
        </w:tc>
        <w:tc>
          <w:tcPr>
            <w:tcW w:w="335" w:type="pct"/>
            <w:tcBorders>
              <w:top w:val="single" w:sz="4" w:space="0" w:color="auto"/>
              <w:left w:val="nil"/>
              <w:bottom w:val="single" w:sz="4" w:space="0" w:color="auto"/>
              <w:right w:val="single" w:sz="4" w:space="0" w:color="auto"/>
            </w:tcBorders>
            <w:shd w:val="clear" w:color="auto" w:fill="auto"/>
          </w:tcPr>
          <w:p w14:paraId="5FF5A0EB" w14:textId="74BE535F" w:rsidR="00705A00" w:rsidRPr="00705A00" w:rsidRDefault="00705A00" w:rsidP="00705A00">
            <w:pPr>
              <w:autoSpaceDE/>
              <w:autoSpaceDN/>
              <w:adjustRightInd/>
              <w:snapToGrid/>
              <w:spacing w:after="0"/>
              <w:jc w:val="left"/>
              <w:rPr>
                <w:rFonts w:ascii="Arial" w:eastAsia="等线" w:hAnsi="Arial" w:cs="Arial"/>
                <w:sz w:val="11"/>
                <w:szCs w:val="11"/>
              </w:rPr>
            </w:pPr>
            <w:r w:rsidRPr="00705A00">
              <w:rPr>
                <w:sz w:val="11"/>
                <w:szCs w:val="11"/>
              </w:rPr>
              <w:t>Multi-TB scheduling</w:t>
            </w:r>
          </w:p>
        </w:tc>
        <w:tc>
          <w:tcPr>
            <w:tcW w:w="369" w:type="pct"/>
            <w:tcBorders>
              <w:top w:val="single" w:sz="4" w:space="0" w:color="auto"/>
              <w:left w:val="nil"/>
              <w:bottom w:val="single" w:sz="4" w:space="0" w:color="auto"/>
              <w:right w:val="single" w:sz="4" w:space="0" w:color="auto"/>
            </w:tcBorders>
            <w:shd w:val="clear" w:color="auto" w:fill="auto"/>
          </w:tcPr>
          <w:p w14:paraId="6D2B46A3" w14:textId="44915028" w:rsidR="00705A00" w:rsidRPr="00705A00" w:rsidRDefault="00705A00" w:rsidP="00705A00">
            <w:pPr>
              <w:autoSpaceDE/>
              <w:autoSpaceDN/>
              <w:adjustRightInd/>
              <w:snapToGrid/>
              <w:spacing w:after="0"/>
              <w:jc w:val="left"/>
              <w:rPr>
                <w:rFonts w:ascii="Arial" w:eastAsia="等线" w:hAnsi="Arial" w:cs="Arial"/>
                <w:sz w:val="11"/>
                <w:szCs w:val="11"/>
              </w:rPr>
            </w:pPr>
            <w:r w:rsidRPr="00705A00">
              <w:rPr>
                <w:sz w:val="11"/>
                <w:szCs w:val="11"/>
              </w:rPr>
              <w:t>36.212, 36.213</w:t>
            </w:r>
          </w:p>
        </w:tc>
        <w:tc>
          <w:tcPr>
            <w:tcW w:w="269" w:type="pct"/>
            <w:tcBorders>
              <w:top w:val="single" w:sz="4" w:space="0" w:color="auto"/>
              <w:left w:val="nil"/>
              <w:bottom w:val="single" w:sz="4" w:space="0" w:color="auto"/>
              <w:right w:val="single" w:sz="4" w:space="0" w:color="auto"/>
            </w:tcBorders>
            <w:shd w:val="clear" w:color="auto" w:fill="auto"/>
          </w:tcPr>
          <w:p w14:paraId="3041D14E" w14:textId="77777777" w:rsidR="00705A00" w:rsidRPr="00705A00" w:rsidRDefault="00705A00" w:rsidP="00705A00">
            <w:pPr>
              <w:autoSpaceDE/>
              <w:autoSpaceDN/>
              <w:adjustRightInd/>
              <w:snapToGrid/>
              <w:spacing w:after="0"/>
              <w:jc w:val="left"/>
              <w:rPr>
                <w:rFonts w:ascii="等线" w:eastAsia="等线" w:hAnsi="等线"/>
                <w:sz w:val="11"/>
                <w:szCs w:val="11"/>
              </w:rPr>
            </w:pPr>
          </w:p>
        </w:tc>
        <w:tc>
          <w:tcPr>
            <w:tcW w:w="251" w:type="pct"/>
            <w:tcBorders>
              <w:top w:val="single" w:sz="4" w:space="0" w:color="auto"/>
              <w:left w:val="nil"/>
              <w:bottom w:val="single" w:sz="4" w:space="0" w:color="auto"/>
              <w:right w:val="single" w:sz="4" w:space="0" w:color="auto"/>
            </w:tcBorders>
            <w:shd w:val="clear" w:color="auto" w:fill="auto"/>
          </w:tcPr>
          <w:p w14:paraId="68075B00" w14:textId="77777777" w:rsidR="00705A00" w:rsidRPr="00705A00" w:rsidRDefault="00705A00" w:rsidP="00705A00">
            <w:pPr>
              <w:autoSpaceDE/>
              <w:autoSpaceDN/>
              <w:adjustRightInd/>
              <w:snapToGrid/>
              <w:spacing w:after="0"/>
              <w:jc w:val="left"/>
              <w:rPr>
                <w:rFonts w:ascii="等线" w:eastAsia="等线" w:hAnsi="等线"/>
                <w:sz w:val="11"/>
                <w:szCs w:val="11"/>
              </w:rPr>
            </w:pPr>
          </w:p>
        </w:tc>
        <w:tc>
          <w:tcPr>
            <w:tcW w:w="248" w:type="pct"/>
            <w:tcBorders>
              <w:top w:val="single" w:sz="4" w:space="0" w:color="auto"/>
              <w:left w:val="nil"/>
              <w:bottom w:val="single" w:sz="4" w:space="0" w:color="auto"/>
              <w:right w:val="single" w:sz="4" w:space="0" w:color="auto"/>
            </w:tcBorders>
            <w:shd w:val="clear" w:color="auto" w:fill="auto"/>
          </w:tcPr>
          <w:p w14:paraId="7D3AFBA5" w14:textId="77777777" w:rsidR="00705A00" w:rsidRPr="00705A00" w:rsidRDefault="00705A00" w:rsidP="00705A00">
            <w:pPr>
              <w:autoSpaceDE/>
              <w:autoSpaceDN/>
              <w:adjustRightInd/>
              <w:snapToGrid/>
              <w:spacing w:after="0"/>
              <w:jc w:val="left"/>
              <w:rPr>
                <w:rFonts w:ascii="等线" w:eastAsia="等线" w:hAnsi="等线"/>
                <w:sz w:val="11"/>
                <w:szCs w:val="11"/>
              </w:rPr>
            </w:pPr>
          </w:p>
        </w:tc>
        <w:tc>
          <w:tcPr>
            <w:tcW w:w="330" w:type="pct"/>
            <w:tcBorders>
              <w:top w:val="single" w:sz="4" w:space="0" w:color="auto"/>
              <w:left w:val="nil"/>
              <w:bottom w:val="single" w:sz="4" w:space="0" w:color="auto"/>
              <w:right w:val="single" w:sz="4" w:space="0" w:color="auto"/>
            </w:tcBorders>
            <w:shd w:val="clear" w:color="auto" w:fill="auto"/>
          </w:tcPr>
          <w:p w14:paraId="5AD4D151" w14:textId="15BCF70F" w:rsidR="00705A00" w:rsidRPr="00705A00" w:rsidRDefault="00705A00" w:rsidP="00705A00">
            <w:pPr>
              <w:autoSpaceDE/>
              <w:autoSpaceDN/>
              <w:adjustRightInd/>
              <w:snapToGrid/>
              <w:spacing w:after="0"/>
              <w:jc w:val="left"/>
              <w:rPr>
                <w:rFonts w:ascii="Arial" w:eastAsia="等线" w:hAnsi="Arial" w:cs="Arial"/>
                <w:sz w:val="11"/>
                <w:szCs w:val="11"/>
              </w:rPr>
            </w:pPr>
            <w:r w:rsidRPr="00705A00">
              <w:rPr>
                <w:sz w:val="11"/>
                <w:szCs w:val="11"/>
              </w:rPr>
              <w:t>multi-TB-UL-config</w:t>
            </w:r>
          </w:p>
        </w:tc>
        <w:tc>
          <w:tcPr>
            <w:tcW w:w="297" w:type="pct"/>
            <w:tcBorders>
              <w:top w:val="single" w:sz="4" w:space="0" w:color="auto"/>
              <w:left w:val="nil"/>
              <w:bottom w:val="single" w:sz="4" w:space="0" w:color="auto"/>
              <w:right w:val="single" w:sz="4" w:space="0" w:color="auto"/>
            </w:tcBorders>
            <w:shd w:val="clear" w:color="auto" w:fill="auto"/>
          </w:tcPr>
          <w:p w14:paraId="316EEB51" w14:textId="0D5EBCD7" w:rsidR="00705A00" w:rsidRPr="00705A00" w:rsidRDefault="00705A00" w:rsidP="00705A00">
            <w:pPr>
              <w:autoSpaceDE/>
              <w:autoSpaceDN/>
              <w:adjustRightInd/>
              <w:snapToGrid/>
              <w:spacing w:after="0"/>
              <w:jc w:val="left"/>
              <w:rPr>
                <w:rFonts w:ascii="Arial" w:eastAsia="等线" w:hAnsi="Arial" w:cs="Arial"/>
                <w:sz w:val="11"/>
                <w:szCs w:val="11"/>
              </w:rPr>
            </w:pPr>
            <w:r w:rsidRPr="00705A00">
              <w:rPr>
                <w:sz w:val="11"/>
                <w:szCs w:val="11"/>
              </w:rPr>
              <w:t>New</w:t>
            </w:r>
          </w:p>
        </w:tc>
        <w:tc>
          <w:tcPr>
            <w:tcW w:w="335" w:type="pct"/>
            <w:tcBorders>
              <w:top w:val="single" w:sz="4" w:space="0" w:color="auto"/>
              <w:left w:val="nil"/>
              <w:bottom w:val="single" w:sz="4" w:space="0" w:color="auto"/>
              <w:right w:val="single" w:sz="4" w:space="0" w:color="auto"/>
            </w:tcBorders>
            <w:shd w:val="clear" w:color="auto" w:fill="auto"/>
          </w:tcPr>
          <w:p w14:paraId="07464291" w14:textId="067F350A" w:rsidR="00705A00" w:rsidRPr="00705A00" w:rsidRDefault="00705A00" w:rsidP="00705A00">
            <w:pPr>
              <w:autoSpaceDE/>
              <w:autoSpaceDN/>
              <w:adjustRightInd/>
              <w:snapToGrid/>
              <w:spacing w:after="0"/>
              <w:jc w:val="left"/>
              <w:rPr>
                <w:rFonts w:ascii="Arial" w:eastAsia="等线" w:hAnsi="Arial" w:cs="Arial"/>
                <w:sz w:val="11"/>
                <w:szCs w:val="11"/>
              </w:rPr>
            </w:pPr>
            <w:r w:rsidRPr="00705A00">
              <w:rPr>
                <w:sz w:val="11"/>
                <w:szCs w:val="11"/>
              </w:rPr>
              <w:t>Multi-TB scheduling enabled for unicast in uplink</w:t>
            </w:r>
          </w:p>
        </w:tc>
        <w:tc>
          <w:tcPr>
            <w:tcW w:w="345" w:type="pct"/>
            <w:tcBorders>
              <w:top w:val="single" w:sz="4" w:space="0" w:color="auto"/>
              <w:left w:val="nil"/>
              <w:bottom w:val="single" w:sz="4" w:space="0" w:color="auto"/>
              <w:right w:val="single" w:sz="4" w:space="0" w:color="auto"/>
            </w:tcBorders>
            <w:shd w:val="clear" w:color="auto" w:fill="auto"/>
          </w:tcPr>
          <w:p w14:paraId="2D747ABC" w14:textId="59226532" w:rsidR="00705A00" w:rsidRPr="00705A00" w:rsidRDefault="00705A00" w:rsidP="00705A00">
            <w:pPr>
              <w:autoSpaceDE/>
              <w:autoSpaceDN/>
              <w:adjustRightInd/>
              <w:snapToGrid/>
              <w:spacing w:after="0"/>
              <w:jc w:val="left"/>
              <w:rPr>
                <w:rFonts w:ascii="Arial" w:eastAsia="等线" w:hAnsi="Arial" w:cs="Arial"/>
                <w:sz w:val="11"/>
                <w:szCs w:val="11"/>
              </w:rPr>
            </w:pPr>
            <w:r w:rsidRPr="00705A00">
              <w:rPr>
                <w:sz w:val="11"/>
                <w:szCs w:val="11"/>
              </w:rPr>
              <w:t>If enabled, a single DCI can schedule multiple (up to 8 in CE mode A and up to 4 in CE mode B) transport blocks for UL unicast in CE mode A/B in RRC_CONNECTED.</w:t>
            </w:r>
          </w:p>
        </w:tc>
        <w:tc>
          <w:tcPr>
            <w:tcW w:w="279" w:type="pct"/>
            <w:tcBorders>
              <w:top w:val="single" w:sz="4" w:space="0" w:color="auto"/>
              <w:left w:val="nil"/>
              <w:bottom w:val="single" w:sz="4" w:space="0" w:color="auto"/>
              <w:right w:val="single" w:sz="4" w:space="0" w:color="auto"/>
            </w:tcBorders>
            <w:shd w:val="clear" w:color="auto" w:fill="auto"/>
          </w:tcPr>
          <w:p w14:paraId="689551C4" w14:textId="17912195" w:rsidR="00705A00" w:rsidRPr="00705A00" w:rsidRDefault="00705A00" w:rsidP="00705A00">
            <w:pPr>
              <w:autoSpaceDE/>
              <w:autoSpaceDN/>
              <w:adjustRightInd/>
              <w:snapToGrid/>
              <w:spacing w:after="0"/>
              <w:jc w:val="left"/>
              <w:rPr>
                <w:rFonts w:ascii="Arial" w:eastAsia="等线" w:hAnsi="Arial" w:cs="Arial"/>
                <w:sz w:val="11"/>
                <w:szCs w:val="11"/>
              </w:rPr>
            </w:pPr>
            <w:r w:rsidRPr="00705A00">
              <w:rPr>
                <w:sz w:val="11"/>
                <w:szCs w:val="11"/>
              </w:rPr>
              <w:t>Enabled</w:t>
            </w:r>
          </w:p>
        </w:tc>
        <w:tc>
          <w:tcPr>
            <w:tcW w:w="287" w:type="pct"/>
            <w:tcBorders>
              <w:top w:val="single" w:sz="4" w:space="0" w:color="auto"/>
              <w:left w:val="nil"/>
              <w:bottom w:val="single" w:sz="4" w:space="0" w:color="auto"/>
              <w:right w:val="single" w:sz="4" w:space="0" w:color="auto"/>
            </w:tcBorders>
            <w:shd w:val="clear" w:color="auto" w:fill="auto"/>
          </w:tcPr>
          <w:p w14:paraId="436EB361" w14:textId="77777777" w:rsidR="00705A00" w:rsidRPr="00705A00" w:rsidRDefault="00705A00" w:rsidP="00705A00">
            <w:pPr>
              <w:autoSpaceDE/>
              <w:autoSpaceDN/>
              <w:adjustRightInd/>
              <w:snapToGrid/>
              <w:spacing w:after="0"/>
              <w:jc w:val="left"/>
              <w:rPr>
                <w:rFonts w:ascii="Arial" w:eastAsia="等线" w:hAnsi="Arial" w:cs="Arial"/>
                <w:sz w:val="11"/>
                <w:szCs w:val="11"/>
              </w:rPr>
            </w:pPr>
          </w:p>
        </w:tc>
        <w:tc>
          <w:tcPr>
            <w:tcW w:w="294" w:type="pct"/>
            <w:tcBorders>
              <w:top w:val="single" w:sz="4" w:space="0" w:color="auto"/>
              <w:left w:val="nil"/>
              <w:bottom w:val="single" w:sz="4" w:space="0" w:color="auto"/>
              <w:right w:val="single" w:sz="4" w:space="0" w:color="auto"/>
            </w:tcBorders>
            <w:shd w:val="clear" w:color="auto" w:fill="auto"/>
          </w:tcPr>
          <w:p w14:paraId="08E46EA7" w14:textId="77777777" w:rsidR="00705A00" w:rsidRPr="00705A00" w:rsidRDefault="00705A00" w:rsidP="00705A00">
            <w:pPr>
              <w:autoSpaceDE/>
              <w:autoSpaceDN/>
              <w:adjustRightInd/>
              <w:snapToGrid/>
              <w:spacing w:after="0"/>
              <w:jc w:val="left"/>
              <w:rPr>
                <w:rFonts w:ascii="Arial" w:eastAsia="等线" w:hAnsi="Arial" w:cs="Arial"/>
                <w:sz w:val="11"/>
                <w:szCs w:val="11"/>
              </w:rPr>
            </w:pPr>
          </w:p>
        </w:tc>
        <w:tc>
          <w:tcPr>
            <w:tcW w:w="269" w:type="pct"/>
            <w:tcBorders>
              <w:top w:val="single" w:sz="4" w:space="0" w:color="auto"/>
              <w:left w:val="nil"/>
              <w:bottom w:val="single" w:sz="4" w:space="0" w:color="auto"/>
              <w:right w:val="single" w:sz="4" w:space="0" w:color="auto"/>
            </w:tcBorders>
            <w:shd w:val="clear" w:color="auto" w:fill="auto"/>
          </w:tcPr>
          <w:p w14:paraId="3E75AB0D" w14:textId="35C2129E" w:rsidR="00705A00" w:rsidRPr="00705A00" w:rsidRDefault="00705A00" w:rsidP="00705A00">
            <w:pPr>
              <w:autoSpaceDE/>
              <w:autoSpaceDN/>
              <w:adjustRightInd/>
              <w:snapToGrid/>
              <w:spacing w:after="0"/>
              <w:jc w:val="left"/>
              <w:rPr>
                <w:rFonts w:ascii="Arial" w:eastAsia="等线" w:hAnsi="Arial" w:cs="Arial"/>
                <w:sz w:val="11"/>
                <w:szCs w:val="11"/>
              </w:rPr>
            </w:pPr>
            <w:r w:rsidRPr="00705A00">
              <w:rPr>
                <w:sz w:val="11"/>
                <w:szCs w:val="11"/>
              </w:rPr>
              <w:t>UE specific</w:t>
            </w:r>
          </w:p>
        </w:tc>
        <w:tc>
          <w:tcPr>
            <w:tcW w:w="317" w:type="pct"/>
            <w:tcBorders>
              <w:top w:val="single" w:sz="4" w:space="0" w:color="auto"/>
              <w:left w:val="nil"/>
              <w:bottom w:val="single" w:sz="4" w:space="0" w:color="auto"/>
              <w:right w:val="single" w:sz="4" w:space="0" w:color="auto"/>
            </w:tcBorders>
            <w:shd w:val="clear" w:color="auto" w:fill="auto"/>
          </w:tcPr>
          <w:p w14:paraId="432FD5E8" w14:textId="77777777" w:rsidR="00705A00" w:rsidRPr="00705A00" w:rsidRDefault="00705A00" w:rsidP="00705A00">
            <w:pPr>
              <w:autoSpaceDE/>
              <w:autoSpaceDN/>
              <w:adjustRightInd/>
              <w:snapToGrid/>
              <w:spacing w:after="0"/>
              <w:jc w:val="left"/>
              <w:rPr>
                <w:rFonts w:ascii="Arial" w:eastAsia="等线" w:hAnsi="Arial" w:cs="Arial"/>
                <w:sz w:val="11"/>
                <w:szCs w:val="11"/>
              </w:rPr>
            </w:pPr>
          </w:p>
        </w:tc>
        <w:tc>
          <w:tcPr>
            <w:tcW w:w="376" w:type="pct"/>
            <w:tcBorders>
              <w:top w:val="single" w:sz="4" w:space="0" w:color="auto"/>
              <w:left w:val="nil"/>
              <w:bottom w:val="single" w:sz="4" w:space="0" w:color="auto"/>
              <w:right w:val="single" w:sz="4" w:space="0" w:color="auto"/>
            </w:tcBorders>
            <w:shd w:val="clear" w:color="auto" w:fill="auto"/>
          </w:tcPr>
          <w:p w14:paraId="1D2E0A5D" w14:textId="715107CB" w:rsidR="00705A00" w:rsidRPr="00705A00" w:rsidRDefault="00705A00" w:rsidP="00705A00">
            <w:pPr>
              <w:autoSpaceDE/>
              <w:autoSpaceDN/>
              <w:adjustRightInd/>
              <w:snapToGrid/>
              <w:spacing w:after="0"/>
              <w:jc w:val="left"/>
              <w:rPr>
                <w:rFonts w:ascii="Arial" w:eastAsia="等线" w:hAnsi="Arial" w:cs="Arial"/>
                <w:sz w:val="11"/>
                <w:szCs w:val="11"/>
              </w:rPr>
            </w:pPr>
            <w:r w:rsidRPr="00705A00">
              <w:rPr>
                <w:sz w:val="11"/>
                <w:szCs w:val="11"/>
              </w:rPr>
              <w:t>36.331</w:t>
            </w:r>
          </w:p>
        </w:tc>
      </w:tr>
    </w:tbl>
    <w:p w14:paraId="253097F5" w14:textId="77777777" w:rsidR="00705A00" w:rsidRDefault="00705A00" w:rsidP="003832DA">
      <w:pPr>
        <w:rPr>
          <w:lang w:eastAsia="zh-CN"/>
        </w:rPr>
      </w:pPr>
    </w:p>
    <w:p w14:paraId="29E6B978" w14:textId="656AC2C3" w:rsidR="00A136A5" w:rsidRDefault="00A136A5" w:rsidP="003832DA">
      <w:pPr>
        <w:rPr>
          <w:lang w:eastAsia="zh-CN"/>
        </w:rPr>
      </w:pPr>
      <w:r>
        <w:rPr>
          <w:lang w:eastAsia="zh-CN"/>
        </w:rPr>
        <w:t>And in RAN2#106, the following agreement for NB-IoT and eMTC was made.</w:t>
      </w:r>
    </w:p>
    <w:p w14:paraId="0237989F" w14:textId="77777777" w:rsidR="00A136A5" w:rsidRPr="001E7477" w:rsidRDefault="00A136A5" w:rsidP="00A136A5">
      <w:pPr>
        <w:pStyle w:val="Agreement"/>
        <w:tabs>
          <w:tab w:val="clear" w:pos="2070"/>
          <w:tab w:val="num" w:pos="1619"/>
        </w:tabs>
        <w:ind w:left="1619"/>
        <w:rPr>
          <w:b w:val="0"/>
        </w:rPr>
      </w:pPr>
      <w:r w:rsidRPr="001E7477">
        <w:rPr>
          <w:b w:val="0"/>
          <w:noProof/>
        </w:rPr>
        <w:t>UE capability for multiple TB is indicated separately for uplink and downlink.</w:t>
      </w:r>
    </w:p>
    <w:p w14:paraId="544252AB" w14:textId="1F190AAC" w:rsidR="00705A00" w:rsidRPr="00A136A5" w:rsidRDefault="00A136A5" w:rsidP="003832DA">
      <w:pPr>
        <w:rPr>
          <w:lang w:val="en-GB" w:eastAsia="zh-CN"/>
        </w:rPr>
      </w:pPr>
      <w:r w:rsidRPr="00A136A5">
        <w:rPr>
          <w:lang w:val="en-GB" w:eastAsia="zh-CN"/>
        </w:rPr>
        <w:t xml:space="preserve">Since the UE capabilities </w:t>
      </w:r>
      <w:r>
        <w:rPr>
          <w:lang w:val="en-GB" w:eastAsia="zh-CN"/>
        </w:rPr>
        <w:t xml:space="preserve">for multiple DL or UL TB scheduling </w:t>
      </w:r>
      <w:r w:rsidRPr="00A136A5">
        <w:rPr>
          <w:lang w:val="en-GB" w:eastAsia="zh-CN"/>
        </w:rPr>
        <w:t xml:space="preserve">are separate, </w:t>
      </w:r>
      <w:r w:rsidR="003A0199">
        <w:rPr>
          <w:lang w:val="en-GB" w:eastAsia="zh-CN"/>
        </w:rPr>
        <w:t>the configuration of multi-TB for downlink and uplink should also be separate</w:t>
      </w:r>
      <w:r w:rsidRPr="00A136A5">
        <w:rPr>
          <w:lang w:val="en-GB" w:eastAsia="zh-CN"/>
        </w:rPr>
        <w:t>.</w:t>
      </w:r>
      <w:r w:rsidR="003A0199">
        <w:rPr>
          <w:lang w:val="en-GB" w:eastAsia="zh-CN"/>
        </w:rPr>
        <w:t xml:space="preserve"> Otherwise, the eNB would be unable to configure UEs that support multi-TB only in downlink or uplink to use this feature.</w:t>
      </w:r>
    </w:p>
    <w:p w14:paraId="4544B50F" w14:textId="1EBB3417" w:rsidR="00184259" w:rsidRPr="002D3425" w:rsidRDefault="004F091F" w:rsidP="00FB7655">
      <w:pPr>
        <w:pStyle w:val="a3"/>
        <w:jc w:val="left"/>
        <w:rPr>
          <w:sz w:val="22"/>
        </w:rPr>
      </w:pPr>
      <w:bookmarkStart w:id="4" w:name="_Ref32571967"/>
      <w:r w:rsidRPr="002D3425">
        <w:rPr>
          <w:sz w:val="22"/>
        </w:rPr>
        <w:t xml:space="preserve">Proposal </w:t>
      </w:r>
      <w:r w:rsidRPr="002D3425">
        <w:rPr>
          <w:sz w:val="22"/>
        </w:rPr>
        <w:fldChar w:fldCharType="begin"/>
      </w:r>
      <w:r w:rsidRPr="002D3425">
        <w:rPr>
          <w:sz w:val="22"/>
        </w:rPr>
        <w:instrText xml:space="preserve"> SEQ Proposal \* ARABIC </w:instrText>
      </w:r>
      <w:r w:rsidRPr="002D3425">
        <w:rPr>
          <w:sz w:val="22"/>
        </w:rPr>
        <w:fldChar w:fldCharType="separate"/>
      </w:r>
      <w:r w:rsidR="00A136A5" w:rsidRPr="002D3425">
        <w:rPr>
          <w:noProof/>
          <w:sz w:val="22"/>
        </w:rPr>
        <w:t>2</w:t>
      </w:r>
      <w:r w:rsidRPr="002D3425">
        <w:rPr>
          <w:sz w:val="22"/>
        </w:rPr>
        <w:fldChar w:fldCharType="end"/>
      </w:r>
      <w:r w:rsidR="00A136A5" w:rsidRPr="002D3425">
        <w:rPr>
          <w:sz w:val="22"/>
        </w:rPr>
        <w:t xml:space="preserve">: Multiple TB scheduling for unicast is </w:t>
      </w:r>
      <w:r w:rsidR="007E3A33">
        <w:rPr>
          <w:sz w:val="22"/>
        </w:rPr>
        <w:t>configured</w:t>
      </w:r>
      <w:r w:rsidR="007E3A33" w:rsidRPr="002D3425">
        <w:rPr>
          <w:sz w:val="22"/>
        </w:rPr>
        <w:t xml:space="preserve"> </w:t>
      </w:r>
      <w:r w:rsidR="00A136A5" w:rsidRPr="002D3425">
        <w:rPr>
          <w:sz w:val="22"/>
        </w:rPr>
        <w:t>separately for DL and UL</w:t>
      </w:r>
      <w:r w:rsidRPr="002D3425">
        <w:rPr>
          <w:sz w:val="22"/>
        </w:rPr>
        <w:t>.</w:t>
      </w:r>
      <w:bookmarkEnd w:id="4"/>
    </w:p>
    <w:p w14:paraId="495CAFCB" w14:textId="7AEE63B6" w:rsidR="002D3425" w:rsidRPr="002D3425" w:rsidRDefault="002D3425" w:rsidP="002D3425">
      <w:pPr>
        <w:pStyle w:val="a3"/>
        <w:jc w:val="left"/>
        <w:rPr>
          <w:sz w:val="22"/>
        </w:rPr>
      </w:pPr>
      <w:bookmarkStart w:id="5" w:name="_Ref32571979"/>
      <w:r w:rsidRPr="002D3425">
        <w:rPr>
          <w:sz w:val="22"/>
        </w:rPr>
        <w:t xml:space="preserve">Proposal </w:t>
      </w:r>
      <w:r w:rsidRPr="002D3425">
        <w:rPr>
          <w:sz w:val="22"/>
        </w:rPr>
        <w:fldChar w:fldCharType="begin"/>
      </w:r>
      <w:r w:rsidRPr="002D3425">
        <w:rPr>
          <w:sz w:val="22"/>
        </w:rPr>
        <w:instrText xml:space="preserve"> SEQ Proposal \* ARABIC </w:instrText>
      </w:r>
      <w:r w:rsidRPr="002D3425">
        <w:rPr>
          <w:sz w:val="22"/>
        </w:rPr>
        <w:fldChar w:fldCharType="separate"/>
      </w:r>
      <w:r w:rsidRPr="002D3425">
        <w:rPr>
          <w:noProof/>
          <w:sz w:val="22"/>
        </w:rPr>
        <w:t>3</w:t>
      </w:r>
      <w:r w:rsidRPr="002D3425">
        <w:rPr>
          <w:sz w:val="22"/>
        </w:rPr>
        <w:fldChar w:fldCharType="end"/>
      </w:r>
      <w:r w:rsidRPr="002D3425">
        <w:rPr>
          <w:sz w:val="22"/>
        </w:rPr>
        <w:t>: Send LS to RAN2 to take above agreements into consideration.</w:t>
      </w:r>
      <w:bookmarkEnd w:id="5"/>
    </w:p>
    <w:p w14:paraId="7ACD2D83" w14:textId="77777777" w:rsidR="002D3425" w:rsidRPr="002D3425" w:rsidRDefault="002D3425" w:rsidP="002D3425">
      <w:pPr>
        <w:rPr>
          <w:lang w:eastAsia="zh-CN"/>
        </w:rPr>
      </w:pPr>
    </w:p>
    <w:p w14:paraId="677FE21A" w14:textId="38921E15" w:rsidR="00721F16" w:rsidRPr="003E7E99" w:rsidRDefault="00721F16" w:rsidP="00DF431D">
      <w:pPr>
        <w:pStyle w:val="1"/>
        <w:numPr>
          <w:ilvl w:val="0"/>
          <w:numId w:val="6"/>
        </w:numPr>
        <w:rPr>
          <w:lang w:eastAsia="zh-CN"/>
        </w:rPr>
      </w:pPr>
      <w:r w:rsidRPr="003E7E99">
        <w:rPr>
          <w:lang w:eastAsia="zh-CN"/>
        </w:rPr>
        <w:t>Conclusion</w:t>
      </w:r>
    </w:p>
    <w:p w14:paraId="4142021F" w14:textId="4AF9EC88" w:rsidR="00A8271E" w:rsidRDefault="004F091F" w:rsidP="00816151">
      <w:pPr>
        <w:rPr>
          <w:lang w:eastAsia="zh-CN"/>
        </w:rPr>
      </w:pPr>
      <w:r w:rsidRPr="004F091F">
        <w:rPr>
          <w:lang w:eastAsia="zh-CN"/>
        </w:rPr>
        <w:t xml:space="preserve">In this contribution, our </w:t>
      </w:r>
      <w:r w:rsidR="004F7657" w:rsidRPr="004F7657">
        <w:rPr>
          <w:lang w:eastAsia="zh-CN"/>
        </w:rPr>
        <w:t>further considerations on RRC parameter lists for NB-IoT</w:t>
      </w:r>
      <w:r w:rsidRPr="004F091F">
        <w:rPr>
          <w:lang w:eastAsia="zh-CN"/>
        </w:rPr>
        <w:t xml:space="preserve"> are provided. T</w:t>
      </w:r>
      <w:r>
        <w:rPr>
          <w:lang w:eastAsia="zh-CN"/>
        </w:rPr>
        <w:t>he following proposals are made</w:t>
      </w:r>
      <w:r w:rsidR="000E5F63" w:rsidRPr="00EC21D8">
        <w:rPr>
          <w:lang w:eastAsia="zh-CN"/>
        </w:rPr>
        <w:t>.</w:t>
      </w:r>
    </w:p>
    <w:p w14:paraId="2A3BD5DF" w14:textId="5E35F50D" w:rsidR="00E157B3" w:rsidRPr="00E157B3" w:rsidRDefault="00E157B3" w:rsidP="00816151">
      <w:pPr>
        <w:rPr>
          <w:b/>
          <w:lang w:eastAsia="zh-CN"/>
        </w:rPr>
      </w:pPr>
      <w:r w:rsidRPr="00E157B3">
        <w:rPr>
          <w:b/>
          <w:lang w:eastAsia="zh-CN"/>
        </w:rPr>
        <w:fldChar w:fldCharType="begin"/>
      </w:r>
      <w:r w:rsidRPr="00E157B3">
        <w:rPr>
          <w:b/>
          <w:lang w:eastAsia="zh-CN"/>
        </w:rPr>
        <w:instrText xml:space="preserve"> REF _Ref32571961 \h </w:instrText>
      </w:r>
      <w:r>
        <w:rPr>
          <w:b/>
          <w:lang w:eastAsia="zh-CN"/>
        </w:rPr>
        <w:instrText xml:space="preserve"> \* MERGEFORMAT </w:instrText>
      </w:r>
      <w:r w:rsidRPr="00E157B3">
        <w:rPr>
          <w:b/>
          <w:lang w:eastAsia="zh-CN"/>
        </w:rPr>
      </w:r>
      <w:r w:rsidRPr="00E157B3">
        <w:rPr>
          <w:b/>
          <w:lang w:eastAsia="zh-CN"/>
        </w:rPr>
        <w:fldChar w:fldCharType="separate"/>
      </w:r>
      <w:r w:rsidRPr="00E157B3">
        <w:rPr>
          <w:b/>
        </w:rPr>
        <w:t xml:space="preserve">Proposal </w:t>
      </w:r>
      <w:r w:rsidRPr="00E157B3">
        <w:rPr>
          <w:b/>
          <w:noProof/>
        </w:rPr>
        <w:t>1</w:t>
      </w:r>
      <w:r w:rsidRPr="00E157B3">
        <w:rPr>
          <w:b/>
        </w:rPr>
        <w:t xml:space="preserve">: For CFS PUR, the value range of higher layer parameter </w:t>
      </w:r>
      <w:r w:rsidRPr="00E157B3">
        <w:rPr>
          <w:b/>
          <w:i/>
        </w:rPr>
        <w:t>pur-NPUSCH-cyclic-shift</w:t>
      </w:r>
      <w:r w:rsidRPr="00E157B3">
        <w:rPr>
          <w:b/>
        </w:rPr>
        <w:t xml:space="preserve"> is {0, 6}.</w:t>
      </w:r>
      <w:r w:rsidRPr="00E157B3">
        <w:rPr>
          <w:b/>
          <w:lang w:eastAsia="zh-CN"/>
        </w:rPr>
        <w:fldChar w:fldCharType="end"/>
      </w:r>
    </w:p>
    <w:p w14:paraId="2ADAF600" w14:textId="55EFA3C6" w:rsidR="00E157B3" w:rsidRPr="00E157B3" w:rsidRDefault="00E157B3" w:rsidP="00816151">
      <w:pPr>
        <w:rPr>
          <w:b/>
          <w:lang w:eastAsia="zh-CN"/>
        </w:rPr>
      </w:pPr>
      <w:r w:rsidRPr="00E157B3">
        <w:rPr>
          <w:b/>
          <w:lang w:eastAsia="zh-CN"/>
        </w:rPr>
        <w:fldChar w:fldCharType="begin"/>
      </w:r>
      <w:r w:rsidRPr="00E157B3">
        <w:rPr>
          <w:b/>
          <w:lang w:eastAsia="zh-CN"/>
        </w:rPr>
        <w:instrText xml:space="preserve"> REF _Ref32571967 \h </w:instrText>
      </w:r>
      <w:r>
        <w:rPr>
          <w:b/>
          <w:lang w:eastAsia="zh-CN"/>
        </w:rPr>
        <w:instrText xml:space="preserve"> \* MERGEFORMAT </w:instrText>
      </w:r>
      <w:r w:rsidRPr="00E157B3">
        <w:rPr>
          <w:b/>
          <w:lang w:eastAsia="zh-CN"/>
        </w:rPr>
      </w:r>
      <w:r w:rsidRPr="00E157B3">
        <w:rPr>
          <w:b/>
          <w:lang w:eastAsia="zh-CN"/>
        </w:rPr>
        <w:fldChar w:fldCharType="separate"/>
      </w:r>
      <w:r w:rsidR="009A64B9" w:rsidRPr="004375A8">
        <w:rPr>
          <w:b/>
        </w:rPr>
        <w:t xml:space="preserve">Proposal </w:t>
      </w:r>
      <w:r w:rsidR="009A64B9" w:rsidRPr="004375A8">
        <w:rPr>
          <w:b/>
          <w:noProof/>
        </w:rPr>
        <w:t>2</w:t>
      </w:r>
      <w:r w:rsidR="009A64B9" w:rsidRPr="004375A8">
        <w:rPr>
          <w:b/>
        </w:rPr>
        <w:t>: Multiple TB scheduling for unicast is configured separately for DL and UL.</w:t>
      </w:r>
      <w:r w:rsidRPr="00E157B3">
        <w:rPr>
          <w:b/>
          <w:lang w:eastAsia="zh-CN"/>
        </w:rPr>
        <w:fldChar w:fldCharType="end"/>
      </w:r>
    </w:p>
    <w:p w14:paraId="4EBC6A95" w14:textId="3FBA68ED" w:rsidR="00E157B3" w:rsidRPr="00E157B3" w:rsidRDefault="00E157B3" w:rsidP="00816151">
      <w:pPr>
        <w:rPr>
          <w:b/>
          <w:lang w:eastAsia="zh-CN"/>
        </w:rPr>
      </w:pPr>
      <w:r w:rsidRPr="00E157B3">
        <w:rPr>
          <w:b/>
          <w:lang w:eastAsia="zh-CN"/>
        </w:rPr>
        <w:fldChar w:fldCharType="begin"/>
      </w:r>
      <w:r w:rsidRPr="00E157B3">
        <w:rPr>
          <w:b/>
          <w:lang w:eastAsia="zh-CN"/>
        </w:rPr>
        <w:instrText xml:space="preserve"> REF _Ref32571979 \h </w:instrText>
      </w:r>
      <w:r>
        <w:rPr>
          <w:b/>
          <w:lang w:eastAsia="zh-CN"/>
        </w:rPr>
        <w:instrText xml:space="preserve"> \* MERGEFORMAT </w:instrText>
      </w:r>
      <w:r w:rsidRPr="00E157B3">
        <w:rPr>
          <w:b/>
          <w:lang w:eastAsia="zh-CN"/>
        </w:rPr>
      </w:r>
      <w:r w:rsidRPr="00E157B3">
        <w:rPr>
          <w:b/>
          <w:lang w:eastAsia="zh-CN"/>
        </w:rPr>
        <w:fldChar w:fldCharType="separate"/>
      </w:r>
      <w:r w:rsidRPr="00E157B3">
        <w:rPr>
          <w:b/>
        </w:rPr>
        <w:t xml:space="preserve">Proposal </w:t>
      </w:r>
      <w:r w:rsidRPr="00E157B3">
        <w:rPr>
          <w:b/>
          <w:noProof/>
        </w:rPr>
        <w:t>3</w:t>
      </w:r>
      <w:r w:rsidRPr="00E157B3">
        <w:rPr>
          <w:b/>
        </w:rPr>
        <w:t>: Send LS to RAN2 to take above agreements into consideration.</w:t>
      </w:r>
      <w:r w:rsidRPr="00E157B3">
        <w:rPr>
          <w:b/>
          <w:lang w:eastAsia="zh-CN"/>
        </w:rPr>
        <w:fldChar w:fldCharType="end"/>
      </w:r>
    </w:p>
    <w:p w14:paraId="7588F3CD" w14:textId="77777777" w:rsidR="00AE731E" w:rsidRPr="003E7E99" w:rsidRDefault="00AE731E" w:rsidP="003314CD">
      <w:pPr>
        <w:pStyle w:val="1"/>
        <w:numPr>
          <w:ilvl w:val="0"/>
          <w:numId w:val="0"/>
        </w:numPr>
        <w:spacing w:before="240"/>
        <w:ind w:left="431" w:hanging="431"/>
      </w:pPr>
      <w:r w:rsidRPr="003E7E99">
        <w:lastRenderedPageBreak/>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F72907"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B3D58F5" w14:textId="6A84976F" w:rsidR="00946185" w:rsidRDefault="00A221C0" w:rsidP="00A221C0">
      <w:pPr>
        <w:pStyle w:val="References"/>
      </w:pPr>
      <w:bookmarkStart w:id="6" w:name="_Ref520312828"/>
      <w:r w:rsidRPr="00A221C0">
        <w:rPr>
          <w:lang w:eastAsia="zh-CN"/>
        </w:rPr>
        <w:t>R1-1913595</w:t>
      </w:r>
      <w:r w:rsidR="00064224">
        <w:rPr>
          <w:lang w:eastAsia="zh-CN"/>
        </w:rPr>
        <w:t>, “</w:t>
      </w:r>
      <w:r w:rsidRPr="00A221C0">
        <w:rPr>
          <w:lang w:eastAsia="zh-CN"/>
        </w:rPr>
        <w:t>RAN1 agreements for Rel-16 Additional Enhancements for NB-IoT</w:t>
      </w:r>
      <w:r w:rsidR="00064224">
        <w:rPr>
          <w:lang w:eastAsia="zh-CN"/>
        </w:rPr>
        <w:t xml:space="preserve">”, </w:t>
      </w:r>
      <w:bookmarkEnd w:id="6"/>
      <w:r>
        <w:rPr>
          <w:lang w:eastAsia="zh-CN"/>
        </w:rPr>
        <w:t>Futurewei, RAN1#99</w:t>
      </w:r>
      <w:r w:rsidR="00EB51CC">
        <w:rPr>
          <w:lang w:eastAsia="zh-CN"/>
        </w:rPr>
        <w:t xml:space="preserve">, </w:t>
      </w:r>
      <w:r w:rsidRPr="00A221C0">
        <w:rPr>
          <w:lang w:eastAsia="zh-CN"/>
        </w:rPr>
        <w:t>Reno, USA, 18th – 22nd November 2019</w:t>
      </w:r>
      <w:r w:rsidR="00EB51CC">
        <w:rPr>
          <w:lang w:eastAsia="zh-CN"/>
        </w:rPr>
        <w:t>.</w:t>
      </w:r>
    </w:p>
    <w:p w14:paraId="422C8041" w14:textId="7277B32C" w:rsidR="00614C44" w:rsidRDefault="00614C44" w:rsidP="004F7657">
      <w:pPr>
        <w:pStyle w:val="References"/>
      </w:pPr>
      <w:bookmarkStart w:id="7" w:name="_Ref31632533"/>
      <w:r w:rsidRPr="00614C44">
        <w:t>R1-1913673</w:t>
      </w:r>
      <w:r>
        <w:t>, ”</w:t>
      </w:r>
      <w:r w:rsidRPr="00614C44">
        <w:t xml:space="preserve"> Updated consolidated parameter list for Rel-16 LTE</w:t>
      </w:r>
      <w:r>
        <w:t xml:space="preserve">”, </w:t>
      </w:r>
      <w:r w:rsidR="004F7657" w:rsidRPr="004F7657">
        <w:t>Qualcomm</w:t>
      </w:r>
      <w:r>
        <w:t xml:space="preserve">, </w:t>
      </w:r>
      <w:r w:rsidRPr="00614C44">
        <w:t>RAN1#99, Reno, USA, 18th – 22nd November 2019</w:t>
      </w:r>
      <w:r>
        <w:t>.</w:t>
      </w:r>
      <w:bookmarkEnd w:id="7"/>
    </w:p>
    <w:p w14:paraId="7FF86C4D" w14:textId="57F5639F" w:rsidR="00194953" w:rsidRDefault="00194953" w:rsidP="00194953"/>
    <w:sectPr w:rsid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B41B9" w14:textId="77777777" w:rsidR="005478C2" w:rsidRDefault="005478C2" w:rsidP="00721F16">
      <w:pPr>
        <w:spacing w:after="0"/>
      </w:pPr>
      <w:r>
        <w:separator/>
      </w:r>
    </w:p>
  </w:endnote>
  <w:endnote w:type="continuationSeparator" w:id="0">
    <w:p w14:paraId="4475122B" w14:textId="77777777" w:rsidR="005478C2" w:rsidRDefault="005478C2" w:rsidP="00721F16">
      <w:pPr>
        <w:spacing w:after="0"/>
      </w:pPr>
      <w:r>
        <w:continuationSeparator/>
      </w:r>
    </w:p>
  </w:endnote>
  <w:endnote w:type="continuationNotice" w:id="1">
    <w:p w14:paraId="6CEA8558" w14:textId="77777777" w:rsidR="005478C2" w:rsidRDefault="005478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56926" w14:textId="77777777" w:rsidR="005478C2" w:rsidRDefault="005478C2" w:rsidP="00721F16">
      <w:pPr>
        <w:spacing w:after="0"/>
      </w:pPr>
      <w:r>
        <w:separator/>
      </w:r>
    </w:p>
  </w:footnote>
  <w:footnote w:type="continuationSeparator" w:id="0">
    <w:p w14:paraId="5ACC247B" w14:textId="77777777" w:rsidR="005478C2" w:rsidRDefault="005478C2" w:rsidP="00721F16">
      <w:pPr>
        <w:spacing w:after="0"/>
      </w:pPr>
      <w:r>
        <w:continuationSeparator/>
      </w:r>
    </w:p>
  </w:footnote>
  <w:footnote w:type="continuationNotice" w:id="1">
    <w:p w14:paraId="7A1B0F0B" w14:textId="77777777" w:rsidR="005478C2" w:rsidRDefault="005478C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737B6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EB5133"/>
    <w:multiLevelType w:val="hybridMultilevel"/>
    <w:tmpl w:val="B9B85E3E"/>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DE0C2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2"/>
  </w:num>
  <w:num w:numId="2">
    <w:abstractNumId w:val="4"/>
  </w:num>
  <w:num w:numId="3">
    <w:abstractNumId w:val="10"/>
  </w:num>
  <w:num w:numId="4">
    <w:abstractNumId w:val="1"/>
  </w:num>
  <w:num w:numId="5">
    <w:abstractNumId w:val="9"/>
  </w:num>
  <w:num w:numId="6">
    <w:abstractNumId w:val="3"/>
  </w:num>
  <w:num w:numId="7">
    <w:abstractNumId w:val="0"/>
  </w:num>
  <w:num w:numId="8">
    <w:abstractNumId w:val="6"/>
  </w:num>
  <w:num w:numId="9">
    <w:abstractNumId w:val="7"/>
  </w:num>
  <w:num w:numId="10">
    <w:abstractNumId w:val="2"/>
  </w:num>
  <w:num w:numId="11">
    <w:abstractNumId w:val="2"/>
  </w:num>
  <w:num w:numId="12">
    <w:abstractNumId w:val="8"/>
  </w:num>
  <w:num w:numId="1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1030"/>
    <w:rsid w:val="000112C7"/>
    <w:rsid w:val="000120E8"/>
    <w:rsid w:val="00012FCB"/>
    <w:rsid w:val="000148FD"/>
    <w:rsid w:val="0001493B"/>
    <w:rsid w:val="0001512C"/>
    <w:rsid w:val="000158E0"/>
    <w:rsid w:val="000164AD"/>
    <w:rsid w:val="00016A7C"/>
    <w:rsid w:val="0001751B"/>
    <w:rsid w:val="0002013D"/>
    <w:rsid w:val="0002042A"/>
    <w:rsid w:val="00021E97"/>
    <w:rsid w:val="00021F55"/>
    <w:rsid w:val="00026C5D"/>
    <w:rsid w:val="00026F95"/>
    <w:rsid w:val="00031654"/>
    <w:rsid w:val="0003269F"/>
    <w:rsid w:val="00032C30"/>
    <w:rsid w:val="00034347"/>
    <w:rsid w:val="00034A8D"/>
    <w:rsid w:val="00036461"/>
    <w:rsid w:val="00040D8E"/>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1C79"/>
    <w:rsid w:val="000629DD"/>
    <w:rsid w:val="00062A20"/>
    <w:rsid w:val="000633DA"/>
    <w:rsid w:val="00064224"/>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81A12"/>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B7E45"/>
    <w:rsid w:val="000C0609"/>
    <w:rsid w:val="000C0A0F"/>
    <w:rsid w:val="000C0F47"/>
    <w:rsid w:val="000C13DC"/>
    <w:rsid w:val="000C1594"/>
    <w:rsid w:val="000C30EC"/>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5F63"/>
    <w:rsid w:val="000E7170"/>
    <w:rsid w:val="000E73AF"/>
    <w:rsid w:val="000E7EFB"/>
    <w:rsid w:val="000F097E"/>
    <w:rsid w:val="000F0AEF"/>
    <w:rsid w:val="000F0EEC"/>
    <w:rsid w:val="000F2380"/>
    <w:rsid w:val="000F2762"/>
    <w:rsid w:val="000F2A70"/>
    <w:rsid w:val="000F3331"/>
    <w:rsid w:val="000F36F3"/>
    <w:rsid w:val="000F455E"/>
    <w:rsid w:val="000F4D3A"/>
    <w:rsid w:val="000F4F88"/>
    <w:rsid w:val="000F5184"/>
    <w:rsid w:val="000F5523"/>
    <w:rsid w:val="000F63F3"/>
    <w:rsid w:val="000F6634"/>
    <w:rsid w:val="000F7205"/>
    <w:rsid w:val="000F7D4A"/>
    <w:rsid w:val="0010061A"/>
    <w:rsid w:val="00100C9A"/>
    <w:rsid w:val="00100D34"/>
    <w:rsid w:val="0010109B"/>
    <w:rsid w:val="00101C0A"/>
    <w:rsid w:val="001024CA"/>
    <w:rsid w:val="001035EB"/>
    <w:rsid w:val="0010384F"/>
    <w:rsid w:val="00105F65"/>
    <w:rsid w:val="001076E8"/>
    <w:rsid w:val="001109C0"/>
    <w:rsid w:val="00110AE4"/>
    <w:rsid w:val="00110D83"/>
    <w:rsid w:val="00112870"/>
    <w:rsid w:val="00112883"/>
    <w:rsid w:val="00112AAA"/>
    <w:rsid w:val="001147ED"/>
    <w:rsid w:val="001150DF"/>
    <w:rsid w:val="001157E3"/>
    <w:rsid w:val="00117348"/>
    <w:rsid w:val="001179E1"/>
    <w:rsid w:val="00117E5B"/>
    <w:rsid w:val="00120A33"/>
    <w:rsid w:val="00120E57"/>
    <w:rsid w:val="0012118E"/>
    <w:rsid w:val="001214DD"/>
    <w:rsid w:val="001260CE"/>
    <w:rsid w:val="001269FF"/>
    <w:rsid w:val="00130BB0"/>
    <w:rsid w:val="00131986"/>
    <w:rsid w:val="00132F7E"/>
    <w:rsid w:val="00133C1F"/>
    <w:rsid w:val="00137782"/>
    <w:rsid w:val="0014091B"/>
    <w:rsid w:val="00140944"/>
    <w:rsid w:val="00143856"/>
    <w:rsid w:val="00143A6D"/>
    <w:rsid w:val="00145E65"/>
    <w:rsid w:val="00146E24"/>
    <w:rsid w:val="00147EEB"/>
    <w:rsid w:val="0015168C"/>
    <w:rsid w:val="001517DE"/>
    <w:rsid w:val="0015192F"/>
    <w:rsid w:val="001525BB"/>
    <w:rsid w:val="00152716"/>
    <w:rsid w:val="00152C53"/>
    <w:rsid w:val="00154870"/>
    <w:rsid w:val="00154994"/>
    <w:rsid w:val="001554D8"/>
    <w:rsid w:val="00155D73"/>
    <w:rsid w:val="00160814"/>
    <w:rsid w:val="00160C75"/>
    <w:rsid w:val="001626B9"/>
    <w:rsid w:val="00166EE1"/>
    <w:rsid w:val="0016734E"/>
    <w:rsid w:val="00167B69"/>
    <w:rsid w:val="001700F7"/>
    <w:rsid w:val="00170378"/>
    <w:rsid w:val="00172556"/>
    <w:rsid w:val="00172868"/>
    <w:rsid w:val="001731D0"/>
    <w:rsid w:val="0017365C"/>
    <w:rsid w:val="00174503"/>
    <w:rsid w:val="0017554A"/>
    <w:rsid w:val="00176692"/>
    <w:rsid w:val="00176B1B"/>
    <w:rsid w:val="00180AC2"/>
    <w:rsid w:val="00180D96"/>
    <w:rsid w:val="00181F3A"/>
    <w:rsid w:val="00182A67"/>
    <w:rsid w:val="001830E3"/>
    <w:rsid w:val="00183896"/>
    <w:rsid w:val="00184259"/>
    <w:rsid w:val="00185EA9"/>
    <w:rsid w:val="00186374"/>
    <w:rsid w:val="00187FEF"/>
    <w:rsid w:val="0019007A"/>
    <w:rsid w:val="0019039D"/>
    <w:rsid w:val="00190C36"/>
    <w:rsid w:val="00191538"/>
    <w:rsid w:val="00192CD0"/>
    <w:rsid w:val="00193DBE"/>
    <w:rsid w:val="00194953"/>
    <w:rsid w:val="00194DDF"/>
    <w:rsid w:val="00195C04"/>
    <w:rsid w:val="001964DA"/>
    <w:rsid w:val="00196F3E"/>
    <w:rsid w:val="0019744E"/>
    <w:rsid w:val="001A0200"/>
    <w:rsid w:val="001A0C6A"/>
    <w:rsid w:val="001A0E57"/>
    <w:rsid w:val="001A2CC3"/>
    <w:rsid w:val="001A5C87"/>
    <w:rsid w:val="001A5EC6"/>
    <w:rsid w:val="001B1194"/>
    <w:rsid w:val="001B1436"/>
    <w:rsid w:val="001B56A6"/>
    <w:rsid w:val="001B5BCC"/>
    <w:rsid w:val="001B6688"/>
    <w:rsid w:val="001B69E9"/>
    <w:rsid w:val="001B7C53"/>
    <w:rsid w:val="001C0C0B"/>
    <w:rsid w:val="001C0D22"/>
    <w:rsid w:val="001C2A48"/>
    <w:rsid w:val="001C3233"/>
    <w:rsid w:val="001C3436"/>
    <w:rsid w:val="001C3BB4"/>
    <w:rsid w:val="001C3EA3"/>
    <w:rsid w:val="001C4895"/>
    <w:rsid w:val="001C5117"/>
    <w:rsid w:val="001D1355"/>
    <w:rsid w:val="001D1530"/>
    <w:rsid w:val="001D2B05"/>
    <w:rsid w:val="001D506C"/>
    <w:rsid w:val="001D7A0B"/>
    <w:rsid w:val="001E31F2"/>
    <w:rsid w:val="001E4579"/>
    <w:rsid w:val="001E5FA9"/>
    <w:rsid w:val="001E60CE"/>
    <w:rsid w:val="001E6CEC"/>
    <w:rsid w:val="001E6CFD"/>
    <w:rsid w:val="001E756B"/>
    <w:rsid w:val="001E7A56"/>
    <w:rsid w:val="001F20B0"/>
    <w:rsid w:val="001F2A04"/>
    <w:rsid w:val="001F3016"/>
    <w:rsid w:val="001F618F"/>
    <w:rsid w:val="001F62E2"/>
    <w:rsid w:val="001F65BD"/>
    <w:rsid w:val="001F6690"/>
    <w:rsid w:val="001F7A66"/>
    <w:rsid w:val="0020229E"/>
    <w:rsid w:val="0020667C"/>
    <w:rsid w:val="00206C01"/>
    <w:rsid w:val="002104BB"/>
    <w:rsid w:val="00211B73"/>
    <w:rsid w:val="00211D14"/>
    <w:rsid w:val="0021254B"/>
    <w:rsid w:val="00212A0B"/>
    <w:rsid w:val="00212E7C"/>
    <w:rsid w:val="002147B2"/>
    <w:rsid w:val="00215450"/>
    <w:rsid w:val="00215B09"/>
    <w:rsid w:val="00215B18"/>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4BDF"/>
    <w:rsid w:val="0022536A"/>
    <w:rsid w:val="00225469"/>
    <w:rsid w:val="00226545"/>
    <w:rsid w:val="00226BA0"/>
    <w:rsid w:val="002272F8"/>
    <w:rsid w:val="0023168D"/>
    <w:rsid w:val="002324C4"/>
    <w:rsid w:val="00232647"/>
    <w:rsid w:val="00232964"/>
    <w:rsid w:val="00232975"/>
    <w:rsid w:val="00232F22"/>
    <w:rsid w:val="0023325B"/>
    <w:rsid w:val="002352DE"/>
    <w:rsid w:val="00235C0F"/>
    <w:rsid w:val="00237251"/>
    <w:rsid w:val="00237493"/>
    <w:rsid w:val="00241E10"/>
    <w:rsid w:val="00243198"/>
    <w:rsid w:val="002438FD"/>
    <w:rsid w:val="00243C63"/>
    <w:rsid w:val="00245AF4"/>
    <w:rsid w:val="00247580"/>
    <w:rsid w:val="00247645"/>
    <w:rsid w:val="0024771A"/>
    <w:rsid w:val="00250430"/>
    <w:rsid w:val="002508D5"/>
    <w:rsid w:val="002509C3"/>
    <w:rsid w:val="002517BA"/>
    <w:rsid w:val="00253C4C"/>
    <w:rsid w:val="00254AA7"/>
    <w:rsid w:val="002552CC"/>
    <w:rsid w:val="00255311"/>
    <w:rsid w:val="00255B36"/>
    <w:rsid w:val="00256826"/>
    <w:rsid w:val="00256C61"/>
    <w:rsid w:val="00257159"/>
    <w:rsid w:val="00257577"/>
    <w:rsid w:val="00262370"/>
    <w:rsid w:val="0026270D"/>
    <w:rsid w:val="0026571F"/>
    <w:rsid w:val="00265822"/>
    <w:rsid w:val="00265870"/>
    <w:rsid w:val="002677BA"/>
    <w:rsid w:val="00267E3E"/>
    <w:rsid w:val="00270890"/>
    <w:rsid w:val="002712FE"/>
    <w:rsid w:val="002727FF"/>
    <w:rsid w:val="00272FED"/>
    <w:rsid w:val="00273822"/>
    <w:rsid w:val="0027388E"/>
    <w:rsid w:val="0027398A"/>
    <w:rsid w:val="0027402F"/>
    <w:rsid w:val="00277A76"/>
    <w:rsid w:val="002810F3"/>
    <w:rsid w:val="002827D3"/>
    <w:rsid w:val="002828A0"/>
    <w:rsid w:val="00282A53"/>
    <w:rsid w:val="0028524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3144"/>
    <w:rsid w:val="002B339A"/>
    <w:rsid w:val="002B4A10"/>
    <w:rsid w:val="002B4DC7"/>
    <w:rsid w:val="002B4E84"/>
    <w:rsid w:val="002B623C"/>
    <w:rsid w:val="002B6C34"/>
    <w:rsid w:val="002C27F1"/>
    <w:rsid w:val="002C321F"/>
    <w:rsid w:val="002C533B"/>
    <w:rsid w:val="002C6EEE"/>
    <w:rsid w:val="002C75DB"/>
    <w:rsid w:val="002D0F73"/>
    <w:rsid w:val="002D1674"/>
    <w:rsid w:val="002D199B"/>
    <w:rsid w:val="002D25AC"/>
    <w:rsid w:val="002D3425"/>
    <w:rsid w:val="002D349E"/>
    <w:rsid w:val="002D39A9"/>
    <w:rsid w:val="002E03EB"/>
    <w:rsid w:val="002E0648"/>
    <w:rsid w:val="002E07F3"/>
    <w:rsid w:val="002E2ABE"/>
    <w:rsid w:val="002E32B5"/>
    <w:rsid w:val="002E4608"/>
    <w:rsid w:val="002E5FCC"/>
    <w:rsid w:val="002E66F2"/>
    <w:rsid w:val="002E7426"/>
    <w:rsid w:val="002E7946"/>
    <w:rsid w:val="002F0230"/>
    <w:rsid w:val="002F16DC"/>
    <w:rsid w:val="002F1B87"/>
    <w:rsid w:val="002F23F4"/>
    <w:rsid w:val="002F3649"/>
    <w:rsid w:val="002F3BFB"/>
    <w:rsid w:val="002F3F4A"/>
    <w:rsid w:val="002F6E61"/>
    <w:rsid w:val="003006BE"/>
    <w:rsid w:val="00300D0A"/>
    <w:rsid w:val="00301BB5"/>
    <w:rsid w:val="00301ED8"/>
    <w:rsid w:val="00303B00"/>
    <w:rsid w:val="00303B86"/>
    <w:rsid w:val="00305834"/>
    <w:rsid w:val="003061F9"/>
    <w:rsid w:val="00306431"/>
    <w:rsid w:val="0031033F"/>
    <w:rsid w:val="003108C2"/>
    <w:rsid w:val="003121F7"/>
    <w:rsid w:val="003135EF"/>
    <w:rsid w:val="00313DE7"/>
    <w:rsid w:val="00315C80"/>
    <w:rsid w:val="0031687C"/>
    <w:rsid w:val="00317567"/>
    <w:rsid w:val="003176A2"/>
    <w:rsid w:val="0031799A"/>
    <w:rsid w:val="00317C4C"/>
    <w:rsid w:val="003205C9"/>
    <w:rsid w:val="0032166D"/>
    <w:rsid w:val="00321CAC"/>
    <w:rsid w:val="00321D29"/>
    <w:rsid w:val="00322A44"/>
    <w:rsid w:val="00324176"/>
    <w:rsid w:val="003254EC"/>
    <w:rsid w:val="00327F6A"/>
    <w:rsid w:val="003304A5"/>
    <w:rsid w:val="003314CD"/>
    <w:rsid w:val="003320E2"/>
    <w:rsid w:val="003328C1"/>
    <w:rsid w:val="00332CAF"/>
    <w:rsid w:val="0033355D"/>
    <w:rsid w:val="003340B1"/>
    <w:rsid w:val="00334632"/>
    <w:rsid w:val="00335A5E"/>
    <w:rsid w:val="00336964"/>
    <w:rsid w:val="00337076"/>
    <w:rsid w:val="00337CF0"/>
    <w:rsid w:val="00344E03"/>
    <w:rsid w:val="003450B9"/>
    <w:rsid w:val="00345659"/>
    <w:rsid w:val="00345789"/>
    <w:rsid w:val="00345A5F"/>
    <w:rsid w:val="00345B52"/>
    <w:rsid w:val="00353D88"/>
    <w:rsid w:val="003542D4"/>
    <w:rsid w:val="003554A0"/>
    <w:rsid w:val="00357A79"/>
    <w:rsid w:val="0036067F"/>
    <w:rsid w:val="00362E83"/>
    <w:rsid w:val="00364677"/>
    <w:rsid w:val="00364D14"/>
    <w:rsid w:val="0036782F"/>
    <w:rsid w:val="0037089F"/>
    <w:rsid w:val="0037148E"/>
    <w:rsid w:val="00371EB8"/>
    <w:rsid w:val="0037266E"/>
    <w:rsid w:val="00372F8B"/>
    <w:rsid w:val="003735FF"/>
    <w:rsid w:val="003759D1"/>
    <w:rsid w:val="00376EC7"/>
    <w:rsid w:val="0038004A"/>
    <w:rsid w:val="00381F9B"/>
    <w:rsid w:val="00382717"/>
    <w:rsid w:val="003832DA"/>
    <w:rsid w:val="00383869"/>
    <w:rsid w:val="00383B42"/>
    <w:rsid w:val="00384B7E"/>
    <w:rsid w:val="00384F88"/>
    <w:rsid w:val="003853B9"/>
    <w:rsid w:val="00387018"/>
    <w:rsid w:val="0038772B"/>
    <w:rsid w:val="00387DC7"/>
    <w:rsid w:val="0039020F"/>
    <w:rsid w:val="00390709"/>
    <w:rsid w:val="00391E04"/>
    <w:rsid w:val="00392098"/>
    <w:rsid w:val="00393F6C"/>
    <w:rsid w:val="003941D0"/>
    <w:rsid w:val="00395E0A"/>
    <w:rsid w:val="003964D2"/>
    <w:rsid w:val="00397549"/>
    <w:rsid w:val="003A0199"/>
    <w:rsid w:val="003A02C5"/>
    <w:rsid w:val="003A235F"/>
    <w:rsid w:val="003A426C"/>
    <w:rsid w:val="003A428F"/>
    <w:rsid w:val="003A4993"/>
    <w:rsid w:val="003A5C54"/>
    <w:rsid w:val="003A686E"/>
    <w:rsid w:val="003B034F"/>
    <w:rsid w:val="003B0C18"/>
    <w:rsid w:val="003B0F02"/>
    <w:rsid w:val="003B1920"/>
    <w:rsid w:val="003B34FF"/>
    <w:rsid w:val="003B3945"/>
    <w:rsid w:val="003B4A75"/>
    <w:rsid w:val="003B4BB7"/>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7E3"/>
    <w:rsid w:val="003D1803"/>
    <w:rsid w:val="003D2A2C"/>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5F1D"/>
    <w:rsid w:val="003F627E"/>
    <w:rsid w:val="003F6428"/>
    <w:rsid w:val="003F73AF"/>
    <w:rsid w:val="003F7E43"/>
    <w:rsid w:val="00400667"/>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BA8"/>
    <w:rsid w:val="00413C8C"/>
    <w:rsid w:val="004148C3"/>
    <w:rsid w:val="00415A61"/>
    <w:rsid w:val="004160FB"/>
    <w:rsid w:val="00416185"/>
    <w:rsid w:val="00417840"/>
    <w:rsid w:val="00417CA2"/>
    <w:rsid w:val="00421029"/>
    <w:rsid w:val="004212BC"/>
    <w:rsid w:val="00421EEF"/>
    <w:rsid w:val="00422123"/>
    <w:rsid w:val="004221FE"/>
    <w:rsid w:val="0042270B"/>
    <w:rsid w:val="00422BF4"/>
    <w:rsid w:val="00423467"/>
    <w:rsid w:val="00423486"/>
    <w:rsid w:val="00424DE5"/>
    <w:rsid w:val="00424F29"/>
    <w:rsid w:val="0042589A"/>
    <w:rsid w:val="004264A1"/>
    <w:rsid w:val="0043043B"/>
    <w:rsid w:val="00432FF8"/>
    <w:rsid w:val="0043429B"/>
    <w:rsid w:val="004343B1"/>
    <w:rsid w:val="0043475E"/>
    <w:rsid w:val="00435C60"/>
    <w:rsid w:val="00436152"/>
    <w:rsid w:val="004375A8"/>
    <w:rsid w:val="00440581"/>
    <w:rsid w:val="00440712"/>
    <w:rsid w:val="00440BEF"/>
    <w:rsid w:val="004452BC"/>
    <w:rsid w:val="004458C8"/>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66B38"/>
    <w:rsid w:val="00470106"/>
    <w:rsid w:val="004702F5"/>
    <w:rsid w:val="00470DFA"/>
    <w:rsid w:val="004710D7"/>
    <w:rsid w:val="0047137F"/>
    <w:rsid w:val="004720F4"/>
    <w:rsid w:val="0047258B"/>
    <w:rsid w:val="00474445"/>
    <w:rsid w:val="004755EE"/>
    <w:rsid w:val="00475C01"/>
    <w:rsid w:val="0048302B"/>
    <w:rsid w:val="0048394D"/>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978FA"/>
    <w:rsid w:val="004A0921"/>
    <w:rsid w:val="004A2A17"/>
    <w:rsid w:val="004A422F"/>
    <w:rsid w:val="004A43B0"/>
    <w:rsid w:val="004A482C"/>
    <w:rsid w:val="004A5222"/>
    <w:rsid w:val="004A634E"/>
    <w:rsid w:val="004A6635"/>
    <w:rsid w:val="004A685C"/>
    <w:rsid w:val="004A7372"/>
    <w:rsid w:val="004A739C"/>
    <w:rsid w:val="004B2600"/>
    <w:rsid w:val="004B4244"/>
    <w:rsid w:val="004B50E4"/>
    <w:rsid w:val="004B76DF"/>
    <w:rsid w:val="004C047B"/>
    <w:rsid w:val="004C1917"/>
    <w:rsid w:val="004C3AD9"/>
    <w:rsid w:val="004C3DA8"/>
    <w:rsid w:val="004C4340"/>
    <w:rsid w:val="004C46FD"/>
    <w:rsid w:val="004C576F"/>
    <w:rsid w:val="004C5FC3"/>
    <w:rsid w:val="004C6C67"/>
    <w:rsid w:val="004C7537"/>
    <w:rsid w:val="004D0E0C"/>
    <w:rsid w:val="004D1304"/>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6058"/>
    <w:rsid w:val="004E6D35"/>
    <w:rsid w:val="004E6E7B"/>
    <w:rsid w:val="004E7B4E"/>
    <w:rsid w:val="004F07A6"/>
    <w:rsid w:val="004F091F"/>
    <w:rsid w:val="004F1E55"/>
    <w:rsid w:val="004F3397"/>
    <w:rsid w:val="004F45AF"/>
    <w:rsid w:val="004F473E"/>
    <w:rsid w:val="004F4848"/>
    <w:rsid w:val="004F5472"/>
    <w:rsid w:val="004F733B"/>
    <w:rsid w:val="004F7657"/>
    <w:rsid w:val="005001F6"/>
    <w:rsid w:val="00500C74"/>
    <w:rsid w:val="00502324"/>
    <w:rsid w:val="0050236E"/>
    <w:rsid w:val="0050289C"/>
    <w:rsid w:val="0050406F"/>
    <w:rsid w:val="00504F49"/>
    <w:rsid w:val="00505965"/>
    <w:rsid w:val="005059D9"/>
    <w:rsid w:val="005061F4"/>
    <w:rsid w:val="0050748C"/>
    <w:rsid w:val="00507ABF"/>
    <w:rsid w:val="00507EFA"/>
    <w:rsid w:val="00510901"/>
    <w:rsid w:val="00511816"/>
    <w:rsid w:val="00511BD6"/>
    <w:rsid w:val="00511E9F"/>
    <w:rsid w:val="00513200"/>
    <w:rsid w:val="0051340A"/>
    <w:rsid w:val="005215D5"/>
    <w:rsid w:val="00522FAF"/>
    <w:rsid w:val="00523C79"/>
    <w:rsid w:val="00523CFC"/>
    <w:rsid w:val="00526420"/>
    <w:rsid w:val="0052771C"/>
    <w:rsid w:val="00527D02"/>
    <w:rsid w:val="00531989"/>
    <w:rsid w:val="00532F1D"/>
    <w:rsid w:val="005340FF"/>
    <w:rsid w:val="0053620D"/>
    <w:rsid w:val="00536516"/>
    <w:rsid w:val="0053704D"/>
    <w:rsid w:val="005377AD"/>
    <w:rsid w:val="00541914"/>
    <w:rsid w:val="00541F3E"/>
    <w:rsid w:val="00542064"/>
    <w:rsid w:val="005478C2"/>
    <w:rsid w:val="005529FF"/>
    <w:rsid w:val="00553C23"/>
    <w:rsid w:val="00554202"/>
    <w:rsid w:val="005545EB"/>
    <w:rsid w:val="00554C5A"/>
    <w:rsid w:val="00556AB2"/>
    <w:rsid w:val="005572B1"/>
    <w:rsid w:val="0055798C"/>
    <w:rsid w:val="00557F62"/>
    <w:rsid w:val="005607C7"/>
    <w:rsid w:val="00561D3F"/>
    <w:rsid w:val="00562017"/>
    <w:rsid w:val="0056246D"/>
    <w:rsid w:val="00563494"/>
    <w:rsid w:val="005640E5"/>
    <w:rsid w:val="00565C38"/>
    <w:rsid w:val="005668D2"/>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87EBF"/>
    <w:rsid w:val="00591846"/>
    <w:rsid w:val="00591B99"/>
    <w:rsid w:val="00592276"/>
    <w:rsid w:val="005924AA"/>
    <w:rsid w:val="00592603"/>
    <w:rsid w:val="00592C93"/>
    <w:rsid w:val="0059304E"/>
    <w:rsid w:val="00593FB4"/>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16"/>
    <w:rsid w:val="005B5761"/>
    <w:rsid w:val="005B609E"/>
    <w:rsid w:val="005B7143"/>
    <w:rsid w:val="005B71DF"/>
    <w:rsid w:val="005B72CD"/>
    <w:rsid w:val="005C0249"/>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A8D"/>
    <w:rsid w:val="005D5AF2"/>
    <w:rsid w:val="005D600C"/>
    <w:rsid w:val="005E1A9B"/>
    <w:rsid w:val="005E2F9B"/>
    <w:rsid w:val="005E4955"/>
    <w:rsid w:val="005E4F8A"/>
    <w:rsid w:val="005E65DF"/>
    <w:rsid w:val="005E683C"/>
    <w:rsid w:val="005E7242"/>
    <w:rsid w:val="005E7986"/>
    <w:rsid w:val="005E7B78"/>
    <w:rsid w:val="005F06BD"/>
    <w:rsid w:val="005F0711"/>
    <w:rsid w:val="005F4E44"/>
    <w:rsid w:val="005F6160"/>
    <w:rsid w:val="005F6ED8"/>
    <w:rsid w:val="005F7FF4"/>
    <w:rsid w:val="006020E5"/>
    <w:rsid w:val="00603255"/>
    <w:rsid w:val="00603453"/>
    <w:rsid w:val="00605A7C"/>
    <w:rsid w:val="00606E15"/>
    <w:rsid w:val="0060714C"/>
    <w:rsid w:val="006071D4"/>
    <w:rsid w:val="006074B0"/>
    <w:rsid w:val="006074EE"/>
    <w:rsid w:val="00611461"/>
    <w:rsid w:val="00612548"/>
    <w:rsid w:val="00612782"/>
    <w:rsid w:val="00613A9B"/>
    <w:rsid w:val="00613DB9"/>
    <w:rsid w:val="006148DE"/>
    <w:rsid w:val="00614C44"/>
    <w:rsid w:val="0061550F"/>
    <w:rsid w:val="0061630F"/>
    <w:rsid w:val="006163B3"/>
    <w:rsid w:val="006165ED"/>
    <w:rsid w:val="00616B28"/>
    <w:rsid w:val="00617D32"/>
    <w:rsid w:val="00617EE5"/>
    <w:rsid w:val="00617FBB"/>
    <w:rsid w:val="00621309"/>
    <w:rsid w:val="006219CF"/>
    <w:rsid w:val="00623B73"/>
    <w:rsid w:val="00623E77"/>
    <w:rsid w:val="00625A33"/>
    <w:rsid w:val="0062688B"/>
    <w:rsid w:val="00627290"/>
    <w:rsid w:val="00630A25"/>
    <w:rsid w:val="00631100"/>
    <w:rsid w:val="006313FF"/>
    <w:rsid w:val="006318F4"/>
    <w:rsid w:val="00633979"/>
    <w:rsid w:val="006346F7"/>
    <w:rsid w:val="0063594F"/>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608D"/>
    <w:rsid w:val="0066687B"/>
    <w:rsid w:val="00667A96"/>
    <w:rsid w:val="00670021"/>
    <w:rsid w:val="0067062D"/>
    <w:rsid w:val="0067099D"/>
    <w:rsid w:val="00670AD7"/>
    <w:rsid w:val="00672539"/>
    <w:rsid w:val="00672619"/>
    <w:rsid w:val="006735E9"/>
    <w:rsid w:val="00673D17"/>
    <w:rsid w:val="006757DE"/>
    <w:rsid w:val="00675B9A"/>
    <w:rsid w:val="00675C14"/>
    <w:rsid w:val="006770BA"/>
    <w:rsid w:val="006800EA"/>
    <w:rsid w:val="00680EF7"/>
    <w:rsid w:val="00683861"/>
    <w:rsid w:val="00683ED8"/>
    <w:rsid w:val="0068413A"/>
    <w:rsid w:val="00684273"/>
    <w:rsid w:val="00684516"/>
    <w:rsid w:val="00687122"/>
    <w:rsid w:val="00690D89"/>
    <w:rsid w:val="00691C34"/>
    <w:rsid w:val="00693D9D"/>
    <w:rsid w:val="00694130"/>
    <w:rsid w:val="00694806"/>
    <w:rsid w:val="006949A0"/>
    <w:rsid w:val="00695E3C"/>
    <w:rsid w:val="00695E43"/>
    <w:rsid w:val="00697672"/>
    <w:rsid w:val="00697D77"/>
    <w:rsid w:val="00697DAA"/>
    <w:rsid w:val="006A05C3"/>
    <w:rsid w:val="006A0CD2"/>
    <w:rsid w:val="006A21B1"/>
    <w:rsid w:val="006A35A7"/>
    <w:rsid w:val="006A4E8C"/>
    <w:rsid w:val="006A6546"/>
    <w:rsid w:val="006A6EA2"/>
    <w:rsid w:val="006A73FD"/>
    <w:rsid w:val="006A7A48"/>
    <w:rsid w:val="006B0970"/>
    <w:rsid w:val="006B13FA"/>
    <w:rsid w:val="006B1526"/>
    <w:rsid w:val="006B1B11"/>
    <w:rsid w:val="006B33BC"/>
    <w:rsid w:val="006B38CD"/>
    <w:rsid w:val="006B4172"/>
    <w:rsid w:val="006B5085"/>
    <w:rsid w:val="006B5682"/>
    <w:rsid w:val="006B683D"/>
    <w:rsid w:val="006B7297"/>
    <w:rsid w:val="006B78CA"/>
    <w:rsid w:val="006C01DA"/>
    <w:rsid w:val="006C04EB"/>
    <w:rsid w:val="006C095D"/>
    <w:rsid w:val="006C1823"/>
    <w:rsid w:val="006C1F4F"/>
    <w:rsid w:val="006C2D55"/>
    <w:rsid w:val="006C342D"/>
    <w:rsid w:val="006C37B9"/>
    <w:rsid w:val="006C520F"/>
    <w:rsid w:val="006C5A0B"/>
    <w:rsid w:val="006C6788"/>
    <w:rsid w:val="006C7D4B"/>
    <w:rsid w:val="006D05FC"/>
    <w:rsid w:val="006D2CE3"/>
    <w:rsid w:val="006D30B6"/>
    <w:rsid w:val="006D4FA3"/>
    <w:rsid w:val="006D5832"/>
    <w:rsid w:val="006D58E9"/>
    <w:rsid w:val="006D5C4B"/>
    <w:rsid w:val="006D72FD"/>
    <w:rsid w:val="006D799A"/>
    <w:rsid w:val="006E02CC"/>
    <w:rsid w:val="006E086C"/>
    <w:rsid w:val="006E1ECC"/>
    <w:rsid w:val="006E2CB9"/>
    <w:rsid w:val="006E6A29"/>
    <w:rsid w:val="006F1766"/>
    <w:rsid w:val="006F1E86"/>
    <w:rsid w:val="006F2940"/>
    <w:rsid w:val="006F3932"/>
    <w:rsid w:val="006F3C0F"/>
    <w:rsid w:val="006F3E5E"/>
    <w:rsid w:val="006F582B"/>
    <w:rsid w:val="006F632F"/>
    <w:rsid w:val="006F722D"/>
    <w:rsid w:val="0070231F"/>
    <w:rsid w:val="0070393D"/>
    <w:rsid w:val="00703B95"/>
    <w:rsid w:val="00704350"/>
    <w:rsid w:val="00704DC1"/>
    <w:rsid w:val="00705A00"/>
    <w:rsid w:val="00705AF4"/>
    <w:rsid w:val="0070620D"/>
    <w:rsid w:val="007065E4"/>
    <w:rsid w:val="00706B5A"/>
    <w:rsid w:val="0070724D"/>
    <w:rsid w:val="00707581"/>
    <w:rsid w:val="007108E5"/>
    <w:rsid w:val="007121FD"/>
    <w:rsid w:val="00713183"/>
    <w:rsid w:val="00713A7F"/>
    <w:rsid w:val="007171F1"/>
    <w:rsid w:val="00721167"/>
    <w:rsid w:val="00721BBE"/>
    <w:rsid w:val="00721F16"/>
    <w:rsid w:val="00722065"/>
    <w:rsid w:val="00722EDC"/>
    <w:rsid w:val="007242AE"/>
    <w:rsid w:val="00725860"/>
    <w:rsid w:val="00727436"/>
    <w:rsid w:val="0073195E"/>
    <w:rsid w:val="00731DF0"/>
    <w:rsid w:val="00734985"/>
    <w:rsid w:val="007354C8"/>
    <w:rsid w:val="007361CB"/>
    <w:rsid w:val="007361FB"/>
    <w:rsid w:val="00736E72"/>
    <w:rsid w:val="00737054"/>
    <w:rsid w:val="00737210"/>
    <w:rsid w:val="00737690"/>
    <w:rsid w:val="00741187"/>
    <w:rsid w:val="00741FC5"/>
    <w:rsid w:val="00742467"/>
    <w:rsid w:val="00742A02"/>
    <w:rsid w:val="0074328C"/>
    <w:rsid w:val="0074469D"/>
    <w:rsid w:val="00745762"/>
    <w:rsid w:val="00745CA2"/>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13C3"/>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4A75"/>
    <w:rsid w:val="00795278"/>
    <w:rsid w:val="00795A05"/>
    <w:rsid w:val="00797442"/>
    <w:rsid w:val="007A0D21"/>
    <w:rsid w:val="007A0E9B"/>
    <w:rsid w:val="007A1239"/>
    <w:rsid w:val="007A16DD"/>
    <w:rsid w:val="007A3EBD"/>
    <w:rsid w:val="007A3F42"/>
    <w:rsid w:val="007A70AC"/>
    <w:rsid w:val="007A7498"/>
    <w:rsid w:val="007B036F"/>
    <w:rsid w:val="007B2C5E"/>
    <w:rsid w:val="007B379D"/>
    <w:rsid w:val="007B3F24"/>
    <w:rsid w:val="007B66BC"/>
    <w:rsid w:val="007B6804"/>
    <w:rsid w:val="007B68F5"/>
    <w:rsid w:val="007B7AF9"/>
    <w:rsid w:val="007B7C6F"/>
    <w:rsid w:val="007C0D4B"/>
    <w:rsid w:val="007C0E3B"/>
    <w:rsid w:val="007C2008"/>
    <w:rsid w:val="007C250B"/>
    <w:rsid w:val="007C4027"/>
    <w:rsid w:val="007C4C3D"/>
    <w:rsid w:val="007C713C"/>
    <w:rsid w:val="007C732A"/>
    <w:rsid w:val="007D012A"/>
    <w:rsid w:val="007D033A"/>
    <w:rsid w:val="007D2D7C"/>
    <w:rsid w:val="007D35F7"/>
    <w:rsid w:val="007D3D37"/>
    <w:rsid w:val="007D456C"/>
    <w:rsid w:val="007D46D5"/>
    <w:rsid w:val="007D4800"/>
    <w:rsid w:val="007D48AD"/>
    <w:rsid w:val="007D4993"/>
    <w:rsid w:val="007D4ED2"/>
    <w:rsid w:val="007D5262"/>
    <w:rsid w:val="007D55B0"/>
    <w:rsid w:val="007D6516"/>
    <w:rsid w:val="007D66B3"/>
    <w:rsid w:val="007E082E"/>
    <w:rsid w:val="007E183D"/>
    <w:rsid w:val="007E3510"/>
    <w:rsid w:val="007E3A33"/>
    <w:rsid w:val="007E4136"/>
    <w:rsid w:val="007E5A65"/>
    <w:rsid w:val="007E6C1B"/>
    <w:rsid w:val="007F0744"/>
    <w:rsid w:val="007F0C10"/>
    <w:rsid w:val="007F15DB"/>
    <w:rsid w:val="007F1932"/>
    <w:rsid w:val="007F267E"/>
    <w:rsid w:val="007F3841"/>
    <w:rsid w:val="007F4FE5"/>
    <w:rsid w:val="007F5411"/>
    <w:rsid w:val="007F5B12"/>
    <w:rsid w:val="007F6508"/>
    <w:rsid w:val="00802358"/>
    <w:rsid w:val="00802C58"/>
    <w:rsid w:val="00802FA7"/>
    <w:rsid w:val="00803DC5"/>
    <w:rsid w:val="00804AC8"/>
    <w:rsid w:val="00804C48"/>
    <w:rsid w:val="00806511"/>
    <w:rsid w:val="00806E93"/>
    <w:rsid w:val="00807298"/>
    <w:rsid w:val="00807CC2"/>
    <w:rsid w:val="00807FC1"/>
    <w:rsid w:val="00810512"/>
    <w:rsid w:val="00810A68"/>
    <w:rsid w:val="00810C62"/>
    <w:rsid w:val="0081161B"/>
    <w:rsid w:val="008125CD"/>
    <w:rsid w:val="008150E1"/>
    <w:rsid w:val="0081568C"/>
    <w:rsid w:val="00815A41"/>
    <w:rsid w:val="00816151"/>
    <w:rsid w:val="0081637D"/>
    <w:rsid w:val="008163D2"/>
    <w:rsid w:val="008163F0"/>
    <w:rsid w:val="00816897"/>
    <w:rsid w:val="008204FC"/>
    <w:rsid w:val="00820BB1"/>
    <w:rsid w:val="00820ED7"/>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6023"/>
    <w:rsid w:val="0083664D"/>
    <w:rsid w:val="0083799A"/>
    <w:rsid w:val="00837A5C"/>
    <w:rsid w:val="00840792"/>
    <w:rsid w:val="00841C2E"/>
    <w:rsid w:val="0084208C"/>
    <w:rsid w:val="0084251A"/>
    <w:rsid w:val="00842978"/>
    <w:rsid w:val="00842C60"/>
    <w:rsid w:val="00843415"/>
    <w:rsid w:val="00844208"/>
    <w:rsid w:val="00844480"/>
    <w:rsid w:val="008445FC"/>
    <w:rsid w:val="00844F3F"/>
    <w:rsid w:val="00845475"/>
    <w:rsid w:val="00845485"/>
    <w:rsid w:val="00845935"/>
    <w:rsid w:val="008464FF"/>
    <w:rsid w:val="00847EBB"/>
    <w:rsid w:val="00850FF3"/>
    <w:rsid w:val="008532BB"/>
    <w:rsid w:val="0085355F"/>
    <w:rsid w:val="00853807"/>
    <w:rsid w:val="008539D1"/>
    <w:rsid w:val="0085441F"/>
    <w:rsid w:val="0085515C"/>
    <w:rsid w:val="0085661C"/>
    <w:rsid w:val="00856F3A"/>
    <w:rsid w:val="00861655"/>
    <w:rsid w:val="00861C6A"/>
    <w:rsid w:val="00861E53"/>
    <w:rsid w:val="008628A4"/>
    <w:rsid w:val="00863659"/>
    <w:rsid w:val="008636DA"/>
    <w:rsid w:val="00863817"/>
    <w:rsid w:val="00866368"/>
    <w:rsid w:val="00866716"/>
    <w:rsid w:val="00866A17"/>
    <w:rsid w:val="00867A93"/>
    <w:rsid w:val="0087001D"/>
    <w:rsid w:val="008702CB"/>
    <w:rsid w:val="00870ABA"/>
    <w:rsid w:val="00872911"/>
    <w:rsid w:val="00872A8D"/>
    <w:rsid w:val="00873290"/>
    <w:rsid w:val="00873B2C"/>
    <w:rsid w:val="00873DE3"/>
    <w:rsid w:val="00873E85"/>
    <w:rsid w:val="00874460"/>
    <w:rsid w:val="0087591E"/>
    <w:rsid w:val="00875DA5"/>
    <w:rsid w:val="00875E4C"/>
    <w:rsid w:val="00876735"/>
    <w:rsid w:val="00876C95"/>
    <w:rsid w:val="00876E8C"/>
    <w:rsid w:val="008775DD"/>
    <w:rsid w:val="00877746"/>
    <w:rsid w:val="008778A9"/>
    <w:rsid w:val="008802B2"/>
    <w:rsid w:val="00880408"/>
    <w:rsid w:val="008809D8"/>
    <w:rsid w:val="00880F7E"/>
    <w:rsid w:val="00881D66"/>
    <w:rsid w:val="00881D74"/>
    <w:rsid w:val="00881E94"/>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61F"/>
    <w:rsid w:val="0089681A"/>
    <w:rsid w:val="008A07EE"/>
    <w:rsid w:val="008A1464"/>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0932"/>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66EB"/>
    <w:rsid w:val="008E6949"/>
    <w:rsid w:val="008E7764"/>
    <w:rsid w:val="008E7A1F"/>
    <w:rsid w:val="008E7F80"/>
    <w:rsid w:val="008F3F11"/>
    <w:rsid w:val="008F43A2"/>
    <w:rsid w:val="008F57F6"/>
    <w:rsid w:val="008F58BD"/>
    <w:rsid w:val="008F7141"/>
    <w:rsid w:val="008F7A8F"/>
    <w:rsid w:val="009005FD"/>
    <w:rsid w:val="009011AC"/>
    <w:rsid w:val="009029CE"/>
    <w:rsid w:val="009039C6"/>
    <w:rsid w:val="00903B00"/>
    <w:rsid w:val="009042C9"/>
    <w:rsid w:val="00904FF2"/>
    <w:rsid w:val="00905947"/>
    <w:rsid w:val="00906608"/>
    <w:rsid w:val="00906D82"/>
    <w:rsid w:val="00906DFE"/>
    <w:rsid w:val="00910E77"/>
    <w:rsid w:val="00912215"/>
    <w:rsid w:val="00912A29"/>
    <w:rsid w:val="00912B0E"/>
    <w:rsid w:val="00912E6F"/>
    <w:rsid w:val="00913456"/>
    <w:rsid w:val="009142D5"/>
    <w:rsid w:val="00914AEB"/>
    <w:rsid w:val="009155E0"/>
    <w:rsid w:val="00916AFC"/>
    <w:rsid w:val="00917DB1"/>
    <w:rsid w:val="00920565"/>
    <w:rsid w:val="00924313"/>
    <w:rsid w:val="00925511"/>
    <w:rsid w:val="00927C22"/>
    <w:rsid w:val="00931998"/>
    <w:rsid w:val="009336F2"/>
    <w:rsid w:val="00933E76"/>
    <w:rsid w:val="00936BA2"/>
    <w:rsid w:val="00937305"/>
    <w:rsid w:val="009377F4"/>
    <w:rsid w:val="00937F79"/>
    <w:rsid w:val="0094033B"/>
    <w:rsid w:val="00941411"/>
    <w:rsid w:val="00942958"/>
    <w:rsid w:val="00942B48"/>
    <w:rsid w:val="009435BD"/>
    <w:rsid w:val="0094365E"/>
    <w:rsid w:val="0094369A"/>
    <w:rsid w:val="00943740"/>
    <w:rsid w:val="009438BC"/>
    <w:rsid w:val="00943A5E"/>
    <w:rsid w:val="00943B10"/>
    <w:rsid w:val="00943C9F"/>
    <w:rsid w:val="00946185"/>
    <w:rsid w:val="00947A30"/>
    <w:rsid w:val="00947D63"/>
    <w:rsid w:val="00947DB8"/>
    <w:rsid w:val="0095019D"/>
    <w:rsid w:val="00952888"/>
    <w:rsid w:val="00953202"/>
    <w:rsid w:val="00953720"/>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8D3"/>
    <w:rsid w:val="00965D94"/>
    <w:rsid w:val="00966245"/>
    <w:rsid w:val="00970169"/>
    <w:rsid w:val="0097041B"/>
    <w:rsid w:val="00970FEF"/>
    <w:rsid w:val="00972FF9"/>
    <w:rsid w:val="00974827"/>
    <w:rsid w:val="00975295"/>
    <w:rsid w:val="009753D5"/>
    <w:rsid w:val="00976899"/>
    <w:rsid w:val="00980BB7"/>
    <w:rsid w:val="00981C27"/>
    <w:rsid w:val="00981F80"/>
    <w:rsid w:val="009828F3"/>
    <w:rsid w:val="00983617"/>
    <w:rsid w:val="00983803"/>
    <w:rsid w:val="00983D39"/>
    <w:rsid w:val="00984A9B"/>
    <w:rsid w:val="009857C2"/>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1C99"/>
    <w:rsid w:val="009A2491"/>
    <w:rsid w:val="009A4416"/>
    <w:rsid w:val="009A4816"/>
    <w:rsid w:val="009A4E33"/>
    <w:rsid w:val="009A5A6C"/>
    <w:rsid w:val="009A64B9"/>
    <w:rsid w:val="009B030D"/>
    <w:rsid w:val="009B1152"/>
    <w:rsid w:val="009B3763"/>
    <w:rsid w:val="009B3CDE"/>
    <w:rsid w:val="009B48E1"/>
    <w:rsid w:val="009B491E"/>
    <w:rsid w:val="009B4A3C"/>
    <w:rsid w:val="009B7D9D"/>
    <w:rsid w:val="009C048B"/>
    <w:rsid w:val="009C0BBB"/>
    <w:rsid w:val="009C1715"/>
    <w:rsid w:val="009C19C6"/>
    <w:rsid w:val="009C209B"/>
    <w:rsid w:val="009C3289"/>
    <w:rsid w:val="009C38A1"/>
    <w:rsid w:val="009C3FC9"/>
    <w:rsid w:val="009C499B"/>
    <w:rsid w:val="009C5675"/>
    <w:rsid w:val="009C5BD1"/>
    <w:rsid w:val="009C6F8A"/>
    <w:rsid w:val="009C7717"/>
    <w:rsid w:val="009C7CB5"/>
    <w:rsid w:val="009D0526"/>
    <w:rsid w:val="009D05E4"/>
    <w:rsid w:val="009D126E"/>
    <w:rsid w:val="009D1504"/>
    <w:rsid w:val="009D159D"/>
    <w:rsid w:val="009D216B"/>
    <w:rsid w:val="009D23DD"/>
    <w:rsid w:val="009D33EC"/>
    <w:rsid w:val="009D3828"/>
    <w:rsid w:val="009D3B9B"/>
    <w:rsid w:val="009D5354"/>
    <w:rsid w:val="009D53B0"/>
    <w:rsid w:val="009D626F"/>
    <w:rsid w:val="009D7E16"/>
    <w:rsid w:val="009E0831"/>
    <w:rsid w:val="009E3C30"/>
    <w:rsid w:val="009E4A6D"/>
    <w:rsid w:val="009E57F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1DE0"/>
    <w:rsid w:val="00A02D3C"/>
    <w:rsid w:val="00A0375A"/>
    <w:rsid w:val="00A03D42"/>
    <w:rsid w:val="00A0421E"/>
    <w:rsid w:val="00A044D0"/>
    <w:rsid w:val="00A10150"/>
    <w:rsid w:val="00A10B03"/>
    <w:rsid w:val="00A11DC6"/>
    <w:rsid w:val="00A1231B"/>
    <w:rsid w:val="00A12C8B"/>
    <w:rsid w:val="00A12F3B"/>
    <w:rsid w:val="00A130D8"/>
    <w:rsid w:val="00A136A5"/>
    <w:rsid w:val="00A15091"/>
    <w:rsid w:val="00A153BF"/>
    <w:rsid w:val="00A15491"/>
    <w:rsid w:val="00A1608E"/>
    <w:rsid w:val="00A1726D"/>
    <w:rsid w:val="00A17B36"/>
    <w:rsid w:val="00A205D9"/>
    <w:rsid w:val="00A21753"/>
    <w:rsid w:val="00A21EDD"/>
    <w:rsid w:val="00A221C0"/>
    <w:rsid w:val="00A2289D"/>
    <w:rsid w:val="00A22979"/>
    <w:rsid w:val="00A232A3"/>
    <w:rsid w:val="00A232E4"/>
    <w:rsid w:val="00A23417"/>
    <w:rsid w:val="00A23AAB"/>
    <w:rsid w:val="00A24984"/>
    <w:rsid w:val="00A24E05"/>
    <w:rsid w:val="00A25A00"/>
    <w:rsid w:val="00A30679"/>
    <w:rsid w:val="00A32573"/>
    <w:rsid w:val="00A331C7"/>
    <w:rsid w:val="00A33D93"/>
    <w:rsid w:val="00A34B5E"/>
    <w:rsid w:val="00A34C49"/>
    <w:rsid w:val="00A352AD"/>
    <w:rsid w:val="00A35671"/>
    <w:rsid w:val="00A36003"/>
    <w:rsid w:val="00A368DA"/>
    <w:rsid w:val="00A3785D"/>
    <w:rsid w:val="00A37B0A"/>
    <w:rsid w:val="00A40B5C"/>
    <w:rsid w:val="00A40EC5"/>
    <w:rsid w:val="00A40ED4"/>
    <w:rsid w:val="00A41164"/>
    <w:rsid w:val="00A42879"/>
    <w:rsid w:val="00A42F40"/>
    <w:rsid w:val="00A44134"/>
    <w:rsid w:val="00A4475A"/>
    <w:rsid w:val="00A45E27"/>
    <w:rsid w:val="00A465A4"/>
    <w:rsid w:val="00A4746E"/>
    <w:rsid w:val="00A500E8"/>
    <w:rsid w:val="00A5060F"/>
    <w:rsid w:val="00A51DA5"/>
    <w:rsid w:val="00A51F35"/>
    <w:rsid w:val="00A53962"/>
    <w:rsid w:val="00A54576"/>
    <w:rsid w:val="00A546CB"/>
    <w:rsid w:val="00A54BA7"/>
    <w:rsid w:val="00A55957"/>
    <w:rsid w:val="00A5698D"/>
    <w:rsid w:val="00A57197"/>
    <w:rsid w:val="00A60049"/>
    <w:rsid w:val="00A60C24"/>
    <w:rsid w:val="00A60F18"/>
    <w:rsid w:val="00A61999"/>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D35"/>
    <w:rsid w:val="00A77F43"/>
    <w:rsid w:val="00A807D8"/>
    <w:rsid w:val="00A80F67"/>
    <w:rsid w:val="00A8120C"/>
    <w:rsid w:val="00A8271E"/>
    <w:rsid w:val="00A83724"/>
    <w:rsid w:val="00A846B6"/>
    <w:rsid w:val="00A8499D"/>
    <w:rsid w:val="00A84A0D"/>
    <w:rsid w:val="00A84EAF"/>
    <w:rsid w:val="00A85173"/>
    <w:rsid w:val="00A8538A"/>
    <w:rsid w:val="00A90EFD"/>
    <w:rsid w:val="00A917B3"/>
    <w:rsid w:val="00A92BB6"/>
    <w:rsid w:val="00A92F01"/>
    <w:rsid w:val="00A94CA9"/>
    <w:rsid w:val="00A9640A"/>
    <w:rsid w:val="00AA131A"/>
    <w:rsid w:val="00AA1936"/>
    <w:rsid w:val="00AA35C0"/>
    <w:rsid w:val="00AA5441"/>
    <w:rsid w:val="00AA5649"/>
    <w:rsid w:val="00AA5F7C"/>
    <w:rsid w:val="00AA65EE"/>
    <w:rsid w:val="00AA7736"/>
    <w:rsid w:val="00AB20A4"/>
    <w:rsid w:val="00AB4B66"/>
    <w:rsid w:val="00AB5015"/>
    <w:rsid w:val="00AB5680"/>
    <w:rsid w:val="00AB573D"/>
    <w:rsid w:val="00AB79D6"/>
    <w:rsid w:val="00AC0B71"/>
    <w:rsid w:val="00AC1D47"/>
    <w:rsid w:val="00AC1F65"/>
    <w:rsid w:val="00AC210F"/>
    <w:rsid w:val="00AC29E9"/>
    <w:rsid w:val="00AC39C3"/>
    <w:rsid w:val="00AC5218"/>
    <w:rsid w:val="00AC56F3"/>
    <w:rsid w:val="00AC7B40"/>
    <w:rsid w:val="00AD026E"/>
    <w:rsid w:val="00AD11D0"/>
    <w:rsid w:val="00AD16D8"/>
    <w:rsid w:val="00AD1777"/>
    <w:rsid w:val="00AD2BFE"/>
    <w:rsid w:val="00AD778F"/>
    <w:rsid w:val="00AE0294"/>
    <w:rsid w:val="00AE0634"/>
    <w:rsid w:val="00AE209B"/>
    <w:rsid w:val="00AE2CEA"/>
    <w:rsid w:val="00AE3499"/>
    <w:rsid w:val="00AE54CF"/>
    <w:rsid w:val="00AE731E"/>
    <w:rsid w:val="00AE7EBC"/>
    <w:rsid w:val="00AF1E3E"/>
    <w:rsid w:val="00AF246E"/>
    <w:rsid w:val="00AF2F7E"/>
    <w:rsid w:val="00AF3D0C"/>
    <w:rsid w:val="00AF3FF6"/>
    <w:rsid w:val="00AF5338"/>
    <w:rsid w:val="00AF53FA"/>
    <w:rsid w:val="00AF5BCD"/>
    <w:rsid w:val="00AF655B"/>
    <w:rsid w:val="00AF788B"/>
    <w:rsid w:val="00AF7E2B"/>
    <w:rsid w:val="00B00493"/>
    <w:rsid w:val="00B004B1"/>
    <w:rsid w:val="00B00EE5"/>
    <w:rsid w:val="00B01AC6"/>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51A6"/>
    <w:rsid w:val="00B4678E"/>
    <w:rsid w:val="00B46C46"/>
    <w:rsid w:val="00B46D0F"/>
    <w:rsid w:val="00B507F0"/>
    <w:rsid w:val="00B51D3F"/>
    <w:rsid w:val="00B51E8B"/>
    <w:rsid w:val="00B524DF"/>
    <w:rsid w:val="00B524FA"/>
    <w:rsid w:val="00B52C5E"/>
    <w:rsid w:val="00B5359E"/>
    <w:rsid w:val="00B53D3A"/>
    <w:rsid w:val="00B5436B"/>
    <w:rsid w:val="00B54771"/>
    <w:rsid w:val="00B54FB3"/>
    <w:rsid w:val="00B5574A"/>
    <w:rsid w:val="00B5587E"/>
    <w:rsid w:val="00B57718"/>
    <w:rsid w:val="00B57853"/>
    <w:rsid w:val="00B603A2"/>
    <w:rsid w:val="00B607C7"/>
    <w:rsid w:val="00B6239A"/>
    <w:rsid w:val="00B62508"/>
    <w:rsid w:val="00B64BB8"/>
    <w:rsid w:val="00B65304"/>
    <w:rsid w:val="00B65FBB"/>
    <w:rsid w:val="00B67CC3"/>
    <w:rsid w:val="00B67E1C"/>
    <w:rsid w:val="00B703BF"/>
    <w:rsid w:val="00B7163C"/>
    <w:rsid w:val="00B71B88"/>
    <w:rsid w:val="00B725AE"/>
    <w:rsid w:val="00B726D3"/>
    <w:rsid w:val="00B72D93"/>
    <w:rsid w:val="00B75160"/>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04CE"/>
    <w:rsid w:val="00BA1542"/>
    <w:rsid w:val="00BA1576"/>
    <w:rsid w:val="00BA1582"/>
    <w:rsid w:val="00BA2EDA"/>
    <w:rsid w:val="00BA402B"/>
    <w:rsid w:val="00BA478C"/>
    <w:rsid w:val="00BA4D9D"/>
    <w:rsid w:val="00BB081E"/>
    <w:rsid w:val="00BB0DB7"/>
    <w:rsid w:val="00BB0E49"/>
    <w:rsid w:val="00BB1D31"/>
    <w:rsid w:val="00BB280B"/>
    <w:rsid w:val="00BB35C1"/>
    <w:rsid w:val="00BB49AC"/>
    <w:rsid w:val="00BB4F95"/>
    <w:rsid w:val="00BB645E"/>
    <w:rsid w:val="00BB64C7"/>
    <w:rsid w:val="00BB6A3A"/>
    <w:rsid w:val="00BC02EE"/>
    <w:rsid w:val="00BC0640"/>
    <w:rsid w:val="00BC1D69"/>
    <w:rsid w:val="00BC35D8"/>
    <w:rsid w:val="00BC45B9"/>
    <w:rsid w:val="00BC5F6C"/>
    <w:rsid w:val="00BC6925"/>
    <w:rsid w:val="00BC7509"/>
    <w:rsid w:val="00BC794B"/>
    <w:rsid w:val="00BC7A55"/>
    <w:rsid w:val="00BD09EA"/>
    <w:rsid w:val="00BD0DD6"/>
    <w:rsid w:val="00BD2D16"/>
    <w:rsid w:val="00BD463D"/>
    <w:rsid w:val="00BD4B4D"/>
    <w:rsid w:val="00BD5FFB"/>
    <w:rsid w:val="00BD7746"/>
    <w:rsid w:val="00BD7F3C"/>
    <w:rsid w:val="00BE1A7A"/>
    <w:rsid w:val="00BE1F44"/>
    <w:rsid w:val="00BE2F08"/>
    <w:rsid w:val="00BE3B0E"/>
    <w:rsid w:val="00BE4659"/>
    <w:rsid w:val="00BE4F56"/>
    <w:rsid w:val="00BE54C3"/>
    <w:rsid w:val="00BE6065"/>
    <w:rsid w:val="00BE671C"/>
    <w:rsid w:val="00BE736B"/>
    <w:rsid w:val="00BE7530"/>
    <w:rsid w:val="00BE7772"/>
    <w:rsid w:val="00BF086D"/>
    <w:rsid w:val="00BF09F2"/>
    <w:rsid w:val="00BF265F"/>
    <w:rsid w:val="00BF3311"/>
    <w:rsid w:val="00BF3B09"/>
    <w:rsid w:val="00BF4173"/>
    <w:rsid w:val="00BF5263"/>
    <w:rsid w:val="00BF62DB"/>
    <w:rsid w:val="00BF6D1D"/>
    <w:rsid w:val="00BF6FB5"/>
    <w:rsid w:val="00BF7A56"/>
    <w:rsid w:val="00C004D1"/>
    <w:rsid w:val="00C0051F"/>
    <w:rsid w:val="00C00BCE"/>
    <w:rsid w:val="00C0135E"/>
    <w:rsid w:val="00C02911"/>
    <w:rsid w:val="00C04403"/>
    <w:rsid w:val="00C04A9D"/>
    <w:rsid w:val="00C04BDF"/>
    <w:rsid w:val="00C04E0F"/>
    <w:rsid w:val="00C067F8"/>
    <w:rsid w:val="00C06FED"/>
    <w:rsid w:val="00C07D45"/>
    <w:rsid w:val="00C10700"/>
    <w:rsid w:val="00C11316"/>
    <w:rsid w:val="00C12EA6"/>
    <w:rsid w:val="00C1311E"/>
    <w:rsid w:val="00C144E0"/>
    <w:rsid w:val="00C14CC2"/>
    <w:rsid w:val="00C15795"/>
    <w:rsid w:val="00C177FC"/>
    <w:rsid w:val="00C17AE9"/>
    <w:rsid w:val="00C22316"/>
    <w:rsid w:val="00C227ED"/>
    <w:rsid w:val="00C22AA0"/>
    <w:rsid w:val="00C2409E"/>
    <w:rsid w:val="00C24445"/>
    <w:rsid w:val="00C2600B"/>
    <w:rsid w:val="00C261AC"/>
    <w:rsid w:val="00C26702"/>
    <w:rsid w:val="00C26F91"/>
    <w:rsid w:val="00C3143D"/>
    <w:rsid w:val="00C3207A"/>
    <w:rsid w:val="00C33395"/>
    <w:rsid w:val="00C3400A"/>
    <w:rsid w:val="00C346DC"/>
    <w:rsid w:val="00C35A89"/>
    <w:rsid w:val="00C36F72"/>
    <w:rsid w:val="00C40313"/>
    <w:rsid w:val="00C4064E"/>
    <w:rsid w:val="00C40B79"/>
    <w:rsid w:val="00C40BA4"/>
    <w:rsid w:val="00C420A3"/>
    <w:rsid w:val="00C42898"/>
    <w:rsid w:val="00C43EBA"/>
    <w:rsid w:val="00C44263"/>
    <w:rsid w:val="00C46B45"/>
    <w:rsid w:val="00C50258"/>
    <w:rsid w:val="00C50407"/>
    <w:rsid w:val="00C51848"/>
    <w:rsid w:val="00C51BF8"/>
    <w:rsid w:val="00C51C9D"/>
    <w:rsid w:val="00C5213B"/>
    <w:rsid w:val="00C528D6"/>
    <w:rsid w:val="00C52982"/>
    <w:rsid w:val="00C53B39"/>
    <w:rsid w:val="00C55C13"/>
    <w:rsid w:val="00C571DA"/>
    <w:rsid w:val="00C576D6"/>
    <w:rsid w:val="00C578CA"/>
    <w:rsid w:val="00C60615"/>
    <w:rsid w:val="00C61B16"/>
    <w:rsid w:val="00C63B6C"/>
    <w:rsid w:val="00C63FFF"/>
    <w:rsid w:val="00C6511E"/>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06B"/>
    <w:rsid w:val="00C81D3F"/>
    <w:rsid w:val="00C82028"/>
    <w:rsid w:val="00C8212F"/>
    <w:rsid w:val="00C82F2E"/>
    <w:rsid w:val="00C852F0"/>
    <w:rsid w:val="00C86095"/>
    <w:rsid w:val="00C86349"/>
    <w:rsid w:val="00C864E7"/>
    <w:rsid w:val="00C93AC5"/>
    <w:rsid w:val="00C94003"/>
    <w:rsid w:val="00C945A7"/>
    <w:rsid w:val="00C9481E"/>
    <w:rsid w:val="00C94E09"/>
    <w:rsid w:val="00C95D91"/>
    <w:rsid w:val="00C95F41"/>
    <w:rsid w:val="00C96A02"/>
    <w:rsid w:val="00C96D42"/>
    <w:rsid w:val="00CA17C2"/>
    <w:rsid w:val="00CA20FF"/>
    <w:rsid w:val="00CA258A"/>
    <w:rsid w:val="00CA28B9"/>
    <w:rsid w:val="00CA419C"/>
    <w:rsid w:val="00CA42BF"/>
    <w:rsid w:val="00CA4E7E"/>
    <w:rsid w:val="00CA594B"/>
    <w:rsid w:val="00CA6ED1"/>
    <w:rsid w:val="00CB19BC"/>
    <w:rsid w:val="00CB2729"/>
    <w:rsid w:val="00CB3F98"/>
    <w:rsid w:val="00CB4193"/>
    <w:rsid w:val="00CB50D9"/>
    <w:rsid w:val="00CB5504"/>
    <w:rsid w:val="00CB5532"/>
    <w:rsid w:val="00CB5BE2"/>
    <w:rsid w:val="00CB5E56"/>
    <w:rsid w:val="00CB6B9A"/>
    <w:rsid w:val="00CB7F17"/>
    <w:rsid w:val="00CC0197"/>
    <w:rsid w:val="00CC110A"/>
    <w:rsid w:val="00CC1C72"/>
    <w:rsid w:val="00CC1EDC"/>
    <w:rsid w:val="00CC2703"/>
    <w:rsid w:val="00CC40BA"/>
    <w:rsid w:val="00CC4967"/>
    <w:rsid w:val="00CC5030"/>
    <w:rsid w:val="00CC6851"/>
    <w:rsid w:val="00CC7137"/>
    <w:rsid w:val="00CC7151"/>
    <w:rsid w:val="00CC78CE"/>
    <w:rsid w:val="00CD0DEF"/>
    <w:rsid w:val="00CD1085"/>
    <w:rsid w:val="00CD1F68"/>
    <w:rsid w:val="00CD2479"/>
    <w:rsid w:val="00CD2DC7"/>
    <w:rsid w:val="00CD3CA1"/>
    <w:rsid w:val="00CD47B9"/>
    <w:rsid w:val="00CD49C3"/>
    <w:rsid w:val="00CD5481"/>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18C8"/>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0DE2"/>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240"/>
    <w:rsid w:val="00D80A89"/>
    <w:rsid w:val="00D819D4"/>
    <w:rsid w:val="00D825BE"/>
    <w:rsid w:val="00D82881"/>
    <w:rsid w:val="00D83BDA"/>
    <w:rsid w:val="00D84CE6"/>
    <w:rsid w:val="00D84EEA"/>
    <w:rsid w:val="00D84FE4"/>
    <w:rsid w:val="00D85565"/>
    <w:rsid w:val="00D8582D"/>
    <w:rsid w:val="00D8662C"/>
    <w:rsid w:val="00D90423"/>
    <w:rsid w:val="00D91308"/>
    <w:rsid w:val="00D9418F"/>
    <w:rsid w:val="00DA0241"/>
    <w:rsid w:val="00DA25F7"/>
    <w:rsid w:val="00DA265C"/>
    <w:rsid w:val="00DA3C64"/>
    <w:rsid w:val="00DA46F8"/>
    <w:rsid w:val="00DA56A3"/>
    <w:rsid w:val="00DA68D6"/>
    <w:rsid w:val="00DA6FEB"/>
    <w:rsid w:val="00DA7198"/>
    <w:rsid w:val="00DB0C45"/>
    <w:rsid w:val="00DB1A3F"/>
    <w:rsid w:val="00DB1FD7"/>
    <w:rsid w:val="00DB231E"/>
    <w:rsid w:val="00DB26E4"/>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1717"/>
    <w:rsid w:val="00DD394D"/>
    <w:rsid w:val="00DD44D3"/>
    <w:rsid w:val="00DD480D"/>
    <w:rsid w:val="00DD4C7A"/>
    <w:rsid w:val="00DD781F"/>
    <w:rsid w:val="00DE0780"/>
    <w:rsid w:val="00DE0810"/>
    <w:rsid w:val="00DE1590"/>
    <w:rsid w:val="00DE5BEA"/>
    <w:rsid w:val="00DE5CF2"/>
    <w:rsid w:val="00DE7BAD"/>
    <w:rsid w:val="00DF074D"/>
    <w:rsid w:val="00DF0BA1"/>
    <w:rsid w:val="00DF0E3E"/>
    <w:rsid w:val="00DF3A30"/>
    <w:rsid w:val="00DF3A86"/>
    <w:rsid w:val="00DF431D"/>
    <w:rsid w:val="00DF598C"/>
    <w:rsid w:val="00DF6785"/>
    <w:rsid w:val="00DF680F"/>
    <w:rsid w:val="00E00CA4"/>
    <w:rsid w:val="00E00F6B"/>
    <w:rsid w:val="00E01055"/>
    <w:rsid w:val="00E0164B"/>
    <w:rsid w:val="00E026F2"/>
    <w:rsid w:val="00E0301E"/>
    <w:rsid w:val="00E033D1"/>
    <w:rsid w:val="00E03F06"/>
    <w:rsid w:val="00E0614A"/>
    <w:rsid w:val="00E06E64"/>
    <w:rsid w:val="00E072B4"/>
    <w:rsid w:val="00E105A6"/>
    <w:rsid w:val="00E10C81"/>
    <w:rsid w:val="00E11200"/>
    <w:rsid w:val="00E117C3"/>
    <w:rsid w:val="00E12512"/>
    <w:rsid w:val="00E12726"/>
    <w:rsid w:val="00E12A73"/>
    <w:rsid w:val="00E1407A"/>
    <w:rsid w:val="00E14DBB"/>
    <w:rsid w:val="00E14F1D"/>
    <w:rsid w:val="00E155E9"/>
    <w:rsid w:val="00E157B3"/>
    <w:rsid w:val="00E2141C"/>
    <w:rsid w:val="00E21BCE"/>
    <w:rsid w:val="00E22575"/>
    <w:rsid w:val="00E24198"/>
    <w:rsid w:val="00E2581F"/>
    <w:rsid w:val="00E26346"/>
    <w:rsid w:val="00E30097"/>
    <w:rsid w:val="00E30A15"/>
    <w:rsid w:val="00E30CCC"/>
    <w:rsid w:val="00E30EC3"/>
    <w:rsid w:val="00E32C8B"/>
    <w:rsid w:val="00E32F99"/>
    <w:rsid w:val="00E333B6"/>
    <w:rsid w:val="00E33BB3"/>
    <w:rsid w:val="00E34D90"/>
    <w:rsid w:val="00E34E4A"/>
    <w:rsid w:val="00E36240"/>
    <w:rsid w:val="00E36295"/>
    <w:rsid w:val="00E36F72"/>
    <w:rsid w:val="00E37940"/>
    <w:rsid w:val="00E41BE3"/>
    <w:rsid w:val="00E433AF"/>
    <w:rsid w:val="00E446AF"/>
    <w:rsid w:val="00E4555C"/>
    <w:rsid w:val="00E458E1"/>
    <w:rsid w:val="00E460D7"/>
    <w:rsid w:val="00E471E9"/>
    <w:rsid w:val="00E4724A"/>
    <w:rsid w:val="00E47532"/>
    <w:rsid w:val="00E50462"/>
    <w:rsid w:val="00E506DE"/>
    <w:rsid w:val="00E53AFF"/>
    <w:rsid w:val="00E540E4"/>
    <w:rsid w:val="00E54ACF"/>
    <w:rsid w:val="00E55FAD"/>
    <w:rsid w:val="00E60EB8"/>
    <w:rsid w:val="00E619BC"/>
    <w:rsid w:val="00E61A20"/>
    <w:rsid w:val="00E626A8"/>
    <w:rsid w:val="00E62CAF"/>
    <w:rsid w:val="00E6334B"/>
    <w:rsid w:val="00E64D00"/>
    <w:rsid w:val="00E6631B"/>
    <w:rsid w:val="00E679DE"/>
    <w:rsid w:val="00E706C4"/>
    <w:rsid w:val="00E71AEF"/>
    <w:rsid w:val="00E71DF8"/>
    <w:rsid w:val="00E72FF1"/>
    <w:rsid w:val="00E73AFC"/>
    <w:rsid w:val="00E74373"/>
    <w:rsid w:val="00E77CE5"/>
    <w:rsid w:val="00E8147A"/>
    <w:rsid w:val="00E81B18"/>
    <w:rsid w:val="00E822DC"/>
    <w:rsid w:val="00E823F4"/>
    <w:rsid w:val="00E82F72"/>
    <w:rsid w:val="00E840B4"/>
    <w:rsid w:val="00E85D8F"/>
    <w:rsid w:val="00E877E7"/>
    <w:rsid w:val="00E87D22"/>
    <w:rsid w:val="00E91F75"/>
    <w:rsid w:val="00E93652"/>
    <w:rsid w:val="00E93C4A"/>
    <w:rsid w:val="00E93DEA"/>
    <w:rsid w:val="00E94E03"/>
    <w:rsid w:val="00E967C7"/>
    <w:rsid w:val="00E96CC9"/>
    <w:rsid w:val="00EA2E9A"/>
    <w:rsid w:val="00EA3449"/>
    <w:rsid w:val="00EA4BA7"/>
    <w:rsid w:val="00EA6CAC"/>
    <w:rsid w:val="00EA7830"/>
    <w:rsid w:val="00EA7C74"/>
    <w:rsid w:val="00EA7CF4"/>
    <w:rsid w:val="00EA7E5F"/>
    <w:rsid w:val="00EB0187"/>
    <w:rsid w:val="00EB046A"/>
    <w:rsid w:val="00EB06B3"/>
    <w:rsid w:val="00EB1CD0"/>
    <w:rsid w:val="00EB24DE"/>
    <w:rsid w:val="00EB449B"/>
    <w:rsid w:val="00EB4819"/>
    <w:rsid w:val="00EB51CC"/>
    <w:rsid w:val="00EB5452"/>
    <w:rsid w:val="00EC1BA5"/>
    <w:rsid w:val="00EC21D8"/>
    <w:rsid w:val="00EC473A"/>
    <w:rsid w:val="00EC4B40"/>
    <w:rsid w:val="00EC4D01"/>
    <w:rsid w:val="00EC4F3A"/>
    <w:rsid w:val="00EC54F2"/>
    <w:rsid w:val="00EC5CE6"/>
    <w:rsid w:val="00EC6845"/>
    <w:rsid w:val="00EC7BDF"/>
    <w:rsid w:val="00EC7CD5"/>
    <w:rsid w:val="00EC7F89"/>
    <w:rsid w:val="00ED08FB"/>
    <w:rsid w:val="00ED0A91"/>
    <w:rsid w:val="00ED0F25"/>
    <w:rsid w:val="00ED2718"/>
    <w:rsid w:val="00ED2773"/>
    <w:rsid w:val="00ED2B0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61C"/>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6BBF"/>
    <w:rsid w:val="00EF7AB1"/>
    <w:rsid w:val="00EF7FBD"/>
    <w:rsid w:val="00F00071"/>
    <w:rsid w:val="00F01C4D"/>
    <w:rsid w:val="00F023E7"/>
    <w:rsid w:val="00F029CE"/>
    <w:rsid w:val="00F04199"/>
    <w:rsid w:val="00F0449D"/>
    <w:rsid w:val="00F04F41"/>
    <w:rsid w:val="00F07936"/>
    <w:rsid w:val="00F07E9E"/>
    <w:rsid w:val="00F104EB"/>
    <w:rsid w:val="00F11694"/>
    <w:rsid w:val="00F12AC2"/>
    <w:rsid w:val="00F13F71"/>
    <w:rsid w:val="00F15BBC"/>
    <w:rsid w:val="00F16486"/>
    <w:rsid w:val="00F21383"/>
    <w:rsid w:val="00F2167D"/>
    <w:rsid w:val="00F2247A"/>
    <w:rsid w:val="00F227A7"/>
    <w:rsid w:val="00F22A64"/>
    <w:rsid w:val="00F2342D"/>
    <w:rsid w:val="00F24BFD"/>
    <w:rsid w:val="00F253FF"/>
    <w:rsid w:val="00F3133E"/>
    <w:rsid w:val="00F328D1"/>
    <w:rsid w:val="00F32B5B"/>
    <w:rsid w:val="00F32C06"/>
    <w:rsid w:val="00F32EB8"/>
    <w:rsid w:val="00F3393F"/>
    <w:rsid w:val="00F33EB9"/>
    <w:rsid w:val="00F34847"/>
    <w:rsid w:val="00F34D07"/>
    <w:rsid w:val="00F35C13"/>
    <w:rsid w:val="00F35DC5"/>
    <w:rsid w:val="00F40A6A"/>
    <w:rsid w:val="00F40F4E"/>
    <w:rsid w:val="00F41645"/>
    <w:rsid w:val="00F417B6"/>
    <w:rsid w:val="00F42A39"/>
    <w:rsid w:val="00F43937"/>
    <w:rsid w:val="00F440AD"/>
    <w:rsid w:val="00F4522C"/>
    <w:rsid w:val="00F454CE"/>
    <w:rsid w:val="00F4636C"/>
    <w:rsid w:val="00F46378"/>
    <w:rsid w:val="00F46BF0"/>
    <w:rsid w:val="00F46F1A"/>
    <w:rsid w:val="00F47538"/>
    <w:rsid w:val="00F47EE5"/>
    <w:rsid w:val="00F50362"/>
    <w:rsid w:val="00F509F2"/>
    <w:rsid w:val="00F50AA4"/>
    <w:rsid w:val="00F51739"/>
    <w:rsid w:val="00F52114"/>
    <w:rsid w:val="00F52B0C"/>
    <w:rsid w:val="00F53A91"/>
    <w:rsid w:val="00F575C7"/>
    <w:rsid w:val="00F60EF4"/>
    <w:rsid w:val="00F61344"/>
    <w:rsid w:val="00F6136E"/>
    <w:rsid w:val="00F62645"/>
    <w:rsid w:val="00F6273D"/>
    <w:rsid w:val="00F64081"/>
    <w:rsid w:val="00F6414B"/>
    <w:rsid w:val="00F65FE8"/>
    <w:rsid w:val="00F664F3"/>
    <w:rsid w:val="00F665F5"/>
    <w:rsid w:val="00F67317"/>
    <w:rsid w:val="00F7112A"/>
    <w:rsid w:val="00F717C7"/>
    <w:rsid w:val="00F735C5"/>
    <w:rsid w:val="00F7364D"/>
    <w:rsid w:val="00F74149"/>
    <w:rsid w:val="00F744EA"/>
    <w:rsid w:val="00F7470F"/>
    <w:rsid w:val="00F770C8"/>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1A65"/>
    <w:rsid w:val="00F93AF7"/>
    <w:rsid w:val="00F94194"/>
    <w:rsid w:val="00F94D05"/>
    <w:rsid w:val="00F95F7E"/>
    <w:rsid w:val="00F963F7"/>
    <w:rsid w:val="00FA19D8"/>
    <w:rsid w:val="00FA2640"/>
    <w:rsid w:val="00FA475B"/>
    <w:rsid w:val="00FA47B3"/>
    <w:rsid w:val="00FA51B4"/>
    <w:rsid w:val="00FA5412"/>
    <w:rsid w:val="00FA55BB"/>
    <w:rsid w:val="00FA6204"/>
    <w:rsid w:val="00FA7E88"/>
    <w:rsid w:val="00FB09AA"/>
    <w:rsid w:val="00FB20D3"/>
    <w:rsid w:val="00FB2526"/>
    <w:rsid w:val="00FB300E"/>
    <w:rsid w:val="00FB3466"/>
    <w:rsid w:val="00FB3AA6"/>
    <w:rsid w:val="00FB739A"/>
    <w:rsid w:val="00FB7655"/>
    <w:rsid w:val="00FC3372"/>
    <w:rsid w:val="00FC4495"/>
    <w:rsid w:val="00FC59AA"/>
    <w:rsid w:val="00FC764A"/>
    <w:rsid w:val="00FD00AD"/>
    <w:rsid w:val="00FD24E1"/>
    <w:rsid w:val="00FD33F2"/>
    <w:rsid w:val="00FD3630"/>
    <w:rsid w:val="00FD4F6D"/>
    <w:rsid w:val="00FD75B8"/>
    <w:rsid w:val="00FD78E1"/>
    <w:rsid w:val="00FE109F"/>
    <w:rsid w:val="00FE1185"/>
    <w:rsid w:val="00FE3C1C"/>
    <w:rsid w:val="00FE5C52"/>
    <w:rsid w:val="00FE5F8C"/>
    <w:rsid w:val="00FF1F6D"/>
    <w:rsid w:val="00FF1FB6"/>
    <w:rsid w:val="00FF2062"/>
    <w:rsid w:val="00FF3941"/>
    <w:rsid w:val="00FF48BD"/>
    <w:rsid w:val="00FF53A5"/>
    <w:rsid w:val="00FF6207"/>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F795AE40-C1C0-460A-876B-518D72C6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83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qFormat/>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70106"/>
    <w:rPr>
      <w:rFonts w:eastAsia="Times New Roman"/>
    </w:rPr>
  </w:style>
  <w:style w:type="paragraph" w:customStyle="1" w:styleId="B2">
    <w:name w:val="B2"/>
    <w:basedOn w:val="20"/>
    <w:link w:val="B2Char"/>
    <w:rsid w:val="00470106"/>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0"/>
    <w:link w:val="B3Char"/>
    <w:rsid w:val="00470106"/>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470106"/>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470106"/>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470106"/>
    <w:pPr>
      <w:ind w:leftChars="200" w:left="100" w:hangingChars="200" w:hanging="200"/>
      <w:contextualSpacing/>
    </w:pPr>
  </w:style>
  <w:style w:type="paragraph" w:styleId="30">
    <w:name w:val="List 3"/>
    <w:basedOn w:val="a"/>
    <w:uiPriority w:val="99"/>
    <w:semiHidden/>
    <w:unhideWhenUsed/>
    <w:rsid w:val="00470106"/>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27917175">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13141888">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F8A16-112B-4ECE-B705-3F597798B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2490</TotalTime>
  <Pages>3</Pages>
  <Words>903</Words>
  <Characters>4871</Characters>
  <Application>Microsoft Office Word</Application>
  <DocSecurity>0</DocSecurity>
  <Lines>487</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46</cp:revision>
  <dcterms:created xsi:type="dcterms:W3CDTF">2020-01-20T11:16:00Z</dcterms:created>
  <dcterms:modified xsi:type="dcterms:W3CDTF">2020-02-15T01:59:00Z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(3)x3jX0XHO8e+BiFBW+a2o1vVYzrZQXVXJkYn3li/XhRIs1tdH4nguddS744Ddq/0UrmaziRow
5djAwKAGNzFzIvkxkir6mtptdPCZH8GY6qAfldADk4Rut4bMgAglPTV1sWAvWSQecvAoYZbp
NWSBBEoHgR1vT/eS7G2EkkMRTjOlJ5NQYuK6R3vnbRQ0oIZd73EsciYMEL+GF2fxLGw8luRB
1eQi7HuN7wrMuUjzEi</vt:lpwstr>
  </property>
  <property fmtid="{D5CDD505-2E9C-101B-9397-08002B2CF9AE}" pid="3" name="_2015_ms_pID_7253431">
    <vt:lpwstr>89UXKXQlv75pzxNO/O9c/Su4zUVKNl3/TnP3+ydLY1WPH/ugl+8poe
GsgN2HN36U2hI+vG7bwXLZu21nTHfnwBjR/R4OfpXzhgK/mQB2iLcJz8KtmlgPisG1u7Ed3W
Icl41NvBHBJPA8uCWwWUDduTwk5G++s9lrC1v9MqG9Q9LoBWwoEpuMWm3GL4KYpBujXpiPmp
97uHDLDKGmdmEsHeTR60Isdk+LNu0wGf/plA</vt:lpwstr>
  </property>
  <property fmtid="{D5CDD505-2E9C-101B-9397-08002B2CF9AE}" pid="4" name="_2015_ms_pID_7253432">
    <vt:lpwstr>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1581726633</vt:lpwstr>
  </property>
</Properties>
</file>