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D455F" w14:textId="3EB42388" w:rsidR="004D1268" w:rsidRPr="00C9277E" w:rsidRDefault="004D1268" w:rsidP="004D1268">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#100</w:t>
      </w:r>
      <w:r w:rsidRPr="00C9277E">
        <w:rPr>
          <w:rFonts w:ascii="Arial" w:eastAsia="바탕" w:hAnsi="Arial" w:cs="Arial"/>
          <w:b/>
          <w:bCs/>
          <w:sz w:val="28"/>
          <w:szCs w:val="24"/>
        </w:rPr>
        <w:tab/>
      </w:r>
      <w:r w:rsidRPr="00C9277E">
        <w:rPr>
          <w:rFonts w:ascii="Arial" w:eastAsia="바탕" w:hAnsi="Arial" w:cs="Arial"/>
          <w:b/>
          <w:bCs/>
          <w:sz w:val="28"/>
          <w:szCs w:val="24"/>
        </w:rPr>
        <w:tab/>
      </w:r>
      <w:r w:rsidR="00B12BA2">
        <w:rPr>
          <w:rFonts w:ascii="Arial" w:eastAsia="바탕" w:hAnsi="Arial" w:cs="Arial"/>
          <w:b/>
          <w:bCs/>
          <w:sz w:val="28"/>
          <w:szCs w:val="24"/>
        </w:rPr>
        <w:tab/>
        <w:t>R1-2000685</w:t>
      </w:r>
    </w:p>
    <w:p w14:paraId="1F7B0AA8" w14:textId="77777777" w:rsidR="004D1268" w:rsidRPr="006369AE" w:rsidRDefault="004D1268" w:rsidP="004D1268">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February 24</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March 6</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625552B2"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Pr>
          <w:rFonts w:ascii="Arial" w:eastAsia="맑은 고딕" w:hAnsi="Arial"/>
          <w:sz w:val="24"/>
          <w:lang w:val="en-US" w:eastAsia="ko-KR"/>
        </w:rPr>
        <w:t>7.2.7</w:t>
      </w:r>
      <w:r w:rsidRPr="00EF79E1">
        <w:rPr>
          <w:rFonts w:ascii="Arial" w:eastAsia="맑은 고딕" w:hAnsi="Arial"/>
          <w:sz w:val="24"/>
          <w:lang w:val="en-US" w:eastAsia="ko-KR"/>
        </w:rPr>
        <w:t>.</w:t>
      </w:r>
      <w:r>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F3B6BC1"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4D1268">
        <w:rPr>
          <w:rFonts w:ascii="Arial" w:eastAsiaTheme="minorEastAsia" w:hAnsi="Arial"/>
          <w:sz w:val="24"/>
          <w:lang w:eastAsia="ko-KR"/>
        </w:rPr>
        <w:t>Remaining issues on procedure of cross-slot scheduling power saving techniques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26120713" w14:textId="77FAE6F2" w:rsidR="004B61B3" w:rsidRDefault="004B61B3" w:rsidP="002B3E11">
      <w:pPr>
        <w:ind w:left="0" w:firstLine="0"/>
        <w:rPr>
          <w:rFonts w:eastAsiaTheme="minorEastAsia"/>
          <w:szCs w:val="22"/>
          <w:lang w:eastAsia="ko-KR"/>
        </w:rPr>
      </w:pPr>
      <w:r>
        <w:rPr>
          <w:rFonts w:eastAsiaTheme="minorEastAsia" w:hint="eastAsia"/>
          <w:szCs w:val="22"/>
          <w:lang w:eastAsia="ko-KR"/>
        </w:rPr>
        <w:t xml:space="preserve">In a previous meeting, </w:t>
      </w:r>
      <w:r>
        <w:rPr>
          <w:rFonts w:eastAsiaTheme="minorEastAsia"/>
          <w:szCs w:val="22"/>
          <w:lang w:eastAsia="ko-KR"/>
        </w:rPr>
        <w:t>an agreement</w:t>
      </w:r>
      <w:r>
        <w:rPr>
          <w:rFonts w:eastAsiaTheme="minorEastAsia" w:hint="eastAsia"/>
          <w:szCs w:val="22"/>
          <w:lang w:eastAsia="ko-KR"/>
        </w:rPr>
        <w:t xml:space="preserve"> for d</w:t>
      </w:r>
      <w:r>
        <w:rPr>
          <w:rFonts w:eastAsiaTheme="minorEastAsia"/>
          <w:szCs w:val="22"/>
          <w:lang w:eastAsia="ko-KR"/>
        </w:rPr>
        <w:t>efining exceptional cases of minimum applicable K0 was made as follows;</w:t>
      </w:r>
    </w:p>
    <w:tbl>
      <w:tblPr>
        <w:tblStyle w:val="a7"/>
        <w:tblW w:w="0" w:type="auto"/>
        <w:tblLook w:val="04A0" w:firstRow="1" w:lastRow="0" w:firstColumn="1" w:lastColumn="0" w:noHBand="0" w:noVBand="1"/>
      </w:tblPr>
      <w:tblGrid>
        <w:gridCol w:w="9628"/>
      </w:tblGrid>
      <w:tr w:rsidR="004B61B3" w14:paraId="6B5785E7" w14:textId="77777777" w:rsidTr="004B61B3">
        <w:tc>
          <w:tcPr>
            <w:tcW w:w="9628" w:type="dxa"/>
          </w:tcPr>
          <w:p w14:paraId="6D333B5B" w14:textId="77777777" w:rsidR="004B61B3" w:rsidRPr="004B61B3" w:rsidRDefault="004B61B3" w:rsidP="004B61B3">
            <w:pPr>
              <w:spacing w:before="0" w:after="0" w:line="0" w:lineRule="atLeast"/>
              <w:ind w:left="0" w:firstLine="0"/>
              <w:rPr>
                <w:rFonts w:eastAsiaTheme="minorEastAsia"/>
                <w:kern w:val="2"/>
                <w:lang w:val="en-US" w:eastAsia="x-none"/>
              </w:rPr>
            </w:pPr>
            <w:r w:rsidRPr="004B61B3">
              <w:rPr>
                <w:rFonts w:eastAsiaTheme="minorEastAsia"/>
                <w:kern w:val="2"/>
                <w:highlight w:val="green"/>
                <w:lang w:val="en-US" w:eastAsia="x-none"/>
              </w:rPr>
              <w:t>Agreements</w:t>
            </w:r>
            <w:r w:rsidRPr="004B61B3">
              <w:rPr>
                <w:rFonts w:eastAsiaTheme="minorEastAsia"/>
                <w:kern w:val="2"/>
                <w:lang w:val="en-US" w:eastAsia="x-none"/>
              </w:rPr>
              <w:t>:</w:t>
            </w:r>
          </w:p>
          <w:p w14:paraId="617900A7" w14:textId="77777777" w:rsidR="004B61B3" w:rsidRPr="004B61B3" w:rsidRDefault="004B61B3" w:rsidP="004B61B3">
            <w:pPr>
              <w:spacing w:before="0" w:after="0" w:line="0" w:lineRule="atLeast"/>
              <w:ind w:left="0" w:firstLine="0"/>
              <w:rPr>
                <w:rFonts w:eastAsiaTheme="minorEastAsia"/>
                <w:kern w:val="2"/>
                <w:lang w:val="en-US"/>
              </w:rPr>
            </w:pPr>
            <w:r w:rsidRPr="004B61B3">
              <w:rPr>
                <w:rFonts w:eastAsiaTheme="minorEastAsia"/>
                <w:kern w:val="2"/>
                <w:lang w:val="en-US" w:eastAsia="ko-KR"/>
              </w:rPr>
              <w:t>The adaptation on the minimum applicable value of K0 does not apply to C/CS/MCS-RNTI monitored in any common search space (of type 0/0A/1/2) associated with CORESET 0 if default TDRA table is applied.</w:t>
            </w:r>
          </w:p>
          <w:p w14:paraId="7A1AE466" w14:textId="77777777" w:rsidR="004B61B3" w:rsidRPr="004B61B3" w:rsidRDefault="004B61B3" w:rsidP="004B61B3">
            <w:pPr>
              <w:numPr>
                <w:ilvl w:val="0"/>
                <w:numId w:val="45"/>
              </w:numPr>
              <w:spacing w:before="0" w:after="0" w:line="0" w:lineRule="atLeast"/>
              <w:jc w:val="left"/>
              <w:rPr>
                <w:rFonts w:eastAsiaTheme="minorEastAsia"/>
                <w:kern w:val="2"/>
                <w:lang w:val="en-US" w:eastAsia="ko-KR"/>
              </w:rPr>
            </w:pPr>
            <w:r w:rsidRPr="004B61B3">
              <w:rPr>
                <w:rFonts w:eastAsiaTheme="minorEastAsia"/>
                <w:kern w:val="2"/>
                <w:lang w:val="en-US" w:eastAsia="ko-KR"/>
              </w:rPr>
              <w:t>FFS the case of CSS of type 3</w:t>
            </w:r>
          </w:p>
          <w:p w14:paraId="68B10D49" w14:textId="16558375" w:rsidR="004B61B3" w:rsidRPr="004B61B3" w:rsidRDefault="004B61B3" w:rsidP="004B61B3">
            <w:pPr>
              <w:numPr>
                <w:ilvl w:val="0"/>
                <w:numId w:val="45"/>
              </w:numPr>
              <w:spacing w:before="0" w:after="0" w:line="0" w:lineRule="atLeast"/>
              <w:jc w:val="left"/>
              <w:rPr>
                <w:rFonts w:eastAsiaTheme="minorEastAsia"/>
                <w:kern w:val="2"/>
                <w:lang w:val="en-US" w:eastAsia="ko-KR"/>
              </w:rPr>
            </w:pPr>
            <w:r w:rsidRPr="004B61B3">
              <w:rPr>
                <w:rFonts w:eastAsiaTheme="minorEastAsia"/>
                <w:kern w:val="2"/>
                <w:lang w:val="en-US" w:eastAsia="ko-KR"/>
              </w:rPr>
              <w:t>FFS other cases if default TDRA table is applied</w:t>
            </w:r>
          </w:p>
        </w:tc>
      </w:tr>
    </w:tbl>
    <w:p w14:paraId="23F7E437" w14:textId="5823D39A" w:rsidR="004B61B3" w:rsidRDefault="004B61B3" w:rsidP="002B3E11">
      <w:pPr>
        <w:ind w:left="0" w:firstLine="0"/>
        <w:rPr>
          <w:rFonts w:eastAsiaTheme="minorEastAsia"/>
          <w:szCs w:val="22"/>
          <w:lang w:eastAsia="ko-KR"/>
        </w:rPr>
      </w:pPr>
      <w:r>
        <w:rPr>
          <w:rFonts w:eastAsiaTheme="minorEastAsia" w:hint="eastAsia"/>
          <w:szCs w:val="22"/>
          <w:lang w:eastAsia="ko-KR"/>
        </w:rPr>
        <w:t xml:space="preserve">In this contribution, we discuss remaining issues on </w:t>
      </w:r>
      <w:r>
        <w:rPr>
          <w:rFonts w:eastAsiaTheme="minorEastAsia"/>
          <w:szCs w:val="22"/>
          <w:lang w:eastAsia="ko-KR"/>
        </w:rPr>
        <w:t>the exceptional case</w:t>
      </w:r>
      <w:r>
        <w:rPr>
          <w:rFonts w:eastAsiaTheme="minorEastAsia" w:hint="eastAsia"/>
          <w:szCs w:val="22"/>
          <w:lang w:eastAsia="ko-KR"/>
        </w:rPr>
        <w:t>.</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F99376A" w14:textId="716EC50D" w:rsidR="004B61B3" w:rsidRDefault="004B61B3" w:rsidP="004B61B3">
      <w:pPr>
        <w:ind w:left="0" w:firstLine="0"/>
      </w:pPr>
      <w:r>
        <w:rPr>
          <w:lang w:eastAsia="ko-KR"/>
        </w:rPr>
        <w:t xml:space="preserve">The power saving gain from cross-slot scheduling comes from </w:t>
      </w:r>
      <w:r w:rsidR="00295F0F">
        <w:rPr>
          <w:lang w:eastAsia="ko-KR"/>
        </w:rPr>
        <w:t>micro sleep or PDCCH processing relaxation</w:t>
      </w:r>
      <w:r>
        <w:rPr>
          <w:lang w:eastAsia="ko-KR"/>
        </w:rPr>
        <w:t xml:space="preserve"> </w:t>
      </w:r>
      <w:r w:rsidR="00295F0F">
        <w:rPr>
          <w:lang w:eastAsia="ko-KR"/>
        </w:rPr>
        <w:t>in the</w:t>
      </w:r>
      <w:r>
        <w:rPr>
          <w:lang w:eastAsia="ko-KR"/>
        </w:rPr>
        <w:t xml:space="preserve"> du</w:t>
      </w:r>
      <w:bookmarkStart w:id="3" w:name="_GoBack"/>
      <w:bookmarkEnd w:id="3"/>
      <w:r>
        <w:rPr>
          <w:lang w:eastAsia="ko-KR"/>
        </w:rPr>
        <w:t xml:space="preserve">ration guaranteed by minimum K0. </w:t>
      </w:r>
      <w:r>
        <w:rPr>
          <w:rFonts w:eastAsiaTheme="minorEastAsia" w:hint="eastAsia"/>
          <w:lang w:eastAsia="ko-KR"/>
        </w:rPr>
        <w:t xml:space="preserve">Meanwhile, for some cases, </w:t>
      </w:r>
      <w:r w:rsidR="00295F0F">
        <w:rPr>
          <w:rFonts w:eastAsiaTheme="minorEastAsia"/>
          <w:lang w:eastAsia="ko-KR"/>
        </w:rPr>
        <w:t>those power saving schemes</w:t>
      </w:r>
      <w:r>
        <w:rPr>
          <w:rFonts w:eastAsiaTheme="minorEastAsia"/>
          <w:lang w:eastAsia="ko-KR"/>
        </w:rPr>
        <w:t xml:space="preserve"> may be inefficient or data buffering should be performed. To be specific, if a UE monitors (SI, RA,</w:t>
      </w:r>
      <w:r w:rsidDel="00E40335">
        <w:rPr>
          <w:rFonts w:eastAsiaTheme="minorEastAsia"/>
          <w:lang w:eastAsia="ko-KR"/>
        </w:rPr>
        <w:t xml:space="preserve"> </w:t>
      </w:r>
      <w:r>
        <w:rPr>
          <w:rFonts w:eastAsiaTheme="minorEastAsia"/>
          <w:lang w:eastAsia="ko-KR"/>
        </w:rPr>
        <w:t xml:space="preserve">P)-RNTI on Type(0,0A,1,2) CSS using default PDSCH TDRA table, the adaptation on the minimum applicable value of K0 cannot be applied because mostly all K0 values in default TDRA table is 0. For this reason, it was agreed </w:t>
      </w:r>
      <w:r w:rsidR="00295F0F">
        <w:rPr>
          <w:rFonts w:eastAsiaTheme="minorEastAsia"/>
          <w:lang w:eastAsia="ko-KR"/>
        </w:rPr>
        <w:t xml:space="preserve">that </w:t>
      </w:r>
      <w:r>
        <w:t>t</w:t>
      </w:r>
      <w:r w:rsidRPr="00EA1FFC">
        <w:t xml:space="preserve">he adaptation on the minimum applicable value of K0 </w:t>
      </w:r>
      <w:r w:rsidR="00295F0F">
        <w:t>is not</w:t>
      </w:r>
      <w:r>
        <w:t xml:space="preserve"> applied</w:t>
      </w:r>
      <w:r w:rsidR="00295F0F">
        <w:t xml:space="preserve"> for following cases;</w:t>
      </w:r>
      <w:r>
        <w:t xml:space="preserve"> </w:t>
      </w:r>
    </w:p>
    <w:p w14:paraId="418A710B" w14:textId="6BA1EC9F" w:rsidR="00295F0F" w:rsidRDefault="00295F0F" w:rsidP="00295F0F">
      <w:pPr>
        <w:pStyle w:val="ad"/>
        <w:numPr>
          <w:ilvl w:val="0"/>
          <w:numId w:val="46"/>
        </w:numPr>
        <w:ind w:leftChars="0"/>
        <w:rPr>
          <w:rFonts w:ascii="Times New Roman" w:eastAsiaTheme="minorEastAsia" w:hAnsi="Times New Roman" w:cs="Times New Roman"/>
          <w:lang w:val="en-GB"/>
        </w:rPr>
      </w:pPr>
      <w:r w:rsidRPr="00295F0F">
        <w:rPr>
          <w:rFonts w:ascii="Times New Roman" w:eastAsiaTheme="minorEastAsia" w:hAnsi="Times New Roman" w:cs="Times New Roman" w:hint="eastAsia"/>
          <w:lang w:val="en-GB"/>
        </w:rPr>
        <w:t>SI-</w:t>
      </w:r>
      <w:r>
        <w:rPr>
          <w:rFonts w:ascii="Times New Roman" w:eastAsiaTheme="minorEastAsia" w:hAnsi="Times New Roman" w:cs="Times New Roman"/>
          <w:lang w:val="en-GB"/>
        </w:rPr>
        <w:t>RNTI monitored in Type0/0A CSS, RA-RNTI &amp; TC-RNTI monitored in Type1 CSS, and P-RNTI monitored in Type2 CSS</w:t>
      </w:r>
      <w:r w:rsidR="00FE3E2D">
        <w:rPr>
          <w:rFonts w:ascii="Times New Roman" w:eastAsiaTheme="minorEastAsia" w:hAnsi="Times New Roman" w:cs="Times New Roman"/>
          <w:lang w:val="en-GB"/>
        </w:rPr>
        <w:t xml:space="preserve"> (agreement in RAN1#96bis)</w:t>
      </w:r>
    </w:p>
    <w:p w14:paraId="62C24D20" w14:textId="0B38229F" w:rsidR="00295F0F" w:rsidRPr="00295F0F" w:rsidRDefault="00295F0F" w:rsidP="00295F0F">
      <w:pPr>
        <w:pStyle w:val="ad"/>
        <w:numPr>
          <w:ilvl w:val="0"/>
          <w:numId w:val="46"/>
        </w:numPr>
        <w:ind w:leftChars="0"/>
        <w:rPr>
          <w:rFonts w:ascii="Times New Roman" w:eastAsiaTheme="minorEastAsia" w:hAnsi="Times New Roman" w:cs="Times New Roman"/>
          <w:lang w:val="en-GB"/>
        </w:rPr>
      </w:pPr>
      <w:r>
        <w:rPr>
          <w:rFonts w:ascii="Times New Roman" w:eastAsiaTheme="minorEastAsia" w:hAnsi="Times New Roman" w:cs="Times New Roman" w:hint="eastAsia"/>
          <w:lang w:val="en-GB"/>
        </w:rPr>
        <w:t>C-/CS-/MCS-C-</w:t>
      </w:r>
      <w:r>
        <w:rPr>
          <w:rFonts w:ascii="Times New Roman" w:eastAsiaTheme="minorEastAsia" w:hAnsi="Times New Roman" w:cs="Times New Roman"/>
          <w:lang w:val="en-GB"/>
        </w:rPr>
        <w:t xml:space="preserve">RNTI monitored in any CSS (of Type 0/0A/1/2) associated with CORESET0 </w:t>
      </w:r>
      <w:r w:rsidR="00623EA3">
        <w:rPr>
          <w:rFonts w:ascii="Times New Roman" w:eastAsiaTheme="minorEastAsia" w:hAnsi="Times New Roman" w:cs="Times New Roman"/>
          <w:lang w:val="en-GB"/>
        </w:rPr>
        <w:t>if default TDRA table is applied</w:t>
      </w:r>
      <w:r w:rsidR="00FE3E2D">
        <w:rPr>
          <w:rFonts w:ascii="Times New Roman" w:eastAsiaTheme="minorEastAsia" w:hAnsi="Times New Roman" w:cs="Times New Roman"/>
          <w:lang w:val="en-GB"/>
        </w:rPr>
        <w:t xml:space="preserve"> (agreement in RAN1#99)</w:t>
      </w:r>
    </w:p>
    <w:p w14:paraId="43C3C683" w14:textId="2747D117" w:rsidR="004B61B3" w:rsidRPr="004B61B3" w:rsidRDefault="00623EA3" w:rsidP="00B66EE1">
      <w:pPr>
        <w:ind w:left="0" w:firstLine="0"/>
        <w:rPr>
          <w:rFonts w:eastAsiaTheme="minorEastAsia"/>
          <w:lang w:eastAsia="ko-KR"/>
        </w:rPr>
      </w:pPr>
      <w:r>
        <w:rPr>
          <w:rFonts w:eastAsiaTheme="minorEastAsia"/>
          <w:lang w:eastAsia="ko-KR"/>
        </w:rPr>
        <w:t xml:space="preserve">Table 1 shows applicable PDSCH time domain resource allocation for DCI formats 1_0 and 1_1, and it is defined in TS38.214 Section 5.1.2.1. </w:t>
      </w:r>
      <w:r w:rsidR="00FE3E2D">
        <w:rPr>
          <w:rFonts w:eastAsiaTheme="minorEastAsia"/>
          <w:lang w:eastAsia="ko-KR"/>
        </w:rPr>
        <w:t>In the table, the highlighted region should be discussed to finalize exceptional case of minimum applicable K0</w:t>
      </w:r>
      <w:r w:rsidR="00943973">
        <w:rPr>
          <w:rFonts w:eastAsiaTheme="minorEastAsia"/>
          <w:lang w:eastAsia="ko-KR"/>
        </w:rPr>
        <w:t>, the rest of the table was agreed as exceptional cases of minimum applicable K0</w:t>
      </w:r>
      <w:r w:rsidR="00FE3E2D">
        <w:rPr>
          <w:rFonts w:eastAsiaTheme="minorEastAsia"/>
          <w:lang w:eastAsia="ko-KR"/>
        </w:rPr>
        <w:t xml:space="preserve">. </w:t>
      </w:r>
      <w:r w:rsidR="00874AC6">
        <w:rPr>
          <w:rFonts w:eastAsiaTheme="minorEastAsia"/>
          <w:lang w:eastAsia="ko-KR"/>
        </w:rPr>
        <w:t>If a RRC-configured TDRA table (i.e</w:t>
      </w:r>
      <w:r w:rsidR="00874AC6" w:rsidRPr="00874AC6">
        <w:rPr>
          <w:rFonts w:eastAsiaTheme="minorEastAsia"/>
          <w:lang w:eastAsia="ko-KR"/>
        </w:rPr>
        <w:t xml:space="preserve">., </w:t>
      </w:r>
      <w:r w:rsidR="00874AC6" w:rsidRPr="00623EA3">
        <w:rPr>
          <w:rFonts w:eastAsia="바탕"/>
          <w:i/>
          <w:color w:val="000000"/>
        </w:rPr>
        <w:t>pdsch-TimeDomainAllocationList provided in pdsch-ConfigCommon</w:t>
      </w:r>
      <w:r w:rsidR="00874AC6" w:rsidRPr="00874AC6">
        <w:rPr>
          <w:rFonts w:eastAsia="바탕"/>
          <w:i/>
          <w:color w:val="000000"/>
        </w:rPr>
        <w:t xml:space="preserve">, </w:t>
      </w:r>
      <w:r w:rsidR="00874AC6" w:rsidRPr="00623EA3">
        <w:rPr>
          <w:rFonts w:eastAsia="바탕"/>
          <w:i/>
          <w:color w:val="000000"/>
        </w:rPr>
        <w:t xml:space="preserve">pdsch-TimeDomainAllocationList </w:t>
      </w:r>
      <w:r w:rsidR="00874AC6" w:rsidRPr="00623EA3">
        <w:rPr>
          <w:rFonts w:eastAsia="바탕"/>
          <w:color w:val="000000"/>
        </w:rPr>
        <w:t xml:space="preserve">provided in </w:t>
      </w:r>
      <w:r w:rsidR="00874AC6" w:rsidRPr="00623EA3">
        <w:rPr>
          <w:rFonts w:eastAsia="바탕"/>
          <w:i/>
          <w:color w:val="000000"/>
        </w:rPr>
        <w:t>pdsch-Config</w:t>
      </w:r>
      <w:r w:rsidR="00874AC6" w:rsidRPr="00874AC6">
        <w:rPr>
          <w:rFonts w:eastAsia="바탕"/>
          <w:color w:val="000000"/>
        </w:rPr>
        <w:t>)</w:t>
      </w:r>
      <w:r w:rsidR="00874AC6">
        <w:rPr>
          <w:rFonts w:eastAsia="바탕"/>
          <w:color w:val="000000"/>
        </w:rPr>
        <w:t xml:space="preserve"> is provided to a UE, a gNB can select minimum applicable K0 value in the table. However, if a UE assumes default TDRA table for PDSCH time domain resource allocation, the minimum applicable K0 value </w:t>
      </w:r>
      <w:r w:rsidR="00943973">
        <w:rPr>
          <w:rFonts w:eastAsia="바탕"/>
          <w:color w:val="000000"/>
        </w:rPr>
        <w:t xml:space="preserve">(which is larger than 0) </w:t>
      </w:r>
      <w:r w:rsidR="00874AC6">
        <w:rPr>
          <w:rFonts w:eastAsia="바탕"/>
          <w:color w:val="000000"/>
        </w:rPr>
        <w:t xml:space="preserve">cannot be applied </w:t>
      </w:r>
      <w:r w:rsidR="00874AC6">
        <w:rPr>
          <w:rFonts w:eastAsiaTheme="minorEastAsia"/>
          <w:lang w:eastAsia="ko-KR"/>
        </w:rPr>
        <w:t xml:space="preserve">because default TDRA table is </w:t>
      </w:r>
      <w:r w:rsidR="00943973">
        <w:rPr>
          <w:rFonts w:eastAsiaTheme="minorEastAsia"/>
          <w:lang w:eastAsia="ko-KR"/>
        </w:rPr>
        <w:t>applied</w:t>
      </w:r>
      <w:r w:rsidR="00874AC6">
        <w:rPr>
          <w:rFonts w:eastAsiaTheme="minorEastAsia"/>
          <w:lang w:eastAsia="ko-KR"/>
        </w:rPr>
        <w:t>. (For reference, it was agreed</w:t>
      </w:r>
      <w:r w:rsidR="00AE68A3">
        <w:rPr>
          <w:rFonts w:eastAsiaTheme="minorEastAsia"/>
          <w:lang w:eastAsia="ko-KR"/>
        </w:rPr>
        <w:t xml:space="preserve"> in RAN1#97 that an entry in the active DL (UL) TDRA table with K0 (K2) value smaller than the indicated minimum K0 (</w:t>
      </w:r>
      <w:r w:rsidR="000671A9">
        <w:rPr>
          <w:rFonts w:eastAsiaTheme="minorEastAsia"/>
          <w:lang w:eastAsia="ko-KR"/>
        </w:rPr>
        <w:t>K</w:t>
      </w:r>
      <w:r w:rsidR="00AE68A3">
        <w:rPr>
          <w:rFonts w:eastAsiaTheme="minorEastAsia"/>
          <w:lang w:eastAsia="ko-KR"/>
        </w:rPr>
        <w:t>2) is not expected by or not valid for the UE for the T</w:t>
      </w:r>
      <w:r w:rsidR="000671A9">
        <w:rPr>
          <w:rFonts w:eastAsiaTheme="minorEastAsia"/>
          <w:lang w:eastAsia="ko-KR"/>
        </w:rPr>
        <w:t>D</w:t>
      </w:r>
      <w:r w:rsidR="00AE68A3">
        <w:rPr>
          <w:rFonts w:eastAsiaTheme="minorEastAsia"/>
          <w:lang w:eastAsia="ko-KR"/>
        </w:rPr>
        <w:t>RA indication(s).)</w:t>
      </w:r>
    </w:p>
    <w:tbl>
      <w:tblPr>
        <w:tblStyle w:val="40"/>
        <w:tblW w:w="0" w:type="auto"/>
        <w:tblInd w:w="226" w:type="dxa"/>
        <w:tblLayout w:type="fixed"/>
        <w:tblCellMar>
          <w:left w:w="0" w:type="dxa"/>
          <w:right w:w="0" w:type="dxa"/>
        </w:tblCellMar>
        <w:tblLook w:val="04A0" w:firstRow="1" w:lastRow="0" w:firstColumn="1" w:lastColumn="0" w:noHBand="0" w:noVBand="1"/>
      </w:tblPr>
      <w:tblGrid>
        <w:gridCol w:w="1301"/>
        <w:gridCol w:w="1275"/>
        <w:gridCol w:w="1275"/>
        <w:gridCol w:w="1843"/>
        <w:gridCol w:w="1985"/>
        <w:gridCol w:w="1839"/>
      </w:tblGrid>
      <w:tr w:rsidR="00623EA3" w:rsidRPr="00623EA3" w14:paraId="7CEDF343" w14:textId="77777777" w:rsidTr="00623EA3">
        <w:tc>
          <w:tcPr>
            <w:tcW w:w="1301" w:type="dxa"/>
          </w:tcPr>
          <w:p w14:paraId="2D0E62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lastRenderedPageBreak/>
              <w:t>RNTI</w:t>
            </w:r>
          </w:p>
        </w:tc>
        <w:tc>
          <w:tcPr>
            <w:tcW w:w="1275" w:type="dxa"/>
          </w:tcPr>
          <w:p w14:paraId="1BE4DCC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PDCCH search space</w:t>
            </w:r>
          </w:p>
        </w:tc>
        <w:tc>
          <w:tcPr>
            <w:tcW w:w="1275" w:type="dxa"/>
          </w:tcPr>
          <w:p w14:paraId="35F5AA5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SS/PBCH block and CORESET multiplexing pattern</w:t>
            </w:r>
          </w:p>
        </w:tc>
        <w:tc>
          <w:tcPr>
            <w:tcW w:w="1843" w:type="dxa"/>
          </w:tcPr>
          <w:p w14:paraId="2C937C8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pdsch-ConfigCommon</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985" w:type="dxa"/>
          </w:tcPr>
          <w:p w14:paraId="311C389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pdsch-Config</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839" w:type="dxa"/>
          </w:tcPr>
          <w:p w14:paraId="22B460B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PDSCH time domain resource allocation to apply</w:t>
            </w:r>
          </w:p>
        </w:tc>
      </w:tr>
      <w:tr w:rsidR="00623EA3" w:rsidRPr="00623EA3" w14:paraId="17742D3C" w14:textId="77777777" w:rsidTr="00623EA3">
        <w:tc>
          <w:tcPr>
            <w:tcW w:w="1301" w:type="dxa"/>
            <w:vMerge w:val="restart"/>
          </w:tcPr>
          <w:p w14:paraId="4F9A3B70"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p w14:paraId="6AE7195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val="restart"/>
          </w:tcPr>
          <w:p w14:paraId="3EC32C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 common</w:t>
            </w:r>
          </w:p>
        </w:tc>
        <w:tc>
          <w:tcPr>
            <w:tcW w:w="1275" w:type="dxa"/>
          </w:tcPr>
          <w:p w14:paraId="6085FFA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0FAD60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094B411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270C21A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 for normal CP</w:t>
            </w:r>
          </w:p>
        </w:tc>
      </w:tr>
      <w:tr w:rsidR="00623EA3" w:rsidRPr="00623EA3" w14:paraId="13F32D41" w14:textId="77777777" w:rsidTr="00623EA3">
        <w:tc>
          <w:tcPr>
            <w:tcW w:w="1301" w:type="dxa"/>
            <w:vMerge/>
          </w:tcPr>
          <w:p w14:paraId="5EF80C4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CFC8D9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FD176E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11CA947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23AD92D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5EE4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4065484D" w14:textId="77777777" w:rsidTr="00623EA3">
        <w:tc>
          <w:tcPr>
            <w:tcW w:w="1301" w:type="dxa"/>
            <w:vMerge/>
          </w:tcPr>
          <w:p w14:paraId="731BDC1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ED686F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570579D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082016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520A48D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6F984A3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63A79285" w14:textId="77777777" w:rsidTr="00623EA3">
        <w:tc>
          <w:tcPr>
            <w:tcW w:w="1301" w:type="dxa"/>
            <w:vMerge w:val="restart"/>
          </w:tcPr>
          <w:p w14:paraId="08937DBB"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tc>
        <w:tc>
          <w:tcPr>
            <w:tcW w:w="1275" w:type="dxa"/>
            <w:vMerge w:val="restart"/>
          </w:tcPr>
          <w:p w14:paraId="1D4B148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Type0A common</w:t>
            </w:r>
          </w:p>
        </w:tc>
        <w:tc>
          <w:tcPr>
            <w:tcW w:w="1275" w:type="dxa"/>
          </w:tcPr>
          <w:p w14:paraId="64601FB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56AE908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1EBFA2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802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535C4976" w14:textId="77777777" w:rsidTr="00623EA3">
        <w:tc>
          <w:tcPr>
            <w:tcW w:w="1301" w:type="dxa"/>
            <w:vMerge/>
          </w:tcPr>
          <w:p w14:paraId="2EACEEE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B56E88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1023EC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D2CE43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E3D070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44401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1EA8C929" w14:textId="77777777" w:rsidTr="00623EA3">
        <w:tc>
          <w:tcPr>
            <w:tcW w:w="1301" w:type="dxa"/>
            <w:vMerge/>
          </w:tcPr>
          <w:p w14:paraId="167B2529"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D4D61F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CB368C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39C6F79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2115A50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6693F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495E270D" w14:textId="77777777" w:rsidTr="00623EA3">
        <w:tc>
          <w:tcPr>
            <w:tcW w:w="1301" w:type="dxa"/>
            <w:vMerge/>
          </w:tcPr>
          <w:p w14:paraId="4C39E56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421E95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0401C1C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52734C2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2C3D46B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5CFA0F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5AC2189" w14:textId="77777777" w:rsidTr="00623EA3">
        <w:tc>
          <w:tcPr>
            <w:tcW w:w="1301" w:type="dxa"/>
            <w:vMerge w:val="restart"/>
          </w:tcPr>
          <w:p w14:paraId="3C0CEDF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RA-RNTI, MsgB-RNTI, TC-RNTI</w:t>
            </w:r>
          </w:p>
        </w:tc>
        <w:tc>
          <w:tcPr>
            <w:tcW w:w="1275" w:type="dxa"/>
            <w:vMerge w:val="restart"/>
          </w:tcPr>
          <w:p w14:paraId="5712318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Type1 common</w:t>
            </w:r>
          </w:p>
        </w:tc>
        <w:tc>
          <w:tcPr>
            <w:tcW w:w="1275" w:type="dxa"/>
          </w:tcPr>
          <w:p w14:paraId="70034AE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495E77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819AC0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BE971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FB5963A" w14:textId="77777777" w:rsidTr="00623EA3">
        <w:tc>
          <w:tcPr>
            <w:tcW w:w="1301" w:type="dxa"/>
            <w:vMerge/>
          </w:tcPr>
          <w:p w14:paraId="178F7610"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75B10FDD"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BA792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20C604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679E624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22DBCE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693CA3A" w14:textId="77777777" w:rsidTr="00623EA3">
        <w:tc>
          <w:tcPr>
            <w:tcW w:w="1301" w:type="dxa"/>
            <w:vMerge w:val="restart"/>
          </w:tcPr>
          <w:p w14:paraId="24512FE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P-RNTI</w:t>
            </w:r>
          </w:p>
        </w:tc>
        <w:tc>
          <w:tcPr>
            <w:tcW w:w="1275" w:type="dxa"/>
            <w:vMerge w:val="restart"/>
          </w:tcPr>
          <w:p w14:paraId="59A6612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Type2 common</w:t>
            </w:r>
          </w:p>
        </w:tc>
        <w:tc>
          <w:tcPr>
            <w:tcW w:w="1275" w:type="dxa"/>
          </w:tcPr>
          <w:p w14:paraId="5EE987D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400CC3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4B41C0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CA30F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CB0BEC2" w14:textId="77777777" w:rsidTr="00623EA3">
        <w:tc>
          <w:tcPr>
            <w:tcW w:w="1301" w:type="dxa"/>
            <w:vMerge/>
          </w:tcPr>
          <w:p w14:paraId="0EC1CFB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C496AC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7914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AD5B5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3905E0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73773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37D88C65" w14:textId="77777777" w:rsidTr="00623EA3">
        <w:tc>
          <w:tcPr>
            <w:tcW w:w="1301" w:type="dxa"/>
            <w:vMerge/>
          </w:tcPr>
          <w:p w14:paraId="5393138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C6045F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6898C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5BB9DCC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4580AB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09F3C4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2FF6102E" w14:textId="77777777" w:rsidTr="00623EA3">
        <w:tc>
          <w:tcPr>
            <w:tcW w:w="1301" w:type="dxa"/>
            <w:vMerge/>
          </w:tcPr>
          <w:p w14:paraId="098ECA4C"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5F383A6"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A0E60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04962FB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10B1F5A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28A2B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8C9C96B" w14:textId="77777777" w:rsidTr="00623EA3">
        <w:tc>
          <w:tcPr>
            <w:tcW w:w="1301" w:type="dxa"/>
            <w:vMerge w:val="restart"/>
            <w:shd w:val="clear" w:color="auto" w:fill="FFD966" w:themeFill="accent4" w:themeFillTint="99"/>
          </w:tcPr>
          <w:p w14:paraId="0DD7912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1E9245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associated with CORESET 0</w:t>
            </w:r>
          </w:p>
        </w:tc>
        <w:tc>
          <w:tcPr>
            <w:tcW w:w="1275" w:type="dxa"/>
          </w:tcPr>
          <w:p w14:paraId="08250CC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10672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5FC7DCB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16B9F4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245A183E" w14:textId="77777777" w:rsidTr="00623EA3">
        <w:tc>
          <w:tcPr>
            <w:tcW w:w="1301" w:type="dxa"/>
            <w:vMerge/>
            <w:shd w:val="clear" w:color="auto" w:fill="FFD966" w:themeFill="accent4" w:themeFillTint="99"/>
          </w:tcPr>
          <w:p w14:paraId="2041064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799ACE0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42DE9C2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shd w:val="clear" w:color="auto" w:fill="FFD966" w:themeFill="accent4" w:themeFillTint="99"/>
          </w:tcPr>
          <w:p w14:paraId="7119C4F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04A5D2B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shd w:val="clear" w:color="auto" w:fill="FFD966" w:themeFill="accent4" w:themeFillTint="99"/>
          </w:tcPr>
          <w:p w14:paraId="68912C3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70CD26A" w14:textId="77777777" w:rsidTr="00623EA3">
        <w:tc>
          <w:tcPr>
            <w:tcW w:w="1301" w:type="dxa"/>
            <w:vMerge w:val="restart"/>
            <w:shd w:val="clear" w:color="auto" w:fill="FFD966" w:themeFill="accent4" w:themeFillTint="99"/>
          </w:tcPr>
          <w:p w14:paraId="2F60C95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F188E4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not associated with CORESET 0</w:t>
            </w:r>
          </w:p>
          <w:p w14:paraId="5C182AAA" w14:textId="77777777" w:rsidR="00623EA3" w:rsidRPr="00623EA3" w:rsidRDefault="00623EA3" w:rsidP="00623EA3">
            <w:pPr>
              <w:spacing w:before="0" w:after="0" w:line="0" w:lineRule="atLeast"/>
              <w:ind w:left="0" w:firstLine="0"/>
              <w:jc w:val="center"/>
              <w:rPr>
                <w:rFonts w:eastAsia="바탕"/>
                <w:color w:val="000000"/>
                <w:sz w:val="16"/>
                <w:szCs w:val="16"/>
              </w:rPr>
            </w:pPr>
          </w:p>
          <w:p w14:paraId="26299DE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UE specific search space</w:t>
            </w:r>
          </w:p>
        </w:tc>
        <w:tc>
          <w:tcPr>
            <w:tcW w:w="1275" w:type="dxa"/>
            <w:shd w:val="clear" w:color="auto" w:fill="FFD966" w:themeFill="accent4" w:themeFillTint="99"/>
          </w:tcPr>
          <w:p w14:paraId="259BF1E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6A9BE0D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shd w:val="clear" w:color="auto" w:fill="FFD966" w:themeFill="accent4" w:themeFillTint="99"/>
          </w:tcPr>
          <w:p w14:paraId="790E761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AD5619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D61344F" w14:textId="77777777" w:rsidTr="00623EA3">
        <w:tc>
          <w:tcPr>
            <w:tcW w:w="1301" w:type="dxa"/>
            <w:vMerge/>
            <w:shd w:val="clear" w:color="auto" w:fill="FFD966" w:themeFill="accent4" w:themeFillTint="99"/>
          </w:tcPr>
          <w:p w14:paraId="31F1051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065C783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247C359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4C218FE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3E99FF1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4DBBFF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pdsch-ConfigCommon</w:t>
            </w:r>
            <w:r w:rsidRPr="00623EA3">
              <w:rPr>
                <w:rFonts w:eastAsia="바탕"/>
                <w:color w:val="000000"/>
                <w:sz w:val="16"/>
                <w:szCs w:val="16"/>
              </w:rPr>
              <w:t xml:space="preserve"> </w:t>
            </w:r>
          </w:p>
        </w:tc>
      </w:tr>
      <w:tr w:rsidR="00623EA3" w:rsidRPr="00623EA3" w14:paraId="48592125" w14:textId="77777777" w:rsidTr="00623EA3">
        <w:tc>
          <w:tcPr>
            <w:tcW w:w="1301" w:type="dxa"/>
            <w:vMerge/>
            <w:shd w:val="clear" w:color="auto" w:fill="FFD966" w:themeFill="accent4" w:themeFillTint="99"/>
          </w:tcPr>
          <w:p w14:paraId="4520AE04" w14:textId="77777777" w:rsidR="00623EA3" w:rsidRPr="00623EA3" w:rsidRDefault="00623EA3" w:rsidP="00623EA3">
            <w:pPr>
              <w:spacing w:before="0" w:after="0" w:line="0" w:lineRule="atLeast"/>
              <w:ind w:left="0" w:firstLine="0"/>
              <w:jc w:val="center"/>
              <w:rPr>
                <w:rFonts w:eastAsia="바탕"/>
                <w:color w:val="000000"/>
              </w:rPr>
            </w:pPr>
          </w:p>
        </w:tc>
        <w:tc>
          <w:tcPr>
            <w:tcW w:w="1275" w:type="dxa"/>
            <w:vMerge/>
            <w:shd w:val="clear" w:color="auto" w:fill="FFD966" w:themeFill="accent4" w:themeFillTint="99"/>
          </w:tcPr>
          <w:p w14:paraId="11C097E9" w14:textId="77777777" w:rsidR="00623EA3" w:rsidRPr="00623EA3" w:rsidRDefault="00623EA3" w:rsidP="00623EA3">
            <w:pPr>
              <w:spacing w:before="0" w:after="0" w:line="0" w:lineRule="atLeast"/>
              <w:ind w:left="0" w:firstLine="0"/>
              <w:jc w:val="center"/>
              <w:rPr>
                <w:rFonts w:eastAsia="바탕"/>
                <w:color w:val="000000"/>
              </w:rPr>
            </w:pPr>
          </w:p>
        </w:tc>
        <w:tc>
          <w:tcPr>
            <w:tcW w:w="1275" w:type="dxa"/>
            <w:shd w:val="clear" w:color="auto" w:fill="FFD966" w:themeFill="accent4" w:themeFillTint="99"/>
          </w:tcPr>
          <w:p w14:paraId="249091E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593AE12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No/Yes</w:t>
            </w:r>
          </w:p>
        </w:tc>
        <w:tc>
          <w:tcPr>
            <w:tcW w:w="1985" w:type="dxa"/>
            <w:shd w:val="clear" w:color="auto" w:fill="FFD966" w:themeFill="accent4" w:themeFillTint="99"/>
          </w:tcPr>
          <w:p w14:paraId="42DB730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839" w:type="dxa"/>
            <w:shd w:val="clear" w:color="auto" w:fill="FFD966" w:themeFill="accent4" w:themeFillTint="99"/>
          </w:tcPr>
          <w:p w14:paraId="77D8845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w:t>
            </w:r>
          </w:p>
        </w:tc>
      </w:tr>
    </w:tbl>
    <w:p w14:paraId="48A368AE" w14:textId="2A7A5AD6" w:rsidR="004B61B3" w:rsidRPr="00623EA3" w:rsidRDefault="00AE68A3" w:rsidP="00AE68A3">
      <w:pPr>
        <w:ind w:left="0" w:firstLine="0"/>
        <w:jc w:val="center"/>
        <w:rPr>
          <w:rFonts w:eastAsiaTheme="minorEastAsia"/>
          <w:lang w:eastAsia="ko-KR"/>
        </w:rPr>
      </w:pPr>
      <w:r>
        <w:rPr>
          <w:rFonts w:eastAsiaTheme="minorEastAsia" w:hint="eastAsia"/>
          <w:lang w:eastAsia="ko-KR"/>
        </w:rPr>
        <w:t xml:space="preserve">Table 1. </w:t>
      </w:r>
      <w:r>
        <w:rPr>
          <w:rFonts w:eastAsiaTheme="minorEastAsia"/>
          <w:lang w:eastAsia="ko-KR"/>
        </w:rPr>
        <w:t>Applicable PDSCH time domain resource allocation (Table 5.1.2.1.1-1 in TS38.214)</w:t>
      </w:r>
    </w:p>
    <w:p w14:paraId="3FF3B3ED" w14:textId="1F53CE70" w:rsidR="004B61B3" w:rsidRDefault="00AE68A3" w:rsidP="00B66EE1">
      <w:pPr>
        <w:ind w:left="0" w:firstLine="0"/>
        <w:rPr>
          <w:rFonts w:eastAsiaTheme="minorEastAsia"/>
          <w:lang w:eastAsia="ko-KR"/>
        </w:rPr>
      </w:pPr>
      <w:r>
        <w:rPr>
          <w:rFonts w:eastAsiaTheme="minorEastAsia" w:hint="eastAsia"/>
          <w:lang w:eastAsia="ko-KR"/>
        </w:rPr>
        <w:t>In conclusion, we prop</w:t>
      </w:r>
      <w:r>
        <w:rPr>
          <w:rFonts w:eastAsiaTheme="minorEastAsia"/>
          <w:lang w:eastAsia="ko-KR"/>
        </w:rPr>
        <w:t>ose that the adaptation on the minimum applicable value of K0 does not apply to C-/CS-/MCS-C-RNTI monitored in any search space set associated with any CORESET if default TDRA table is applied.</w:t>
      </w:r>
    </w:p>
    <w:p w14:paraId="6D2364D1" w14:textId="19643260" w:rsidR="00AE68A3" w:rsidRPr="00AE68A3" w:rsidRDefault="00AE68A3" w:rsidP="00B66EE1">
      <w:pPr>
        <w:ind w:left="0" w:firstLine="0"/>
        <w:rPr>
          <w:rFonts w:eastAsiaTheme="minorEastAsia"/>
          <w:b/>
          <w:lang w:eastAsia="ko-KR"/>
        </w:rPr>
      </w:pPr>
      <w:r w:rsidRPr="00AE68A3">
        <w:rPr>
          <w:rFonts w:eastAsiaTheme="minorEastAsia"/>
          <w:b/>
          <w:lang w:eastAsia="ko-KR"/>
        </w:rPr>
        <w:t>Proposal: The adaptation on the minimum applicable value of K0 does not apply to C-/CS-/MCS-C-RNTI monitored in any search space set associated with any CORESET if default TDRA table is applied.</w:t>
      </w:r>
    </w:p>
    <w:p w14:paraId="034A6757" w14:textId="77777777" w:rsidR="004B61B3" w:rsidRDefault="004B61B3" w:rsidP="00B66EE1">
      <w:pPr>
        <w:ind w:left="0" w:firstLine="0"/>
        <w:rPr>
          <w:rFonts w:eastAsiaTheme="minorEastAsia"/>
          <w:lang w:eastAsia="ko-KR"/>
        </w:rPr>
      </w:pP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470ADB04"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w:t>
      </w:r>
      <w:r w:rsidR="00943973">
        <w:rPr>
          <w:rFonts w:eastAsiaTheme="minorEastAsia"/>
          <w:lang w:eastAsia="ko-KR"/>
        </w:rPr>
        <w:t>exceptional cases of minimum applicable K0, and following is proposed</w:t>
      </w:r>
      <w:r w:rsidR="00023DEC">
        <w:rPr>
          <w:rFonts w:eastAsiaTheme="minorEastAsia"/>
          <w:lang w:eastAsia="ko-KR"/>
        </w:rPr>
        <w:t>;</w:t>
      </w:r>
    </w:p>
    <w:p w14:paraId="55534BDD" w14:textId="58F7F0A2" w:rsidR="00364EE2" w:rsidRPr="00EE70B3" w:rsidRDefault="00943973" w:rsidP="00943973">
      <w:pPr>
        <w:ind w:left="0" w:firstLine="0"/>
        <w:rPr>
          <w:rFonts w:eastAsiaTheme="minorEastAsia"/>
          <w:b/>
          <w:lang w:val="en-US" w:eastAsia="ko-KR"/>
        </w:rPr>
      </w:pPr>
      <w:r w:rsidRPr="00AE68A3">
        <w:rPr>
          <w:rFonts w:eastAsiaTheme="minorEastAsia"/>
          <w:b/>
          <w:lang w:eastAsia="ko-KR"/>
        </w:rPr>
        <w:t>Proposal: The adaptation on the minimum applicable value of K0 does not apply to C-/CS-/MCS-C-RNTI monitored in any search space set associated with any CORESET if default TDRA table is applied.</w:t>
      </w:r>
    </w:p>
    <w:sectPr w:rsidR="00364EE2" w:rsidRPr="00EE70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B5843" w14:textId="77777777" w:rsidR="00B62E9E" w:rsidRDefault="00B62E9E" w:rsidP="00CB15B0">
      <w:pPr>
        <w:spacing w:before="0" w:after="0" w:line="240" w:lineRule="auto"/>
      </w:pPr>
      <w:r>
        <w:separator/>
      </w:r>
    </w:p>
  </w:endnote>
  <w:endnote w:type="continuationSeparator" w:id="0">
    <w:p w14:paraId="2EF8FB6B" w14:textId="77777777" w:rsidR="00B62E9E" w:rsidRDefault="00B62E9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DBBF8" w14:textId="77777777" w:rsidR="00B62E9E" w:rsidRDefault="00B62E9E" w:rsidP="00CB15B0">
      <w:pPr>
        <w:spacing w:before="0" w:after="0" w:line="240" w:lineRule="auto"/>
      </w:pPr>
      <w:r>
        <w:separator/>
      </w:r>
    </w:p>
  </w:footnote>
  <w:footnote w:type="continuationSeparator" w:id="0">
    <w:p w14:paraId="770B5BB2" w14:textId="77777777" w:rsidR="00B62E9E" w:rsidRDefault="00B62E9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EF6C28"/>
    <w:multiLevelType w:val="hybridMultilevel"/>
    <w:tmpl w:val="7C183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4277011"/>
    <w:multiLevelType w:val="hybridMultilevel"/>
    <w:tmpl w:val="5F5487BC"/>
    <w:lvl w:ilvl="0" w:tplc="FA38FD5C">
      <w:start w:val="1"/>
      <w:numFmt w:val="bullet"/>
      <w:lvlText w:val="•"/>
      <w:lvlJc w:val="left"/>
      <w:pPr>
        <w:tabs>
          <w:tab w:val="num" w:pos="360"/>
        </w:tabs>
        <w:ind w:left="360" w:hanging="360"/>
      </w:pPr>
      <w:rPr>
        <w:rFonts w:ascii="Arial" w:hAnsi="Arial" w:hint="default"/>
      </w:rPr>
    </w:lvl>
    <w:lvl w:ilvl="1" w:tplc="5C7678B2">
      <w:numFmt w:val="bullet"/>
      <w:lvlText w:val="•"/>
      <w:lvlJc w:val="left"/>
      <w:pPr>
        <w:tabs>
          <w:tab w:val="num" w:pos="1080"/>
        </w:tabs>
        <w:ind w:left="1080" w:hanging="360"/>
      </w:pPr>
      <w:rPr>
        <w:rFonts w:ascii="Arial" w:hAnsi="Arial" w:hint="default"/>
      </w:rPr>
    </w:lvl>
    <w:lvl w:ilvl="2" w:tplc="E9EA5986">
      <w:numFmt w:val="bullet"/>
      <w:lvlText w:val="•"/>
      <w:lvlJc w:val="left"/>
      <w:pPr>
        <w:tabs>
          <w:tab w:val="num" w:pos="1800"/>
        </w:tabs>
        <w:ind w:left="1800" w:hanging="360"/>
      </w:pPr>
      <w:rPr>
        <w:rFonts w:ascii="Arial" w:hAnsi="Arial" w:hint="default"/>
      </w:rPr>
    </w:lvl>
    <w:lvl w:ilvl="3" w:tplc="EFA63648">
      <w:numFmt w:val="bullet"/>
      <w:lvlText w:val="•"/>
      <w:lvlJc w:val="left"/>
      <w:pPr>
        <w:tabs>
          <w:tab w:val="num" w:pos="2520"/>
        </w:tabs>
        <w:ind w:left="2520" w:hanging="360"/>
      </w:pPr>
      <w:rPr>
        <w:rFonts w:ascii="Arial" w:hAnsi="Arial" w:hint="default"/>
      </w:rPr>
    </w:lvl>
    <w:lvl w:ilvl="4" w:tplc="B3FEA9D0" w:tentative="1">
      <w:start w:val="1"/>
      <w:numFmt w:val="bullet"/>
      <w:lvlText w:val="•"/>
      <w:lvlJc w:val="left"/>
      <w:pPr>
        <w:tabs>
          <w:tab w:val="num" w:pos="3240"/>
        </w:tabs>
        <w:ind w:left="3240" w:hanging="360"/>
      </w:pPr>
      <w:rPr>
        <w:rFonts w:ascii="Arial" w:hAnsi="Arial" w:hint="default"/>
      </w:rPr>
    </w:lvl>
    <w:lvl w:ilvl="5" w:tplc="0524ADD4" w:tentative="1">
      <w:start w:val="1"/>
      <w:numFmt w:val="bullet"/>
      <w:lvlText w:val="•"/>
      <w:lvlJc w:val="left"/>
      <w:pPr>
        <w:tabs>
          <w:tab w:val="num" w:pos="3960"/>
        </w:tabs>
        <w:ind w:left="3960" w:hanging="360"/>
      </w:pPr>
      <w:rPr>
        <w:rFonts w:ascii="Arial" w:hAnsi="Arial" w:hint="default"/>
      </w:rPr>
    </w:lvl>
    <w:lvl w:ilvl="6" w:tplc="289E9590" w:tentative="1">
      <w:start w:val="1"/>
      <w:numFmt w:val="bullet"/>
      <w:lvlText w:val="•"/>
      <w:lvlJc w:val="left"/>
      <w:pPr>
        <w:tabs>
          <w:tab w:val="num" w:pos="4680"/>
        </w:tabs>
        <w:ind w:left="4680" w:hanging="360"/>
      </w:pPr>
      <w:rPr>
        <w:rFonts w:ascii="Arial" w:hAnsi="Arial" w:hint="default"/>
      </w:rPr>
    </w:lvl>
    <w:lvl w:ilvl="7" w:tplc="2FC646D4" w:tentative="1">
      <w:start w:val="1"/>
      <w:numFmt w:val="bullet"/>
      <w:lvlText w:val="•"/>
      <w:lvlJc w:val="left"/>
      <w:pPr>
        <w:tabs>
          <w:tab w:val="num" w:pos="5400"/>
        </w:tabs>
        <w:ind w:left="5400" w:hanging="360"/>
      </w:pPr>
      <w:rPr>
        <w:rFonts w:ascii="Arial" w:hAnsi="Arial" w:hint="default"/>
      </w:rPr>
    </w:lvl>
    <w:lvl w:ilvl="8" w:tplc="9DF4098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8" w15:restartNumberingAfterBreak="0">
    <w:nsid w:val="771E1081"/>
    <w:multiLevelType w:val="hybridMultilevel"/>
    <w:tmpl w:val="60644456"/>
    <w:lvl w:ilvl="0" w:tplc="206C139A">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5"/>
  </w:num>
  <w:num w:numId="2">
    <w:abstractNumId w:val="35"/>
  </w:num>
  <w:num w:numId="3">
    <w:abstractNumId w:val="0"/>
  </w:num>
  <w:num w:numId="4">
    <w:abstractNumId w:val="17"/>
  </w:num>
  <w:num w:numId="5">
    <w:abstractNumId w:val="14"/>
  </w:num>
  <w:num w:numId="6">
    <w:abstractNumId w:val="27"/>
  </w:num>
  <w:num w:numId="7">
    <w:abstractNumId w:val="32"/>
  </w:num>
  <w:num w:numId="8">
    <w:abstractNumId w:val="9"/>
  </w:num>
  <w:num w:numId="9">
    <w:abstractNumId w:val="16"/>
  </w:num>
  <w:num w:numId="10">
    <w:abstractNumId w:val="13"/>
  </w:num>
  <w:num w:numId="11">
    <w:abstractNumId w:val="31"/>
  </w:num>
  <w:num w:numId="12">
    <w:abstractNumId w:val="37"/>
  </w:num>
  <w:num w:numId="13">
    <w:abstractNumId w:val="30"/>
  </w:num>
  <w:num w:numId="14">
    <w:abstractNumId w:val="34"/>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15"/>
  </w:num>
  <w:num w:numId="23">
    <w:abstractNumId w:val="39"/>
  </w:num>
  <w:num w:numId="24">
    <w:abstractNumId w:val="7"/>
  </w:num>
  <w:num w:numId="25">
    <w:abstractNumId w:val="12"/>
  </w:num>
  <w:num w:numId="26">
    <w:abstractNumId w:val="1"/>
  </w:num>
  <w:num w:numId="27">
    <w:abstractNumId w:val="33"/>
  </w:num>
  <w:num w:numId="28">
    <w:abstractNumId w:val="28"/>
  </w:num>
  <w:num w:numId="29">
    <w:abstractNumId w:val="20"/>
  </w:num>
  <w:num w:numId="30">
    <w:abstractNumId w:val="10"/>
  </w:num>
  <w:num w:numId="31">
    <w:abstractNumId w:val="3"/>
  </w:num>
  <w:num w:numId="32">
    <w:abstractNumId w:val="18"/>
  </w:num>
  <w:num w:numId="33">
    <w:abstractNumId w:val="6"/>
  </w:num>
  <w:num w:numId="34">
    <w:abstractNumId w:val="36"/>
  </w:num>
  <w:num w:numId="35">
    <w:abstractNumId w:val="4"/>
  </w:num>
  <w:num w:numId="36">
    <w:abstractNumId w:val="25"/>
  </w:num>
  <w:num w:numId="37">
    <w:abstractNumId w:val="21"/>
  </w:num>
  <w:num w:numId="38">
    <w:abstractNumId w:val="5"/>
  </w:num>
  <w:num w:numId="39">
    <w:abstractNumId w:val="11"/>
  </w:num>
  <w:num w:numId="40">
    <w:abstractNumId w:val="22"/>
  </w:num>
  <w:num w:numId="41">
    <w:abstractNumId w:val="19"/>
  </w:num>
  <w:num w:numId="42">
    <w:abstractNumId w:val="24"/>
  </w:num>
  <w:num w:numId="43">
    <w:abstractNumId w:val="2"/>
  </w:num>
  <w:num w:numId="44">
    <w:abstractNumId w:val="29"/>
  </w:num>
  <w:num w:numId="45">
    <w:abstractNumId w:val="26"/>
  </w:num>
  <w:num w:numId="46">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145"/>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6CBAF-6995-4922-834E-BC9C66230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700</Words>
  <Characters>3996</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2020-02-14T06:48:00Z</dcterms:created>
  <dcterms:modified xsi:type="dcterms:W3CDTF">2020-02-14T06:48:00Z</dcterms:modified>
</cp:coreProperties>
</file>