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81D3" w14:textId="77777777" w:rsidR="00766734" w:rsidRPr="00A72054" w:rsidRDefault="00766734" w:rsidP="00766734">
      <w:pPr>
        <w:pStyle w:val="Header"/>
        <w:tabs>
          <w:tab w:val="right" w:pos="9639"/>
        </w:tabs>
        <w:rPr>
          <w:noProof w:val="0"/>
          <w:sz w:val="24"/>
          <w:szCs w:val="24"/>
        </w:rPr>
      </w:pPr>
      <w:bookmarkStart w:id="0" w:name="_Hlk64814480"/>
      <w:bookmarkStart w:id="1" w:name="_Hlk37418177"/>
      <w:bookmarkEnd w:id="0"/>
      <w:r w:rsidRPr="00A72054">
        <w:rPr>
          <w:noProof w:val="0"/>
          <w:sz w:val="24"/>
          <w:szCs w:val="24"/>
        </w:rPr>
        <w:t>3GPP TSG RAN WG1 email discussion</w:t>
      </w:r>
      <w:r>
        <w:rPr>
          <w:noProof w:val="0"/>
          <w:sz w:val="24"/>
          <w:szCs w:val="24"/>
        </w:rPr>
        <w:t xml:space="preserve"> [5G-ACIA]</w:t>
      </w:r>
      <w:r w:rsidRPr="00A72054">
        <w:rPr>
          <w:bCs/>
          <w:noProof w:val="0"/>
          <w:sz w:val="24"/>
          <w:szCs w:val="24"/>
        </w:rPr>
        <w:tab/>
      </w:r>
    </w:p>
    <w:p w14:paraId="67632A55" w14:textId="4967A034" w:rsidR="00766734" w:rsidRPr="00A72054" w:rsidRDefault="00AF4EA2" w:rsidP="00766734">
      <w:pPr>
        <w:pStyle w:val="Header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March</w:t>
      </w:r>
      <w:r w:rsidR="000D0FBA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8</w:t>
      </w:r>
      <w:r w:rsidR="00766734" w:rsidRPr="00A72054">
        <w:rPr>
          <w:bCs/>
          <w:noProof w:val="0"/>
          <w:sz w:val="24"/>
          <w:szCs w:val="24"/>
        </w:rPr>
        <w:t xml:space="preserve"> – </w:t>
      </w:r>
      <w:r>
        <w:rPr>
          <w:bCs/>
          <w:noProof w:val="0"/>
          <w:sz w:val="24"/>
          <w:szCs w:val="24"/>
        </w:rPr>
        <w:t>12</w:t>
      </w:r>
      <w:r w:rsidR="00766734">
        <w:rPr>
          <w:bCs/>
          <w:noProof w:val="0"/>
          <w:sz w:val="24"/>
          <w:szCs w:val="24"/>
        </w:rPr>
        <w:t>,</w:t>
      </w:r>
      <w:r w:rsidR="00766734" w:rsidRPr="00A72054">
        <w:rPr>
          <w:bCs/>
          <w:noProof w:val="0"/>
          <w:sz w:val="24"/>
          <w:szCs w:val="24"/>
        </w:rPr>
        <w:t xml:space="preserve"> 2020</w:t>
      </w:r>
    </w:p>
    <w:bookmarkEnd w:id="1"/>
    <w:p w14:paraId="625BDEEF" w14:textId="716692AC" w:rsidR="00766734" w:rsidRPr="00A72054" w:rsidRDefault="00766734" w:rsidP="00766734">
      <w:pPr>
        <w:pStyle w:val="Header"/>
        <w:rPr>
          <w:bCs/>
          <w:noProof w:val="0"/>
          <w:sz w:val="24"/>
          <w:lang w:val="en-GB" w:eastAsia="ja-JP"/>
        </w:rPr>
      </w:pPr>
    </w:p>
    <w:p w14:paraId="798471C7" w14:textId="7F2A6AE1" w:rsidR="00766734" w:rsidRPr="00A72054" w:rsidRDefault="00766734" w:rsidP="00766734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szCs w:val="24"/>
          <w:lang w:val="en-US"/>
        </w:rPr>
      </w:pPr>
      <w:r w:rsidRPr="00A72054">
        <w:rPr>
          <w:rFonts w:ascii="Arial" w:hAnsi="Arial" w:cs="Arial"/>
          <w:b/>
          <w:bCs/>
          <w:sz w:val="24"/>
          <w:szCs w:val="24"/>
        </w:rPr>
        <w:t>Source:</w:t>
      </w:r>
      <w:r w:rsidRPr="00A72054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Qualcomm</w:t>
      </w:r>
      <w:r w:rsidR="00591925">
        <w:rPr>
          <w:rFonts w:ascii="Arial" w:hAnsi="Arial" w:cs="Arial"/>
          <w:b/>
          <w:bCs/>
          <w:sz w:val="24"/>
          <w:szCs w:val="24"/>
        </w:rPr>
        <w:t xml:space="preserve"> CDMA Technologies</w:t>
      </w:r>
    </w:p>
    <w:p w14:paraId="690DE244" w14:textId="02E8763C" w:rsidR="00766734" w:rsidRPr="00A72054" w:rsidRDefault="00766734" w:rsidP="00766734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A72054">
        <w:rPr>
          <w:rFonts w:ascii="Arial" w:hAnsi="Arial" w:cs="Arial"/>
          <w:b/>
          <w:bCs/>
          <w:sz w:val="24"/>
          <w:szCs w:val="24"/>
        </w:rPr>
        <w:t>Title:</w:t>
      </w:r>
      <w:r w:rsidRPr="00A72054">
        <w:rPr>
          <w:rFonts w:ascii="Arial" w:hAnsi="Arial" w:cs="Arial"/>
          <w:b/>
          <w:bCs/>
          <w:sz w:val="24"/>
        </w:rPr>
        <w:tab/>
      </w:r>
      <w:r w:rsidR="00EA217D" w:rsidRPr="00AC2CDC">
        <w:rPr>
          <w:rFonts w:ascii="Arial" w:hAnsi="Arial" w:cs="Arial"/>
          <w:b/>
          <w:bCs/>
          <w:sz w:val="24"/>
        </w:rPr>
        <w:t xml:space="preserve">FR1 </w:t>
      </w:r>
      <w:r w:rsidR="006B4DB8" w:rsidRPr="00AC2CDC">
        <w:rPr>
          <w:rFonts w:ascii="Arial" w:hAnsi="Arial" w:cs="Arial"/>
          <w:b/>
          <w:bCs/>
          <w:sz w:val="24"/>
        </w:rPr>
        <w:t>simulation results</w:t>
      </w:r>
      <w:r w:rsidRPr="00AC2CDC">
        <w:rPr>
          <w:rFonts w:ascii="Arial" w:hAnsi="Arial" w:cs="Arial"/>
          <w:b/>
          <w:bCs/>
          <w:sz w:val="24"/>
        </w:rPr>
        <w:t xml:space="preserve"> for 5G</w:t>
      </w:r>
      <w:r w:rsidR="00F345EF">
        <w:rPr>
          <w:rFonts w:ascii="Arial" w:hAnsi="Arial" w:cs="Arial"/>
          <w:b/>
          <w:bCs/>
          <w:sz w:val="24"/>
        </w:rPr>
        <w:t>-</w:t>
      </w:r>
      <w:r w:rsidRPr="00AC2CDC">
        <w:rPr>
          <w:rFonts w:ascii="Arial" w:hAnsi="Arial" w:cs="Arial"/>
          <w:b/>
          <w:bCs/>
          <w:sz w:val="24"/>
        </w:rPr>
        <w:t>ACIA</w:t>
      </w:r>
      <w:r w:rsidRPr="00A72054">
        <w:rPr>
          <w:rFonts w:ascii="Arial" w:hAnsi="Arial" w:cs="Arial"/>
          <w:b/>
          <w:bCs/>
          <w:sz w:val="24"/>
        </w:rPr>
        <w:t xml:space="preserve"> </w:t>
      </w:r>
      <w:r w:rsidR="00F345EF">
        <w:rPr>
          <w:rFonts w:ascii="Arial" w:hAnsi="Arial" w:cs="Arial"/>
          <w:b/>
          <w:bCs/>
          <w:sz w:val="24"/>
        </w:rPr>
        <w:t>performance evaluation</w:t>
      </w:r>
      <w:r w:rsidRPr="00A72054">
        <w:rPr>
          <w:rFonts w:ascii="Arial" w:hAnsi="Arial" w:cs="Arial"/>
          <w:b/>
          <w:bCs/>
          <w:sz w:val="24"/>
        </w:rPr>
        <w:t xml:space="preserve"> </w:t>
      </w:r>
    </w:p>
    <w:p w14:paraId="54AE3806" w14:textId="7E034ADE" w:rsidR="00766734" w:rsidRPr="0016316A" w:rsidRDefault="00766734" w:rsidP="00766734">
      <w:pPr>
        <w:rPr>
          <w:rFonts w:ascii="Arial" w:hAnsi="Arial" w:cs="Arial"/>
          <w:b/>
          <w:bCs/>
          <w:sz w:val="24"/>
          <w:szCs w:val="24"/>
        </w:rPr>
      </w:pPr>
      <w:r w:rsidRPr="00A72054">
        <w:rPr>
          <w:rFonts w:ascii="Arial" w:hAnsi="Arial" w:cs="Arial"/>
          <w:b/>
          <w:bCs/>
          <w:sz w:val="24"/>
          <w:szCs w:val="24"/>
        </w:rPr>
        <w:t>Document for:</w:t>
      </w:r>
      <w:r w:rsidR="00033D57">
        <w:rPr>
          <w:rFonts w:ascii="Arial" w:hAnsi="Arial" w:cs="Arial"/>
          <w:b/>
          <w:bCs/>
          <w:sz w:val="24"/>
        </w:rPr>
        <w:t xml:space="preserve">     </w:t>
      </w:r>
      <w:r w:rsidR="00AD2541">
        <w:rPr>
          <w:rFonts w:ascii="Arial" w:hAnsi="Arial" w:cs="Arial"/>
          <w:b/>
          <w:bCs/>
          <w:sz w:val="24"/>
          <w:szCs w:val="24"/>
        </w:rPr>
        <w:t>Description of</w:t>
      </w:r>
      <w:r w:rsidR="00CE25CC">
        <w:rPr>
          <w:rFonts w:ascii="Arial" w:hAnsi="Arial" w:cs="Arial"/>
          <w:b/>
          <w:bCs/>
          <w:sz w:val="24"/>
          <w:szCs w:val="24"/>
        </w:rPr>
        <w:t xml:space="preserve"> simulation methodology and results</w:t>
      </w:r>
    </w:p>
    <w:p w14:paraId="3AA8188B" w14:textId="77777777" w:rsidR="00766734" w:rsidRPr="00ED1327" w:rsidRDefault="00766734" w:rsidP="00766734">
      <w:pPr>
        <w:pStyle w:val="Heading1"/>
      </w:pPr>
      <w:r w:rsidRPr="0016316A">
        <w:t>Introduction</w:t>
      </w:r>
    </w:p>
    <w:p w14:paraId="0986300F" w14:textId="239BF51B" w:rsidR="00766734" w:rsidRDefault="00950752" w:rsidP="00766734">
      <w:pPr>
        <w:rPr>
          <w:lang w:val="en-US"/>
        </w:rPr>
      </w:pPr>
      <w:r>
        <w:rPr>
          <w:lang w:val="en-US"/>
        </w:rPr>
        <w:t>In</w:t>
      </w:r>
      <w:r w:rsidR="00C93E4D">
        <w:rPr>
          <w:lang w:val="en-US"/>
        </w:rPr>
        <w:t xml:space="preserve"> response to </w:t>
      </w:r>
      <w:r w:rsidR="0048323B">
        <w:rPr>
          <w:lang w:val="en-US"/>
        </w:rPr>
        <w:t>the following schedule</w:t>
      </w:r>
      <w:r w:rsidR="004F0A67">
        <w:rPr>
          <w:lang w:val="en-US"/>
        </w:rPr>
        <w:t xml:space="preserve"> set by the moderator (Ericsson)</w:t>
      </w:r>
      <w:r w:rsidR="0048323B">
        <w:rPr>
          <w:lang w:val="en-US"/>
        </w:rPr>
        <w:t xml:space="preserve"> in the RAN1_NR reflector</w:t>
      </w:r>
      <w:r w:rsidR="00766734">
        <w:rPr>
          <w:lang w:val="en-US"/>
        </w:rPr>
        <w:t xml:space="preserve">, we </w:t>
      </w:r>
      <w:r w:rsidR="0089195F">
        <w:rPr>
          <w:lang w:val="en-US"/>
        </w:rPr>
        <w:t xml:space="preserve">describe </w:t>
      </w:r>
      <w:r w:rsidR="00ED083D">
        <w:rPr>
          <w:lang w:val="en-US"/>
        </w:rPr>
        <w:t>in Section 2</w:t>
      </w:r>
      <w:r w:rsidR="00766734">
        <w:rPr>
          <w:lang w:val="en-US"/>
        </w:rPr>
        <w:t xml:space="preserve"> </w:t>
      </w:r>
      <w:r w:rsidR="00850201">
        <w:rPr>
          <w:lang w:val="en-US"/>
        </w:rPr>
        <w:t xml:space="preserve">our simulation methodology </w:t>
      </w:r>
      <w:r w:rsidR="00766734">
        <w:rPr>
          <w:lang w:val="en-US"/>
        </w:rPr>
        <w:t xml:space="preserve">for factory automation under the framework </w:t>
      </w:r>
      <w:r w:rsidR="001619BE">
        <w:rPr>
          <w:lang w:val="en-US"/>
        </w:rPr>
        <w:t>outlined in [1]</w:t>
      </w:r>
      <w:r w:rsidR="00040E53">
        <w:rPr>
          <w:lang w:val="en-US"/>
        </w:rPr>
        <w:t>[2]</w:t>
      </w:r>
      <w:r w:rsidR="00194CB1">
        <w:rPr>
          <w:lang w:val="en-US"/>
        </w:rPr>
        <w:t>[3]</w:t>
      </w:r>
      <w:r w:rsidR="00766734">
        <w:rPr>
          <w:lang w:val="en-US"/>
        </w:rPr>
        <w:t xml:space="preserve"> and</w:t>
      </w:r>
      <w:r w:rsidR="00ED083D">
        <w:rPr>
          <w:lang w:val="en-US"/>
        </w:rPr>
        <w:t xml:space="preserve"> </w:t>
      </w:r>
      <w:r w:rsidR="0089195F">
        <w:rPr>
          <w:lang w:val="en-US"/>
        </w:rPr>
        <w:t xml:space="preserve">present </w:t>
      </w:r>
      <w:r w:rsidR="00ED083D">
        <w:rPr>
          <w:lang w:val="en-US"/>
        </w:rPr>
        <w:t>in Section 3</w:t>
      </w:r>
      <w:r w:rsidR="00766734">
        <w:rPr>
          <w:lang w:val="en-US"/>
        </w:rPr>
        <w:t xml:space="preserve"> </w:t>
      </w:r>
      <w:r w:rsidR="0089195F">
        <w:rPr>
          <w:lang w:val="en-US"/>
        </w:rPr>
        <w:t>the corresponding simulation results</w:t>
      </w:r>
      <w:r w:rsidR="00202893">
        <w:rPr>
          <w:lang w:val="en-US"/>
        </w:rPr>
        <w:t xml:space="preserve"> for FR1</w:t>
      </w:r>
      <w:r w:rsidR="00964174">
        <w:rPr>
          <w:lang w:val="en-US"/>
        </w:rPr>
        <w:t>.</w:t>
      </w:r>
    </w:p>
    <w:p w14:paraId="2C73068A" w14:textId="77777777" w:rsidR="00D93DC8" w:rsidRPr="006B4DB8" w:rsidRDefault="00D93DC8" w:rsidP="00D93DC8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6B4DB8">
        <w:rPr>
          <w:rFonts w:eastAsia="Times New Roman"/>
        </w:rPr>
        <w:t>12-16 October 2020</w:t>
      </w:r>
    </w:p>
    <w:p w14:paraId="53CEBA18" w14:textId="77777777" w:rsidR="00D93DC8" w:rsidRPr="006B4DB8" w:rsidRDefault="00D93DC8" w:rsidP="00D93DC8">
      <w:pPr>
        <w:widowControl w:val="0"/>
        <w:numPr>
          <w:ilvl w:val="1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6B4DB8">
        <w:rPr>
          <w:rFonts w:eastAsia="Times New Roman"/>
        </w:rPr>
        <w:t>Discussion on which URLLC features to include in the evaluations and simulation assumptions</w:t>
      </w:r>
    </w:p>
    <w:p w14:paraId="3CC5FC04" w14:textId="77777777" w:rsidR="00D93DC8" w:rsidRPr="00040E53" w:rsidRDefault="00D93DC8" w:rsidP="00D93DC8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040E53">
        <w:rPr>
          <w:rFonts w:eastAsia="Times New Roman"/>
        </w:rPr>
        <w:t>14-18 December 2020</w:t>
      </w:r>
    </w:p>
    <w:p w14:paraId="1262025E" w14:textId="77777777" w:rsidR="00D93DC8" w:rsidRPr="00040E53" w:rsidRDefault="00D93DC8" w:rsidP="00D93DC8">
      <w:pPr>
        <w:widowControl w:val="0"/>
        <w:numPr>
          <w:ilvl w:val="1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040E53">
        <w:rPr>
          <w:rFonts w:eastAsia="Times New Roman"/>
        </w:rPr>
        <w:t>First round of simulation results</w:t>
      </w:r>
    </w:p>
    <w:p w14:paraId="55018C9D" w14:textId="77777777" w:rsidR="00D93DC8" w:rsidRPr="0003393B" w:rsidRDefault="00D93DC8" w:rsidP="00D93DC8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03393B">
        <w:rPr>
          <w:rFonts w:eastAsia="Times New Roman"/>
        </w:rPr>
        <w:t>22-26 February 2021</w:t>
      </w:r>
    </w:p>
    <w:p w14:paraId="377C5347" w14:textId="25A2E35A" w:rsidR="00D93DC8" w:rsidRPr="0003393B" w:rsidRDefault="00D93DC8" w:rsidP="00D93DC8">
      <w:pPr>
        <w:widowControl w:val="0"/>
        <w:numPr>
          <w:ilvl w:val="1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03393B">
        <w:rPr>
          <w:rFonts w:eastAsia="Times New Roman"/>
        </w:rPr>
        <w:t>Second round of simulation results</w:t>
      </w:r>
    </w:p>
    <w:p w14:paraId="3793A861" w14:textId="77777777" w:rsidR="00D93DC8" w:rsidRPr="00AC2CDC" w:rsidRDefault="00D93DC8" w:rsidP="00D93DC8">
      <w:pPr>
        <w:widowControl w:val="0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AC2CDC">
        <w:rPr>
          <w:rFonts w:eastAsia="Times New Roman"/>
        </w:rPr>
        <w:t>8-12 March 2021</w:t>
      </w:r>
    </w:p>
    <w:p w14:paraId="36AF660F" w14:textId="77777777" w:rsidR="00D93DC8" w:rsidRPr="00AC2CDC" w:rsidRDefault="00D93DC8" w:rsidP="00D93DC8">
      <w:pPr>
        <w:widowControl w:val="0"/>
        <w:numPr>
          <w:ilvl w:val="1"/>
          <w:numId w:val="2"/>
        </w:numPr>
        <w:overflowPunct/>
        <w:autoSpaceDE/>
        <w:autoSpaceDN/>
        <w:adjustRightInd/>
        <w:spacing w:after="0"/>
        <w:textAlignment w:val="auto"/>
        <w:rPr>
          <w:rFonts w:eastAsia="Times New Roman"/>
        </w:rPr>
      </w:pPr>
      <w:r w:rsidRPr="00AC2CDC">
        <w:rPr>
          <w:rFonts w:eastAsia="Times New Roman"/>
        </w:rPr>
        <w:t>Finalization of the report to RAN#91</w:t>
      </w:r>
    </w:p>
    <w:p w14:paraId="33695445" w14:textId="77777777" w:rsidR="00D93DC8" w:rsidRDefault="00D93DC8" w:rsidP="00766734">
      <w:pPr>
        <w:rPr>
          <w:lang w:val="en-US"/>
        </w:rPr>
      </w:pPr>
    </w:p>
    <w:p w14:paraId="79299920" w14:textId="169FF46C" w:rsidR="00766734" w:rsidRDefault="008E7FD2" w:rsidP="00766734">
      <w:pPr>
        <w:pStyle w:val="Heading1"/>
      </w:pPr>
      <w:r>
        <w:t xml:space="preserve">Simulation </w:t>
      </w:r>
      <w:r w:rsidR="00E5236D">
        <w:t>Assumptions</w:t>
      </w:r>
    </w:p>
    <w:p w14:paraId="6CAE2409" w14:textId="36B8D27E" w:rsidR="00F85CC2" w:rsidRPr="00950752" w:rsidRDefault="00950752" w:rsidP="00950752">
      <w:pPr>
        <w:rPr>
          <w:rStyle w:val="Strong"/>
          <w:b w:val="0"/>
        </w:rPr>
      </w:pPr>
      <w:r>
        <w:t>The simulation parameters for FR1 are summarized as follows:</w:t>
      </w:r>
    </w:p>
    <w:tbl>
      <w:tblPr>
        <w:tblpPr w:leftFromText="180" w:rightFromText="180" w:vertAnchor="text" w:horzAnchor="page" w:tblpX="1215" w:tblpY="70"/>
        <w:tblW w:w="9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5940"/>
      </w:tblGrid>
      <w:tr w:rsidR="00950752" w:rsidRPr="00950752" w14:paraId="51157C06" w14:textId="77777777" w:rsidTr="00950752">
        <w:trPr>
          <w:trHeight w:val="301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0AE6062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Parameters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CB46F10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5G-ACIA</w:t>
            </w:r>
          </w:p>
        </w:tc>
      </w:tr>
      <w:tr w:rsidR="00950752" w:rsidRPr="00950752" w14:paraId="15C9F3A1" w14:textId="77777777" w:rsidTr="00950752">
        <w:trPr>
          <w:trHeight w:val="312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043C966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Factory hall size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3921205" w14:textId="490A499A" w:rsidR="00950752" w:rsidRPr="00950752" w:rsidRDefault="00950752" w:rsidP="00950752">
            <w:pPr>
              <w:rPr>
                <w:lang w:val="en-US"/>
              </w:rPr>
            </w:pPr>
            <w:r w:rsidRPr="00950752">
              <w:t>120</w:t>
            </w:r>
            <w:r w:rsidR="0086639A">
              <w:t xml:space="preserve"> </w:t>
            </w:r>
            <w:r w:rsidRPr="00950752">
              <w:t>x</w:t>
            </w:r>
            <w:r w:rsidR="0086639A">
              <w:t xml:space="preserve"> </w:t>
            </w:r>
            <w:r w:rsidRPr="00950752">
              <w:t>50 m</w:t>
            </w:r>
          </w:p>
        </w:tc>
      </w:tr>
      <w:tr w:rsidR="00950752" w:rsidRPr="00950752" w14:paraId="305E5BE9" w14:textId="77777777" w:rsidTr="00950752">
        <w:trPr>
          <w:trHeight w:val="29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F942899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Room height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1E66FDD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10 m</w:t>
            </w:r>
          </w:p>
        </w:tc>
      </w:tr>
      <w:tr w:rsidR="00950752" w:rsidRPr="00950752" w14:paraId="2F224A89" w14:textId="77777777" w:rsidTr="00950752">
        <w:trPr>
          <w:trHeight w:val="265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EF8BF67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Inter-BS/TRP distance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7D3B061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20 m</w:t>
            </w:r>
          </w:p>
        </w:tc>
      </w:tr>
      <w:tr w:rsidR="00950752" w:rsidRPr="00950752" w14:paraId="0440C3E1" w14:textId="77777777" w:rsidTr="00950752">
        <w:trPr>
          <w:trHeight w:val="26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19246AE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BS / UE antenna height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3AE640A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8 m / 1.5 m</w:t>
            </w:r>
          </w:p>
        </w:tc>
      </w:tr>
      <w:tr w:rsidR="00950752" w:rsidRPr="00950752" w14:paraId="5060A75F" w14:textId="77777777" w:rsidTr="00950752">
        <w:trPr>
          <w:trHeight w:val="30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3A7461C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Layout – BS/TRP deployment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33982EE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12 BS</w:t>
            </w:r>
          </w:p>
        </w:tc>
      </w:tr>
      <w:tr w:rsidR="00950752" w:rsidRPr="00950752" w14:paraId="046EB55C" w14:textId="77777777" w:rsidTr="00950752">
        <w:trPr>
          <w:trHeight w:val="291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701C939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Channel model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A9154CB" w14:textId="77777777" w:rsidR="00950752" w:rsidRPr="00950752" w:rsidRDefault="00950752" w:rsidP="00950752">
            <w:pPr>
              <w:rPr>
                <w:lang w:val="en-US"/>
              </w:rPr>
            </w:pPr>
            <w:proofErr w:type="spellStart"/>
            <w:r w:rsidRPr="00950752">
              <w:t>InF</w:t>
            </w:r>
            <w:proofErr w:type="spellEnd"/>
            <w:r w:rsidRPr="00950752">
              <w:t>-DH</w:t>
            </w:r>
          </w:p>
        </w:tc>
      </w:tr>
      <w:tr w:rsidR="00950752" w:rsidRPr="00950752" w14:paraId="2DF9C4C9" w14:textId="77777777" w:rsidTr="00950752">
        <w:trPr>
          <w:trHeight w:val="289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6303415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Carrier frequency and simulation bandwidth for TDD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24AE32C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100 MHz for 4 GHz</w:t>
            </w:r>
          </w:p>
        </w:tc>
      </w:tr>
      <w:tr w:rsidR="00950752" w:rsidRPr="00950752" w14:paraId="1179EE32" w14:textId="77777777" w:rsidTr="00950752">
        <w:trPr>
          <w:trHeight w:val="315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1FF1687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SCS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102C23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30 kHz</w:t>
            </w:r>
          </w:p>
        </w:tc>
      </w:tr>
      <w:tr w:rsidR="00950752" w:rsidRPr="00950752" w14:paraId="0E082A8F" w14:textId="77777777" w:rsidTr="00950752">
        <w:trPr>
          <w:trHeight w:val="26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DB39F7A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Number of UEs per service area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EF9BE59" w14:textId="44DBE699" w:rsidR="00950752" w:rsidRPr="00950752" w:rsidRDefault="00ED1F19" w:rsidP="0095075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6639A">
              <w:rPr>
                <w:lang w:val="en-US"/>
              </w:rPr>
              <w:t xml:space="preserve">, 12, </w:t>
            </w:r>
            <w:r w:rsidR="001C049E">
              <w:rPr>
                <w:lang w:val="en-US"/>
              </w:rPr>
              <w:t xml:space="preserve">15, </w:t>
            </w:r>
            <w:r w:rsidR="00865FE3">
              <w:rPr>
                <w:lang w:val="en-US"/>
              </w:rPr>
              <w:t>18, 20</w:t>
            </w:r>
          </w:p>
        </w:tc>
      </w:tr>
      <w:tr w:rsidR="00950752" w:rsidRPr="00950752" w14:paraId="3DB81B08" w14:textId="77777777" w:rsidTr="00950752">
        <w:trPr>
          <w:trHeight w:val="282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A557BB3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lastRenderedPageBreak/>
              <w:t xml:space="preserve">UE distribution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C77745E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Randomly distributed within the respective service area.</w:t>
            </w:r>
          </w:p>
        </w:tc>
      </w:tr>
      <w:tr w:rsidR="00950752" w:rsidRPr="00950752" w14:paraId="5436247E" w14:textId="77777777" w:rsidTr="00950752">
        <w:trPr>
          <w:trHeight w:val="264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AF1D680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Message size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ABEC91D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48 bytes</w:t>
            </w:r>
          </w:p>
        </w:tc>
      </w:tr>
      <w:tr w:rsidR="00950752" w:rsidRPr="00950752" w14:paraId="3B805D61" w14:textId="77777777" w:rsidTr="00950752">
        <w:trPr>
          <w:trHeight w:val="29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C22D023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DL traffic model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E97AACE" w14:textId="3FB3F04F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 xml:space="preserve">Periodic with random offset; periodicity = </w:t>
            </w:r>
            <w:r w:rsidR="00275FE0">
              <w:rPr>
                <w:lang w:val="en-US"/>
              </w:rPr>
              <w:t>1</w:t>
            </w:r>
            <w:r w:rsidRPr="00950752">
              <w:rPr>
                <w:lang w:val="en-US"/>
              </w:rPr>
              <w:t xml:space="preserve"> </w:t>
            </w:r>
            <w:proofErr w:type="spellStart"/>
            <w:r w:rsidRPr="00950752">
              <w:rPr>
                <w:lang w:val="en-US"/>
              </w:rPr>
              <w:t>ms</w:t>
            </w:r>
            <w:proofErr w:type="spellEnd"/>
          </w:p>
        </w:tc>
      </w:tr>
      <w:tr w:rsidR="00950752" w:rsidRPr="00950752" w14:paraId="0E8F49B3" w14:textId="77777777" w:rsidTr="00950752">
        <w:trPr>
          <w:trHeight w:val="326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68B2316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UL traffic model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2CDDC74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UL traffic is symmetric to DL traffic</w:t>
            </w:r>
          </w:p>
        </w:tc>
      </w:tr>
      <w:tr w:rsidR="00950752" w:rsidRPr="00950752" w14:paraId="7A3B16BF" w14:textId="77777777" w:rsidTr="00950752">
        <w:trPr>
          <w:trHeight w:val="29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A0B1FA9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 xml:space="preserve">CSA requirements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7CA62C0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99.9999%</w:t>
            </w:r>
          </w:p>
        </w:tc>
      </w:tr>
      <w:tr w:rsidR="00950752" w:rsidRPr="00950752" w14:paraId="0C2D8523" w14:textId="77777777" w:rsidTr="00950752">
        <w:trPr>
          <w:trHeight w:val="525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7E483AA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Performance metrics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49BE85A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1) CSA: single CDF of CSA distribution of all UEs in factory hall</w:t>
            </w:r>
            <w:r w:rsidRPr="00950752">
              <w:rPr>
                <w:lang w:val="en-US"/>
              </w:rPr>
              <w:br/>
              <w:t>2) Latency: single CDF of latency distribution of all UEs in factory hall</w:t>
            </w:r>
          </w:p>
        </w:tc>
      </w:tr>
      <w:tr w:rsidR="00950752" w:rsidRPr="00950752" w14:paraId="6FC92789" w14:textId="77777777" w:rsidTr="00950752">
        <w:trPr>
          <w:trHeight w:val="31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9594B48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E2E latency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1A9F282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 xml:space="preserve">E2E latency: 1 </w:t>
            </w:r>
            <w:proofErr w:type="spellStart"/>
            <w:r w:rsidRPr="00950752">
              <w:rPr>
                <w:lang w:val="en-US"/>
              </w:rPr>
              <w:t>ms</w:t>
            </w:r>
            <w:proofErr w:type="spellEnd"/>
          </w:p>
        </w:tc>
      </w:tr>
      <w:tr w:rsidR="00950752" w:rsidRPr="00950752" w14:paraId="7B840B58" w14:textId="77777777" w:rsidTr="00950752">
        <w:trPr>
          <w:trHeight w:val="345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2FEA976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UE speed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EB7C817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rPr>
                <w:lang w:val="en-US"/>
              </w:rPr>
              <w:t>Linear movement of 75 km/h</w:t>
            </w:r>
          </w:p>
        </w:tc>
      </w:tr>
      <w:tr w:rsidR="00950752" w:rsidRPr="00950752" w14:paraId="6EDDBF1A" w14:textId="77777777" w:rsidTr="00950752">
        <w:trPr>
          <w:trHeight w:val="32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3B42BE1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BS Tx power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04026D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31 dBm (24 dBm per 20 MHz)</w:t>
            </w:r>
          </w:p>
        </w:tc>
      </w:tr>
      <w:tr w:rsidR="00950752" w:rsidRPr="00950752" w14:paraId="4237C086" w14:textId="77777777" w:rsidTr="00950752">
        <w:trPr>
          <w:trHeight w:val="32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BF9286E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UE Tx power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090E897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23 dBm</w:t>
            </w:r>
          </w:p>
        </w:tc>
      </w:tr>
      <w:tr w:rsidR="00950752" w:rsidRPr="00950752" w14:paraId="22700333" w14:textId="77777777" w:rsidTr="00950752">
        <w:trPr>
          <w:trHeight w:val="29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E19C15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BS / UE receiver noise figure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D2DD5CE" w14:textId="77777777" w:rsidR="00950752" w:rsidRPr="00950752" w:rsidRDefault="00950752" w:rsidP="00950752">
            <w:pPr>
              <w:rPr>
                <w:lang w:val="en-US"/>
              </w:rPr>
            </w:pPr>
            <w:r w:rsidRPr="00950752">
              <w:t>5 dB / 9 dB</w:t>
            </w:r>
          </w:p>
        </w:tc>
      </w:tr>
    </w:tbl>
    <w:p w14:paraId="3F6E8679" w14:textId="156F8E42" w:rsidR="00950752" w:rsidRDefault="00950752" w:rsidP="00950752">
      <w:pPr>
        <w:pStyle w:val="Heading2"/>
      </w:pPr>
      <w:r>
        <w:t>Deployment Model</w:t>
      </w:r>
    </w:p>
    <w:p w14:paraId="73B14055" w14:textId="54E963BE" w:rsidR="00950752" w:rsidRPr="00950752" w:rsidRDefault="00950752" w:rsidP="00950752">
      <w:r>
        <w:t xml:space="preserve">The following deployment model is used with a factory hall layout of 120m x 50m x 10m with the </w:t>
      </w:r>
      <w:r w:rsidR="00893318">
        <w:t>BS</w:t>
      </w:r>
      <w:r>
        <w:t xml:space="preserve"> locations as shown below. UEs are randomly distributed within the respective service areas, as defined in [1].</w:t>
      </w:r>
    </w:p>
    <w:p w14:paraId="4BC646DA" w14:textId="77777777" w:rsidR="004740F2" w:rsidRDefault="00950752" w:rsidP="004740F2">
      <w:pPr>
        <w:keepNext/>
        <w:jc w:val="center"/>
      </w:pPr>
      <w:r>
        <w:rPr>
          <w:noProof/>
        </w:rPr>
        <w:drawing>
          <wp:inline distT="0" distB="0" distL="0" distR="0" wp14:anchorId="70EDBA7C" wp14:editId="7A6A2695">
            <wp:extent cx="3639820" cy="1767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E656" w14:textId="77437978" w:rsidR="00E52DD0" w:rsidRDefault="004740F2" w:rsidP="004740F2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1</w:t>
      </w:r>
      <w:r>
        <w:fldChar w:fldCharType="end"/>
      </w:r>
      <w:r w:rsidR="0086613C">
        <w:t xml:space="preserve">: Factory hall layout using the </w:t>
      </w:r>
      <w:proofErr w:type="spellStart"/>
      <w:r w:rsidR="0086613C">
        <w:t>InF</w:t>
      </w:r>
      <w:proofErr w:type="spellEnd"/>
      <w:r w:rsidR="0086613C">
        <w:t xml:space="preserve">-DH model with 12 </w:t>
      </w:r>
      <w:r w:rsidR="00893318">
        <w:t>BS</w:t>
      </w:r>
    </w:p>
    <w:p w14:paraId="3ADCD99A" w14:textId="595561A9" w:rsidR="00950752" w:rsidRDefault="00950752" w:rsidP="00950752">
      <w:pPr>
        <w:pStyle w:val="Heading2"/>
      </w:pPr>
      <w:r>
        <w:t>Antenna pattern</w:t>
      </w:r>
    </w:p>
    <w:p w14:paraId="70CA8C08" w14:textId="1BE53446" w:rsidR="00202893" w:rsidRDefault="003B6FDD" w:rsidP="003E537A">
      <w:r>
        <w:t>The following antenna pattern</w:t>
      </w:r>
      <w:r w:rsidR="007C10D9">
        <w:t>s</w:t>
      </w:r>
      <w:r>
        <w:t xml:space="preserve"> </w:t>
      </w:r>
      <w:r w:rsidR="007C10D9">
        <w:t>are</w:t>
      </w:r>
      <w:r>
        <w:t xml:space="preserve"> used:</w:t>
      </w:r>
    </w:p>
    <w:p w14:paraId="73B48021" w14:textId="3A8DCCD5" w:rsidR="00C75737" w:rsidRPr="00C75737" w:rsidRDefault="00C75737" w:rsidP="00C75737">
      <w:pPr>
        <w:pStyle w:val="ListParagraph"/>
        <w:numPr>
          <w:ilvl w:val="0"/>
          <w:numId w:val="15"/>
        </w:numPr>
        <w:spacing w:line="288" w:lineRule="auto"/>
        <w:jc w:val="left"/>
        <w:rPr>
          <w:rFonts w:eastAsia="Times New Roman"/>
          <w:sz w:val="20"/>
          <w:szCs w:val="10"/>
        </w:rPr>
      </w:pPr>
      <w:r w:rsidRPr="00C7573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UE: 4 antennas; isotropic</w:t>
      </w:r>
    </w:p>
    <w:p w14:paraId="6EA4630D" w14:textId="220BA021" w:rsidR="00C75737" w:rsidRPr="00C75737" w:rsidRDefault="00893318" w:rsidP="00C75737">
      <w:pPr>
        <w:pStyle w:val="ListParagraph"/>
        <w:numPr>
          <w:ilvl w:val="0"/>
          <w:numId w:val="15"/>
        </w:numPr>
        <w:spacing w:line="288" w:lineRule="auto"/>
        <w:jc w:val="left"/>
        <w:rPr>
          <w:rFonts w:eastAsia="Times New Roman"/>
          <w:sz w:val="20"/>
          <w:szCs w:val="10"/>
        </w:rPr>
      </w:pPr>
      <w:r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BS</w:t>
      </w:r>
      <w:r w:rsidR="00C75737" w:rsidRPr="00C7573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: 4 antennas; non-isotropic according to the </w:t>
      </w:r>
      <w:r w:rsidR="00380C9F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T</w:t>
      </w:r>
      <w:r w:rsidR="00C75737" w:rsidRPr="00C7573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able</w:t>
      </w:r>
      <w:r w:rsidR="00380C9F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 </w:t>
      </w:r>
      <w:r w:rsidR="00113E91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10</w:t>
      </w:r>
      <w:r w:rsidR="00EC245F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 in </w:t>
      </w:r>
      <w:r w:rsidR="00113E91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[</w:t>
      </w:r>
      <w:r w:rsidR="00A23499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4</w:t>
      </w:r>
      <w:r w:rsidR="00113E91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]</w:t>
      </w:r>
      <w:r w:rsidR="00F7536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 </w:t>
      </w:r>
      <w:r w:rsidR="00380C9F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with </w:t>
      </w:r>
      <w:r w:rsidR="00C75737" w:rsidRPr="00C7573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>mechanical downtilt = 90</w:t>
      </w:r>
      <w:r w:rsidR="00380C9F">
        <w:rPr>
          <w:rFonts w:ascii="Microsoft Sans Serif" w:eastAsia="+mn-ea" w:hAnsi="Microsoft Sans Serif" w:cs="+mn-cs"/>
          <w:color w:val="000000"/>
          <w:kern w:val="24"/>
          <w:sz w:val="20"/>
          <w:szCs w:val="30"/>
          <w:vertAlign w:val="superscript"/>
        </w:rPr>
        <w:t xml:space="preserve"> 0</w:t>
      </w:r>
      <w:r w:rsidR="00C75737" w:rsidRPr="00C75737">
        <w:rPr>
          <w:rFonts w:ascii="Microsoft Sans Serif" w:eastAsia="+mn-ea" w:hAnsi="Microsoft Sans Serif" w:cs="+mn-cs"/>
          <w:color w:val="000000"/>
          <w:kern w:val="24"/>
          <w:sz w:val="20"/>
          <w:szCs w:val="30"/>
        </w:rPr>
        <w:t xml:space="preserve">  </w:t>
      </w:r>
    </w:p>
    <w:p w14:paraId="5F7AFC10" w14:textId="3B5BF6E2" w:rsidR="005966FF" w:rsidRPr="00F85CC2" w:rsidRDefault="0087189C" w:rsidP="0095075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21B1E8E" wp14:editId="6ED90E48">
            <wp:extent cx="5943600" cy="2668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ADC79" w14:textId="0E938D80" w:rsidR="00622596" w:rsidRDefault="00E5236D" w:rsidP="004740F2">
      <w:pPr>
        <w:pStyle w:val="Heading1"/>
      </w:pPr>
      <w:r>
        <w:t>Simulation Methodology</w:t>
      </w:r>
    </w:p>
    <w:p w14:paraId="0584C860" w14:textId="72B000EF" w:rsidR="00816C41" w:rsidRDefault="00B84981" w:rsidP="00BC5406">
      <w:r>
        <w:t xml:space="preserve">We </w:t>
      </w:r>
      <w:r w:rsidR="005F5360">
        <w:t>consider two approaches for this study:</w:t>
      </w:r>
      <w:r w:rsidR="000F71EB">
        <w:t xml:space="preserve"> (</w:t>
      </w:r>
      <w:proofErr w:type="spellStart"/>
      <w:r w:rsidR="000F71EB">
        <w:t>i</w:t>
      </w:r>
      <w:proofErr w:type="spellEnd"/>
      <w:r w:rsidR="000F71EB">
        <w:t>)</w:t>
      </w:r>
      <w:r w:rsidR="005F5360">
        <w:t xml:space="preserve"> One-shot approach without HARQ retransmissions and</w:t>
      </w:r>
      <w:r w:rsidR="000F71EB">
        <w:t xml:space="preserve"> (ii)</w:t>
      </w:r>
      <w:r w:rsidR="005F5360">
        <w:t xml:space="preserve"> </w:t>
      </w:r>
      <w:r w:rsidR="00703B4D">
        <w:t>HARQ with up to one retransmission</w:t>
      </w:r>
      <w:r w:rsidR="005F5360">
        <w:t>.</w:t>
      </w:r>
      <w:r w:rsidR="00E87FC1">
        <w:t xml:space="preserve"> </w:t>
      </w:r>
      <w:r w:rsidR="00F56E03">
        <w:t>We evaluate each approach with respect to the packet error rate</w:t>
      </w:r>
      <w:r w:rsidR="00231D83">
        <w:t xml:space="preserve"> (PER)</w:t>
      </w:r>
      <w:r w:rsidR="00F56E03">
        <w:t xml:space="preserve"> and the CSA metric with a survival time of 1 cycle.</w:t>
      </w:r>
    </w:p>
    <w:p w14:paraId="49FB5BDE" w14:textId="3E31766E" w:rsidR="00E75383" w:rsidRDefault="00E75383" w:rsidP="00BC5406">
      <w:pPr>
        <w:pStyle w:val="Heading2"/>
      </w:pPr>
      <w:r>
        <w:t xml:space="preserve">One-shot </w:t>
      </w:r>
      <w:r w:rsidR="00F56E03">
        <w:t>Approach</w:t>
      </w:r>
    </w:p>
    <w:p w14:paraId="5BC2B2F2" w14:textId="25EAC7ED" w:rsidR="00E75383" w:rsidRDefault="00E75383" w:rsidP="00BC5406">
      <w:pPr>
        <w:pStyle w:val="Heading3"/>
      </w:pPr>
      <w:r>
        <w:t xml:space="preserve">Frame </w:t>
      </w:r>
      <w:r w:rsidR="002772D3">
        <w:t>s</w:t>
      </w:r>
      <w:r>
        <w:t>tructure</w:t>
      </w:r>
    </w:p>
    <w:p w14:paraId="0B799360" w14:textId="01FC98C2" w:rsidR="00EC77DB" w:rsidRDefault="00077E2B" w:rsidP="0086613C">
      <w:pPr>
        <w:keepNext/>
        <w:jc w:val="center"/>
      </w:pPr>
      <w:r>
        <w:rPr>
          <w:noProof/>
        </w:rPr>
        <w:drawing>
          <wp:inline distT="0" distB="0" distL="0" distR="0" wp14:anchorId="45AEA074" wp14:editId="3A5EE608">
            <wp:extent cx="3388187" cy="1614978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45" cy="165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69ECA" w14:textId="3BC203DE" w:rsidR="00EC77DB" w:rsidRDefault="00EC77DB" w:rsidP="0086613C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2</w:t>
      </w:r>
      <w:r>
        <w:fldChar w:fldCharType="end"/>
      </w:r>
      <w:r w:rsidR="0086613C">
        <w:t xml:space="preserve">: Frame structure for one-shot </w:t>
      </w:r>
      <w:r w:rsidR="00E24E00">
        <w:t>approach</w:t>
      </w:r>
    </w:p>
    <w:p w14:paraId="55923CFB" w14:textId="77CA4127" w:rsidR="00EC77DB" w:rsidRDefault="00EC77DB" w:rsidP="00EC77DB">
      <w:r>
        <w:t xml:space="preserve">The frame structure has the format [ 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G U </w:t>
      </w:r>
      <w:proofErr w:type="spellStart"/>
      <w:r>
        <w:t>U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U] as shown in Figure 2. The downlink and uplink data symbols are semi-persistently scheduled (SPS). A PDCCH symbol is provided at the beginning of the</w:t>
      </w:r>
      <w:r w:rsidR="00C12097">
        <w:t xml:space="preserve"> </w:t>
      </w:r>
      <w:r>
        <w:t xml:space="preserve">frame for possible SPS </w:t>
      </w:r>
      <w:r w:rsidR="00EE3A95">
        <w:t>override.</w:t>
      </w:r>
      <w:r>
        <w:t xml:space="preserve"> </w:t>
      </w:r>
      <w:r w:rsidR="007158A9">
        <w:t xml:space="preserve">In order to reduce the scheduling latency, the PDSCH </w:t>
      </w:r>
      <w:r w:rsidR="00AF4510">
        <w:t>transmissions</w:t>
      </w:r>
      <w:r w:rsidR="007158A9">
        <w:t xml:space="preserve"> are divided into </w:t>
      </w:r>
      <w:r w:rsidR="00917EBE">
        <w:t>mini-slot</w:t>
      </w:r>
      <w:r w:rsidR="007158A9">
        <w:t xml:space="preserve">s of 2-symbol PDSCH, and the PUSCH </w:t>
      </w:r>
      <w:r w:rsidR="00AF4510">
        <w:t>transmissions</w:t>
      </w:r>
      <w:r w:rsidR="007158A9">
        <w:t xml:space="preserve"> are divided into </w:t>
      </w:r>
      <w:r w:rsidR="00917EBE">
        <w:t>mini-slot</w:t>
      </w:r>
      <w:r w:rsidR="007158A9">
        <w:t>s of 2-symbol PUSCH.</w:t>
      </w:r>
    </w:p>
    <w:p w14:paraId="38A94B51" w14:textId="77777777" w:rsidR="00BE2D37" w:rsidRDefault="00BE2D37" w:rsidP="00EC77DB"/>
    <w:p w14:paraId="30A78654" w14:textId="036EE31C" w:rsidR="00E75383" w:rsidRDefault="002772D3" w:rsidP="00E75383">
      <w:pPr>
        <w:pStyle w:val="Heading3"/>
      </w:pPr>
      <w:r>
        <w:lastRenderedPageBreak/>
        <w:t>Scheduling d</w:t>
      </w:r>
      <w:r w:rsidR="00C6453C">
        <w:t xml:space="preserve">elay for </w:t>
      </w:r>
      <w:r>
        <w:t>d</w:t>
      </w:r>
      <w:r w:rsidR="00C6453C">
        <w:t xml:space="preserve">ifferent </w:t>
      </w:r>
      <w:r>
        <w:t>d</w:t>
      </w:r>
      <w:r w:rsidR="00C6453C">
        <w:t xml:space="preserve">ata </w:t>
      </w:r>
      <w:r>
        <w:t>a</w:t>
      </w:r>
      <w:r w:rsidR="00C6453C">
        <w:t xml:space="preserve">rrival </w:t>
      </w:r>
      <w:r w:rsidR="00130DD5">
        <w:t>offsets</w:t>
      </w:r>
    </w:p>
    <w:p w14:paraId="4D34D868" w14:textId="7DD17BC9" w:rsidR="002E7A02" w:rsidRDefault="007D0F5D" w:rsidP="007D0F5D">
      <w:pPr>
        <w:spacing w:after="0"/>
      </w:pPr>
      <w:r>
        <w:t xml:space="preserve">For clarity of description, let us </w:t>
      </w:r>
      <w:r w:rsidR="002772D3">
        <w:t xml:space="preserve">index </w:t>
      </w:r>
      <w:r w:rsidR="002E7A02">
        <w:t xml:space="preserve">the 14 symbols as shown here </w:t>
      </w:r>
      <w:r w:rsidR="008E58A1">
        <w:rPr>
          <w:noProof/>
        </w:rPr>
        <w:drawing>
          <wp:inline distT="0" distB="0" distL="0" distR="0" wp14:anchorId="43C65897" wp14:editId="1D8DCDD0">
            <wp:extent cx="1664948" cy="2381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75" cy="26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A02">
        <w:t xml:space="preserve"> </w:t>
      </w:r>
      <w:r w:rsidR="002772D3">
        <w:t>. Every downlink packet is scheduled to transmit</w:t>
      </w:r>
      <w:r w:rsidR="00E2178C">
        <w:t xml:space="preserve"> </w:t>
      </w:r>
      <w:r w:rsidR="002772D3">
        <w:t xml:space="preserve">at symbols 2, 4 or 6 </w:t>
      </w:r>
      <w:r>
        <w:t>corresponding to different mini-slot locations with the</w:t>
      </w:r>
      <w:r w:rsidR="002772D3">
        <w:t xml:space="preserve"> slot, and the corresponding transmission finishes at symbols 3, 5 or 7 respectively in the same slot. Similarly, every uplink packet is scheduled to transmit at symbols 9, 11 or 13 </w:t>
      </w:r>
      <w:r>
        <w:t>within the</w:t>
      </w:r>
      <w:r w:rsidR="002772D3">
        <w:t xml:space="preserve"> slot, and the corresponding transmission finishes at symbols 10, 12 or 14 respectively in the same slot. If a packet </w:t>
      </w:r>
      <w:r w:rsidR="000D0DB1">
        <w:t>has arrived</w:t>
      </w:r>
      <w:r w:rsidR="002772D3">
        <w:t xml:space="preserve"> but is not scheduled (possibly due to limited resources) within 1 </w:t>
      </w:r>
      <w:proofErr w:type="spellStart"/>
      <w:r w:rsidR="002772D3">
        <w:t>ms</w:t>
      </w:r>
      <w:proofErr w:type="spellEnd"/>
      <w:r w:rsidR="002772D3">
        <w:t xml:space="preserve"> (i.e., 28 symbols), </w:t>
      </w:r>
      <w:r w:rsidR="000D0DB1">
        <w:t>the packet will be</w:t>
      </w:r>
      <w:r w:rsidR="002772D3">
        <w:t xml:space="preserve"> discarded. </w:t>
      </w:r>
      <w:r w:rsidR="000D0DB1">
        <w:t xml:space="preserve">The minimum latency between </w:t>
      </w:r>
      <w:r w:rsidR="009F01F5">
        <w:t>the</w:t>
      </w:r>
      <w:r w:rsidR="000D0DB1">
        <w:t xml:space="preserve"> </w:t>
      </w:r>
      <w:r w:rsidR="00FD78F1">
        <w:t xml:space="preserve">end symbol of packet generation </w:t>
      </w:r>
      <w:r w:rsidR="000D0DB1">
        <w:t xml:space="preserve">and </w:t>
      </w:r>
      <w:r w:rsidR="00A5153C">
        <w:t xml:space="preserve">the </w:t>
      </w:r>
      <w:r w:rsidR="005C2F46">
        <w:t xml:space="preserve">end of </w:t>
      </w:r>
      <w:r w:rsidR="00A5153C">
        <w:t>packet</w:t>
      </w:r>
      <w:r w:rsidR="000D0DB1">
        <w:t xml:space="preserve"> transmission is stated in Table 1</w:t>
      </w:r>
      <w:r w:rsidR="002E7A02">
        <w:t>:</w:t>
      </w:r>
    </w:p>
    <w:tbl>
      <w:tblPr>
        <w:tblpPr w:leftFromText="180" w:rightFromText="180" w:vertAnchor="text" w:horzAnchor="margin" w:tblpXSpec="center" w:tblpY="281"/>
        <w:tblW w:w="93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D0F5D" w:rsidRPr="003D6064" w14:paraId="05A5FD44" w14:textId="77777777" w:rsidTr="007D0F5D">
        <w:trPr>
          <w:trHeight w:val="226"/>
        </w:trPr>
        <w:tc>
          <w:tcPr>
            <w:tcW w:w="2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1A805" w14:textId="5A001633" w:rsidR="007D0F5D" w:rsidRPr="003D6064" w:rsidRDefault="005C2F46" w:rsidP="007D0F5D">
            <w:pPr>
              <w:spacing w:after="0"/>
              <w:jc w:val="left"/>
              <w:rPr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End s</w:t>
            </w:r>
            <w:r w:rsidR="007D0F5D" w:rsidRPr="003D6064">
              <w:rPr>
                <w:b/>
                <w:sz w:val="20"/>
                <w:szCs w:val="18"/>
                <w:lang w:val="en-US"/>
              </w:rPr>
              <w:t>ymbol</w:t>
            </w:r>
            <w:r w:rsidR="007D0F5D">
              <w:rPr>
                <w:b/>
                <w:sz w:val="20"/>
                <w:szCs w:val="18"/>
                <w:lang w:val="en-US"/>
              </w:rPr>
              <w:t xml:space="preserve"> of packet </w:t>
            </w:r>
            <w:r w:rsidR="00107CC3">
              <w:rPr>
                <w:b/>
                <w:sz w:val="20"/>
                <w:szCs w:val="18"/>
                <w:lang w:val="en-US"/>
              </w:rPr>
              <w:t>generation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79118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6384A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A17F1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56712" w14:textId="001723F1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FF44E" w14:textId="4EE49AFF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C3B36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6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86F85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B002F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8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2CDC3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9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C7EA3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10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33A62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11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3B585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12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762CC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13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5D76C" w14:textId="77777777" w:rsidR="007D0F5D" w:rsidRPr="003D6064" w:rsidRDefault="007D0F5D" w:rsidP="007D0F5D">
            <w:pPr>
              <w:spacing w:after="0"/>
              <w:rPr>
                <w:sz w:val="20"/>
                <w:szCs w:val="18"/>
                <w:lang w:val="en-US"/>
              </w:rPr>
            </w:pPr>
            <w:r w:rsidRPr="003D6064">
              <w:rPr>
                <w:b/>
                <w:sz w:val="20"/>
                <w:szCs w:val="18"/>
                <w:lang w:val="en-US"/>
              </w:rPr>
              <w:t>14</w:t>
            </w:r>
          </w:p>
        </w:tc>
      </w:tr>
      <w:tr w:rsidR="009A2630" w:rsidRPr="003D6064" w14:paraId="3E727D52" w14:textId="77777777" w:rsidTr="007D0F5D">
        <w:trPr>
          <w:trHeight w:val="226"/>
        </w:trPr>
        <w:tc>
          <w:tcPr>
            <w:tcW w:w="2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1C191" w14:textId="77777777" w:rsidR="009A2630" w:rsidRPr="003D6064" w:rsidRDefault="009A2630" w:rsidP="009A2630">
            <w:pPr>
              <w:spacing w:after="0"/>
              <w:jc w:val="left"/>
              <w:rPr>
                <w:sz w:val="20"/>
                <w:szCs w:val="18"/>
                <w:lang w:val="en-US"/>
              </w:rPr>
            </w:pPr>
            <w:r w:rsidRPr="003D6064">
              <w:rPr>
                <w:sz w:val="20"/>
                <w:szCs w:val="18"/>
                <w:lang w:val="en-US"/>
              </w:rPr>
              <w:t xml:space="preserve">DL SPS </w:t>
            </w:r>
            <w:r>
              <w:rPr>
                <w:sz w:val="20"/>
                <w:szCs w:val="18"/>
                <w:lang w:val="en-US"/>
              </w:rPr>
              <w:t xml:space="preserve">min. </w:t>
            </w:r>
            <w:r w:rsidRPr="003D6064">
              <w:rPr>
                <w:sz w:val="20"/>
                <w:szCs w:val="18"/>
                <w:lang w:val="en-US"/>
              </w:rPr>
              <w:t>latency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BA36E" w14:textId="538A60F0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97EF0" w14:textId="1C40F79E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9E11" w14:textId="4BB1B5AB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7ED0E" w14:textId="5A44014C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E2E19" w14:textId="6046F1FF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B19DF" w14:textId="5C636CAD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11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C60F8" w14:textId="3DAF3425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0E595" w14:textId="402B1BA8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456A7" w14:textId="74E3721D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D1020" w14:textId="430B20FE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04BBA" w14:textId="477CD720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60FF0" w14:textId="4685A738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E3D36" w14:textId="3B54B79A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EFDFC" w14:textId="7AA9FE6E" w:rsidR="009A2630" w:rsidRPr="003D6064" w:rsidRDefault="009A2630" w:rsidP="009A2630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</w:tr>
      <w:tr w:rsidR="00E32A2E" w:rsidRPr="003D6064" w14:paraId="7EF023E8" w14:textId="77777777" w:rsidTr="007D0F5D">
        <w:trPr>
          <w:trHeight w:val="226"/>
        </w:trPr>
        <w:tc>
          <w:tcPr>
            <w:tcW w:w="2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E8549" w14:textId="77777777" w:rsidR="00E32A2E" w:rsidRPr="003D6064" w:rsidRDefault="00E32A2E" w:rsidP="00E32A2E">
            <w:pPr>
              <w:spacing w:after="0"/>
              <w:jc w:val="left"/>
              <w:rPr>
                <w:sz w:val="20"/>
                <w:szCs w:val="18"/>
                <w:lang w:val="en-US"/>
              </w:rPr>
            </w:pPr>
            <w:r w:rsidRPr="003D6064">
              <w:rPr>
                <w:sz w:val="20"/>
                <w:szCs w:val="18"/>
                <w:lang w:val="en-US"/>
              </w:rPr>
              <w:t xml:space="preserve">UL SPS </w:t>
            </w:r>
            <w:r>
              <w:rPr>
                <w:sz w:val="20"/>
                <w:szCs w:val="18"/>
                <w:lang w:val="en-US"/>
              </w:rPr>
              <w:t xml:space="preserve">min. </w:t>
            </w:r>
            <w:r w:rsidRPr="003D6064">
              <w:rPr>
                <w:sz w:val="20"/>
                <w:szCs w:val="18"/>
                <w:lang w:val="en-US"/>
              </w:rPr>
              <w:t>latency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C1AD5" w14:textId="1F0E58BA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E4AFF" w14:textId="22967D7A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00EF3" w14:textId="1897C450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A52DA" w14:textId="356F5B4A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92F1D" w14:textId="0F4C1710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15508" w14:textId="098C83D2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80A85" w14:textId="0281E0CB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85866" w14:textId="5873993F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410DB" w14:textId="33600F75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76632" w14:textId="6A4281BC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84E53" w14:textId="57AD57BD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1AEE7" w14:textId="4EE2EBD1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FAB36" w14:textId="58469016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11</w:t>
            </w:r>
          </w:p>
        </w:tc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8018B" w14:textId="18B8EE49" w:rsidR="00E32A2E" w:rsidRPr="003D6064" w:rsidRDefault="00E32A2E" w:rsidP="00E32A2E">
            <w:pPr>
              <w:spacing w:after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</w:t>
            </w:r>
          </w:p>
        </w:tc>
      </w:tr>
    </w:tbl>
    <w:p w14:paraId="1B1B9F79" w14:textId="4038CD14" w:rsidR="007D0F5D" w:rsidRPr="002E7A02" w:rsidRDefault="007D0F5D" w:rsidP="002E7A02"/>
    <w:p w14:paraId="7AB6713E" w14:textId="39D00EB8" w:rsidR="00BC3C5E" w:rsidRDefault="00A930C3" w:rsidP="00BC3C5E">
      <w:pPr>
        <w:pStyle w:val="Caption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C42FA">
        <w:rPr>
          <w:noProof/>
        </w:rPr>
        <w:t>1</w:t>
      </w:r>
      <w:r>
        <w:fldChar w:fldCharType="end"/>
      </w:r>
      <w:r w:rsidR="007D0F5D">
        <w:tab/>
        <w:t>Minimum latency</w:t>
      </w:r>
      <w:r w:rsidR="00D407D9">
        <w:t xml:space="preserve"> </w:t>
      </w:r>
      <w:r w:rsidR="00AD2D28">
        <w:t xml:space="preserve">between </w:t>
      </w:r>
      <w:r w:rsidR="009A2630">
        <w:t xml:space="preserve">the </w:t>
      </w:r>
      <w:r w:rsidR="005C2F46">
        <w:t xml:space="preserve">end symbol of </w:t>
      </w:r>
      <w:r w:rsidR="00D407D9">
        <w:t>packet generation and</w:t>
      </w:r>
      <w:r w:rsidR="005C2F46">
        <w:t xml:space="preserve"> </w:t>
      </w:r>
      <w:r w:rsidR="005F1C41">
        <w:t>the end</w:t>
      </w:r>
      <w:r w:rsidR="005C2F46">
        <w:t xml:space="preserve"> of</w:t>
      </w:r>
      <w:r w:rsidR="00D407D9">
        <w:t xml:space="preserve"> </w:t>
      </w:r>
      <w:r w:rsidR="00DD60F7">
        <w:t xml:space="preserve">packet </w:t>
      </w:r>
      <w:r w:rsidR="00BB33C1">
        <w:t>transmission</w:t>
      </w:r>
    </w:p>
    <w:p w14:paraId="69E54D1C" w14:textId="1944AD3B" w:rsidR="00E75383" w:rsidRDefault="00E75383" w:rsidP="003E537A">
      <w:pPr>
        <w:pStyle w:val="Heading2"/>
      </w:pPr>
      <w:r w:rsidRPr="00E75383">
        <w:t xml:space="preserve">HARQ </w:t>
      </w:r>
      <w:r w:rsidR="00E24E00">
        <w:t>approach</w:t>
      </w:r>
    </w:p>
    <w:p w14:paraId="68C07316" w14:textId="41F99FD3" w:rsidR="00BE0454" w:rsidRDefault="00E75383" w:rsidP="00BE0454">
      <w:pPr>
        <w:pStyle w:val="Heading3"/>
      </w:pPr>
      <w:r>
        <w:t>Frame Structure</w:t>
      </w:r>
    </w:p>
    <w:p w14:paraId="11C24A1B" w14:textId="1893BBD3" w:rsidR="000A6DBB" w:rsidRDefault="005458F3" w:rsidP="005458F3">
      <w:pPr>
        <w:keepNext/>
        <w:rPr>
          <w:noProof/>
        </w:rPr>
      </w:pPr>
      <w:r>
        <w:rPr>
          <w:noProof/>
        </w:rPr>
        <w:drawing>
          <wp:inline distT="0" distB="0" distL="0" distR="0" wp14:anchorId="11A2CC78" wp14:editId="432F304E">
            <wp:extent cx="4108862" cy="773673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18" cy="79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78D95" w14:textId="30536A98" w:rsidR="00897365" w:rsidRDefault="00BE0454" w:rsidP="00BA178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3</w:t>
      </w:r>
      <w:r>
        <w:fldChar w:fldCharType="end"/>
      </w:r>
      <w:r w:rsidR="007D0F5D">
        <w:t xml:space="preserve"> Frame Structure for the HARQ </w:t>
      </w:r>
      <w:r w:rsidR="00E24E00">
        <w:t>approach</w:t>
      </w:r>
    </w:p>
    <w:p w14:paraId="00212A44" w14:textId="1307C398" w:rsidR="00897365" w:rsidRDefault="00BE0454" w:rsidP="003E537A">
      <w:r>
        <w:t xml:space="preserve">The proposed frame structure shown in Figure 3 consists of periods of 14 symbols. </w:t>
      </w:r>
      <w:r w:rsidR="008326D7">
        <w:t>The first seven symbols of e</w:t>
      </w:r>
      <w:r>
        <w:t xml:space="preserve">ach period start </w:t>
      </w:r>
      <w:r w:rsidR="008326D7">
        <w:t xml:space="preserve">with six </w:t>
      </w:r>
      <w:r>
        <w:t>downlink</w:t>
      </w:r>
      <w:r w:rsidR="008326D7">
        <w:t xml:space="preserve"> symbols consisting of</w:t>
      </w:r>
      <w:r>
        <w:t xml:space="preserve"> </w:t>
      </w:r>
      <w:r w:rsidR="008326D7">
        <w:t xml:space="preserve">combined </w:t>
      </w:r>
      <w:r>
        <w:t>SPS transmissions</w:t>
      </w:r>
      <w:r w:rsidR="008326D7">
        <w:t xml:space="preserve"> and dynamically (PDCCH) scheduled retransmissions followed by a gap symbol. The remaining seven symbols of </w:t>
      </w:r>
      <w:r w:rsidR="00DC782C">
        <w:t>the</w:t>
      </w:r>
      <w:r w:rsidR="008326D7">
        <w:t xml:space="preserve"> period </w:t>
      </w:r>
      <w:r w:rsidR="00DC782C">
        <w:t xml:space="preserve">start with </w:t>
      </w:r>
      <w:r w:rsidR="008326D7">
        <w:t>six uplink symbols consisting of combined SPS transmissions and dynamically (PDCCH) scheduled retransmissions</w:t>
      </w:r>
      <w:r w:rsidR="00DC782C">
        <w:t xml:space="preserve"> </w:t>
      </w:r>
      <w:r w:rsidR="00DC782C" w:rsidRPr="00994597">
        <w:t>followed</w:t>
      </w:r>
      <w:r w:rsidR="00DC782C">
        <w:t xml:space="preserve"> by a gap symbol</w:t>
      </w:r>
      <w:r>
        <w:t>.</w:t>
      </w:r>
      <w:r w:rsidR="00DC782C">
        <w:t xml:space="preserve"> The uplink transmissions have timing advance (TA) of 0.</w:t>
      </w:r>
      <w:r w:rsidR="000D7670">
        <w:t>75</w:t>
      </w:r>
      <w:r w:rsidR="00DC782C">
        <w:t xml:space="preserve"> symbol</w:t>
      </w:r>
      <w:r w:rsidR="0074193D">
        <w:t xml:space="preserve"> so that the processing delays between PDSCH 1</w:t>
      </w:r>
      <w:r w:rsidR="0074193D" w:rsidRPr="0074193D">
        <w:rPr>
          <w:vertAlign w:val="superscript"/>
        </w:rPr>
        <w:t>st</w:t>
      </w:r>
      <w:r w:rsidR="0074193D">
        <w:t xml:space="preserve"> Tx and PUCCH, PUCCH and PDCCH </w:t>
      </w:r>
      <w:proofErr w:type="spellStart"/>
      <w:r w:rsidR="0074193D">
        <w:t>ReTx</w:t>
      </w:r>
      <w:proofErr w:type="spellEnd"/>
      <w:r w:rsidR="0074193D">
        <w:t>, PUSCH 1</w:t>
      </w:r>
      <w:r w:rsidR="0074193D" w:rsidRPr="0074193D">
        <w:rPr>
          <w:vertAlign w:val="superscript"/>
        </w:rPr>
        <w:t>st</w:t>
      </w:r>
      <w:r w:rsidR="0074193D">
        <w:t xml:space="preserve"> Tx and PDCCH and PDCCH and PUSCH </w:t>
      </w:r>
      <w:proofErr w:type="spellStart"/>
      <w:r w:rsidR="0074193D">
        <w:t>ReTx</w:t>
      </w:r>
      <w:proofErr w:type="spellEnd"/>
      <w:r w:rsidR="0074193D">
        <w:t xml:space="preserve"> are </w:t>
      </w:r>
      <w:r w:rsidR="000D7670">
        <w:t>sufficient</w:t>
      </w:r>
      <w:r w:rsidR="00C6453C">
        <w:t xml:space="preserve"> as shown in Figure 4</w:t>
      </w:r>
      <w:r w:rsidR="0074193D">
        <w:t xml:space="preserve">, satisfying the </w:t>
      </w:r>
      <w:r w:rsidR="00994597">
        <w:t xml:space="preserve">capability-2 </w:t>
      </w:r>
      <w:r w:rsidR="0074193D">
        <w:t xml:space="preserve">UE </w:t>
      </w:r>
      <w:r w:rsidR="00994597">
        <w:t xml:space="preserve">and </w:t>
      </w:r>
      <w:r w:rsidR="00893318">
        <w:t>BS</w:t>
      </w:r>
      <w:r w:rsidR="00994597">
        <w:t xml:space="preserve"> </w:t>
      </w:r>
      <w:r w:rsidR="0074193D">
        <w:t>processing time requirements stated in</w:t>
      </w:r>
      <w:r w:rsidR="00994597">
        <w:t xml:space="preserve"> </w:t>
      </w:r>
      <w:r w:rsidR="00963BBA">
        <w:t>Table 5.7.1.1.1-1 and Table 5.7.1.1.1-2</w:t>
      </w:r>
      <w:r w:rsidR="00994597">
        <w:t xml:space="preserve"> of </w:t>
      </w:r>
      <w:r>
        <w:t>TR 37.910</w:t>
      </w:r>
      <w:r w:rsidR="00994597">
        <w:t xml:space="preserve"> [</w:t>
      </w:r>
      <w:r w:rsidR="00C57B49">
        <w:t>5</w:t>
      </w:r>
      <w:r w:rsidR="00994597">
        <w:t>]</w:t>
      </w:r>
      <w:r w:rsidR="00963BBA">
        <w:t xml:space="preserve"> (the tables are attached in Appendix for reference)</w:t>
      </w:r>
      <w:r w:rsidR="00BA1788">
        <w:t>.</w:t>
      </w:r>
    </w:p>
    <w:p w14:paraId="6409AF38" w14:textId="005EE8AA" w:rsidR="00431B61" w:rsidRDefault="00563993" w:rsidP="003E537A">
      <w:r>
        <w:rPr>
          <w:noProof/>
        </w:rPr>
        <w:drawing>
          <wp:anchor distT="0" distB="0" distL="114300" distR="114300" simplePos="0" relativeHeight="251658241" behindDoc="0" locked="0" layoutInCell="1" allowOverlap="1" wp14:anchorId="628B0AF0" wp14:editId="097683BF">
            <wp:simplePos x="0" y="0"/>
            <wp:positionH relativeFrom="margin">
              <wp:posOffset>782963</wp:posOffset>
            </wp:positionH>
            <wp:positionV relativeFrom="paragraph">
              <wp:posOffset>58197</wp:posOffset>
            </wp:positionV>
            <wp:extent cx="4191990" cy="15911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90" cy="159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E51F9" w14:textId="0D7B38DD" w:rsidR="00BA1788" w:rsidRDefault="00BA1788" w:rsidP="003E53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A323A" wp14:editId="1FA69B99">
                <wp:simplePos x="0" y="0"/>
                <wp:positionH relativeFrom="column">
                  <wp:posOffset>599440</wp:posOffset>
                </wp:positionH>
                <wp:positionV relativeFrom="paragraph">
                  <wp:posOffset>1659255</wp:posOffset>
                </wp:positionV>
                <wp:extent cx="344678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10DA9" w14:textId="709DE5B4" w:rsidR="009175D2" w:rsidRPr="002052F9" w:rsidRDefault="009175D2" w:rsidP="00BA1788">
                            <w:pPr>
                              <w:pStyle w:val="Caption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 xml:space="preserve"> Processing delays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A32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pt;margin-top:130.65pt;width:271.4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" stroked="f">
                <v:textbox style="mso-fit-shape-to-text:t" inset="0,0,0,0">
                  <w:txbxContent>
                    <w:p w14:paraId="70F10DA9" w14:textId="709DE5B4" w:rsidR="009175D2" w:rsidRPr="002052F9" w:rsidRDefault="009175D2" w:rsidP="00BA1788">
                      <w:pPr>
                        <w:pStyle w:val="Caption"/>
                        <w:rPr>
                          <w:noProof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 xml:space="preserve"> Processing delays</w:t>
                      </w:r>
                    </w:p>
                  </w:txbxContent>
                </v:textbox>
              </v:shape>
            </w:pict>
          </mc:Fallback>
        </mc:AlternateContent>
      </w:r>
    </w:p>
    <w:p w14:paraId="377B3CC5" w14:textId="62BE423E" w:rsidR="00BA1788" w:rsidRDefault="00BA1788" w:rsidP="003E537A"/>
    <w:p w14:paraId="380029FA" w14:textId="079794B3" w:rsidR="00BA1788" w:rsidRDefault="00BA1788" w:rsidP="003E537A"/>
    <w:p w14:paraId="7C83BE94" w14:textId="77777777" w:rsidR="006530EA" w:rsidRDefault="006530EA" w:rsidP="003E537A"/>
    <w:p w14:paraId="672DF007" w14:textId="0C71AE25" w:rsidR="00BA1788" w:rsidRDefault="00BA1788" w:rsidP="003E537A"/>
    <w:p w14:paraId="5ED6D8DB" w14:textId="77777777" w:rsidR="00DA61BC" w:rsidRPr="00897365" w:rsidRDefault="00DA61BC" w:rsidP="00DA61BC">
      <w:pPr>
        <w:pStyle w:val="Heading3"/>
      </w:pPr>
      <w:r w:rsidRPr="00897365">
        <w:lastRenderedPageBreak/>
        <w:t>Scheduling delay for different data arrival offsets</w:t>
      </w:r>
    </w:p>
    <w:p w14:paraId="0AFE3738" w14:textId="706E0DE4" w:rsidR="00C6453C" w:rsidRDefault="00C6453C" w:rsidP="00742CED">
      <w:pPr>
        <w:spacing w:after="0"/>
      </w:pPr>
      <w:r>
        <w:t>By labelling the 14 symbols as shown here</w:t>
      </w:r>
      <w:r w:rsidR="007B0AB8">
        <w:t xml:space="preserve"> </w:t>
      </w:r>
      <w:r>
        <w:t xml:space="preserve"> </w:t>
      </w:r>
      <w:r w:rsidR="00C92B90">
        <w:rPr>
          <w:noProof/>
        </w:rPr>
        <w:drawing>
          <wp:inline distT="0" distB="0" distL="0" distR="0" wp14:anchorId="2BB5AF66" wp14:editId="72A079F5">
            <wp:extent cx="2210919" cy="242414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55" cy="27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we have the following latency table </w:t>
      </w:r>
      <w:r w:rsidR="00765CF9">
        <w:t>that characterizes</w:t>
      </w:r>
      <w:r>
        <w:t xml:space="preserve"> the </w:t>
      </w:r>
      <w:r w:rsidR="00814C5E">
        <w:t xml:space="preserve">minimum </w:t>
      </w:r>
      <w:r>
        <w:t xml:space="preserve">latencies </w:t>
      </w:r>
      <w:r w:rsidR="00814C5E">
        <w:t xml:space="preserve">between </w:t>
      </w:r>
      <w:r w:rsidR="000123D3">
        <w:t xml:space="preserve">the </w:t>
      </w:r>
      <w:r w:rsidR="00D012A4">
        <w:t>end symbol of</w:t>
      </w:r>
      <w:r w:rsidR="003C3DFF">
        <w:t xml:space="preserve"> packet </w:t>
      </w:r>
      <w:r w:rsidR="00D012A4">
        <w:t xml:space="preserve">generation </w:t>
      </w:r>
      <w:r w:rsidR="003C3DFF">
        <w:t>and</w:t>
      </w:r>
      <w:r w:rsidR="00814C5E">
        <w:t xml:space="preserve"> </w:t>
      </w:r>
      <w:r w:rsidR="00E64C92">
        <w:t>the</w:t>
      </w:r>
      <w:r w:rsidR="00814C5E">
        <w:t xml:space="preserve"> </w:t>
      </w:r>
      <w:r w:rsidR="00D012A4">
        <w:t>end of packet transmission</w:t>
      </w:r>
      <w:r>
        <w:t>:</w:t>
      </w:r>
    </w:p>
    <w:tbl>
      <w:tblPr>
        <w:tblpPr w:leftFromText="180" w:rightFromText="180" w:vertAnchor="text" w:horzAnchor="margin" w:tblpXSpec="center" w:tblpY="281"/>
        <w:tblW w:w="9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9"/>
        <w:gridCol w:w="469"/>
        <w:gridCol w:w="481"/>
        <w:gridCol w:w="47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474"/>
      </w:tblGrid>
      <w:tr w:rsidR="00963E26" w:rsidRPr="005C5094" w14:paraId="70613B5E" w14:textId="77777777" w:rsidTr="006B12F6">
        <w:trPr>
          <w:trHeight w:val="98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BF9EA" w14:textId="2E85BD13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bookmarkStart w:id="2" w:name="_Hlk64376156"/>
            <w:r w:rsidRPr="003D6064">
              <w:rPr>
                <w:b/>
                <w:sz w:val="18"/>
                <w:szCs w:val="16"/>
                <w:lang w:val="en-US"/>
              </w:rPr>
              <w:t>Symbol</w:t>
            </w:r>
            <w:r>
              <w:rPr>
                <w:b/>
                <w:sz w:val="18"/>
                <w:szCs w:val="16"/>
                <w:lang w:val="en-US"/>
              </w:rPr>
              <w:t xml:space="preserve"> of packet </w:t>
            </w:r>
            <w:r w:rsidR="003C3DFF">
              <w:rPr>
                <w:b/>
                <w:sz w:val="18"/>
                <w:szCs w:val="16"/>
                <w:lang w:val="en-US"/>
              </w:rPr>
              <w:t>generation</w:t>
            </w:r>
          </w:p>
        </w:tc>
        <w:tc>
          <w:tcPr>
            <w:tcW w:w="4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F4EC4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D76F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AB42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F349B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20DBA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5764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8712B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A487F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8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C3416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9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704E3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10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34A96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11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13954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12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12762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13</w:t>
            </w: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3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0823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b/>
                <w:sz w:val="18"/>
                <w:szCs w:val="16"/>
                <w:lang w:val="en-US"/>
              </w:rPr>
              <w:t>14</w:t>
            </w:r>
          </w:p>
        </w:tc>
      </w:tr>
      <w:tr w:rsidR="006A375D" w:rsidRPr="005C5094" w14:paraId="12D4CF30" w14:textId="77777777" w:rsidTr="006B12F6">
        <w:trPr>
          <w:trHeight w:val="98"/>
        </w:trPr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F83DA" w14:textId="77777777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 xml:space="preserve">DL SPS </w:t>
            </w:r>
            <w:r>
              <w:rPr>
                <w:sz w:val="18"/>
                <w:szCs w:val="16"/>
                <w:lang w:val="en-US"/>
              </w:rPr>
              <w:t xml:space="preserve">min. </w:t>
            </w:r>
            <w:r w:rsidRPr="003D6064">
              <w:rPr>
                <w:sz w:val="18"/>
                <w:szCs w:val="16"/>
                <w:lang w:val="en-US"/>
              </w:rPr>
              <w:t>latency</w:t>
            </w:r>
          </w:p>
        </w:tc>
        <w:tc>
          <w:tcPr>
            <w:tcW w:w="4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22208" w14:textId="753E766F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04C99" w14:textId="0DCC4761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74C33" w14:textId="1FEBB053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7</w:t>
            </w:r>
          </w:p>
        </w:tc>
        <w:tc>
          <w:tcPr>
            <w:tcW w:w="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2F701" w14:textId="119240DA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A96DC" w14:textId="3A794BDE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A6A49" w14:textId="3A577F78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C4FBB" w14:textId="2DBB7628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B9146" w14:textId="155CABAB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10A30" w14:textId="70994444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0B285" w14:textId="2B0D9AA8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7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D856A" w14:textId="58BB91C8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3F8F7" w14:textId="2A14D256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3042E" w14:textId="58C15181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43A7E" w14:textId="036B6B94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</w:tr>
      <w:tr w:rsidR="00963E26" w:rsidRPr="005C5094" w14:paraId="4D8081C9" w14:textId="77777777" w:rsidTr="006B12F6">
        <w:trPr>
          <w:trHeight w:val="133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D2EFF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 xml:space="preserve">DL </w:t>
            </w:r>
            <w:proofErr w:type="spellStart"/>
            <w:r w:rsidRPr="003D6064">
              <w:rPr>
                <w:sz w:val="18"/>
                <w:szCs w:val="16"/>
                <w:lang w:val="en-US"/>
              </w:rPr>
              <w:t>ReTx</w:t>
            </w:r>
            <w:proofErr w:type="spellEnd"/>
            <w:r w:rsidRPr="003D6064">
              <w:rPr>
                <w:sz w:val="18"/>
                <w:szCs w:val="16"/>
                <w:lang w:val="en-US"/>
              </w:rPr>
              <w:t xml:space="preserve"> additional latency</w:t>
            </w:r>
          </w:p>
        </w:tc>
        <w:tc>
          <w:tcPr>
            <w:tcW w:w="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095D9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17BE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C019F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71864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F6FD2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1ADAC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065FE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59831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C5E41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89DE8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EB342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FCCFC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7A981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E780D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</w:tr>
      <w:tr w:rsidR="006A375D" w:rsidRPr="005C5094" w14:paraId="4790280C" w14:textId="77777777" w:rsidTr="006B12F6">
        <w:trPr>
          <w:trHeight w:val="98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C79F" w14:textId="77777777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 xml:space="preserve">UL SPS </w:t>
            </w:r>
            <w:r>
              <w:rPr>
                <w:sz w:val="18"/>
                <w:szCs w:val="16"/>
                <w:lang w:val="en-US"/>
              </w:rPr>
              <w:t xml:space="preserve">min. </w:t>
            </w:r>
            <w:r w:rsidRPr="003D6064">
              <w:rPr>
                <w:sz w:val="18"/>
                <w:szCs w:val="16"/>
                <w:lang w:val="en-US"/>
              </w:rPr>
              <w:t>latency</w:t>
            </w:r>
          </w:p>
        </w:tc>
        <w:tc>
          <w:tcPr>
            <w:tcW w:w="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A032A" w14:textId="47444709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84B62" w14:textId="5EA30507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0C260" w14:textId="658B5EC9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D9333" w14:textId="1E46CEBF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E4D974" w14:textId="5D154966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70D63" w14:textId="66E078E9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94510" w14:textId="1CC62BEC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7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B5632" w14:textId="1CC8E6DB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6AA3D" w14:textId="426A0BBC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D931F" w14:textId="3347AC83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1BF23" w14:textId="44FBBBD9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E885E" w14:textId="3B92F074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25225" w14:textId="43674EE4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620AB" w14:textId="225898A1" w:rsidR="006A375D" w:rsidRPr="003D6064" w:rsidRDefault="006A375D" w:rsidP="006A375D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7</w:t>
            </w:r>
          </w:p>
        </w:tc>
      </w:tr>
      <w:tr w:rsidR="00963E26" w:rsidRPr="005C5094" w14:paraId="1FC6E372" w14:textId="77777777" w:rsidTr="006B12F6">
        <w:trPr>
          <w:trHeight w:val="133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D2BBB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 w:rsidRPr="003D6064">
              <w:rPr>
                <w:sz w:val="18"/>
                <w:szCs w:val="16"/>
                <w:lang w:val="en-US"/>
              </w:rPr>
              <w:t xml:space="preserve">UL </w:t>
            </w:r>
            <w:proofErr w:type="spellStart"/>
            <w:r w:rsidRPr="003D6064">
              <w:rPr>
                <w:sz w:val="18"/>
                <w:szCs w:val="16"/>
                <w:lang w:val="en-US"/>
              </w:rPr>
              <w:t>ReTx</w:t>
            </w:r>
            <w:proofErr w:type="spellEnd"/>
            <w:r w:rsidRPr="003D6064">
              <w:rPr>
                <w:sz w:val="18"/>
                <w:szCs w:val="16"/>
                <w:lang w:val="en-US"/>
              </w:rPr>
              <w:t xml:space="preserve"> additional latency</w:t>
            </w:r>
          </w:p>
        </w:tc>
        <w:tc>
          <w:tcPr>
            <w:tcW w:w="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35078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2D387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9B246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8F761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4716CF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2E37C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DCF30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A20E53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0C4E3D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22398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C6938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D4B81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67C9D" w14:textId="77777777" w:rsidR="00963E26" w:rsidRPr="003D6064" w:rsidRDefault="00963E26" w:rsidP="00963E2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76A55" w14:textId="77777777" w:rsidR="00963E26" w:rsidRPr="003D6064" w:rsidRDefault="00963E26" w:rsidP="00963E26">
            <w:pPr>
              <w:keepNext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14</w:t>
            </w:r>
          </w:p>
        </w:tc>
      </w:tr>
      <w:bookmarkEnd w:id="2"/>
    </w:tbl>
    <w:p w14:paraId="2DDE82B0" w14:textId="77777777" w:rsidR="00963E26" w:rsidRDefault="00963E26" w:rsidP="00963E26">
      <w:pPr>
        <w:jc w:val="center"/>
      </w:pPr>
    </w:p>
    <w:p w14:paraId="276CAE04" w14:textId="7030A7FA" w:rsidR="004002F4" w:rsidRDefault="00A930C3" w:rsidP="00963E26">
      <w:pPr>
        <w:pStyle w:val="Caption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C42FA">
        <w:rPr>
          <w:noProof/>
        </w:rPr>
        <w:t>2</w:t>
      </w:r>
      <w:r>
        <w:fldChar w:fldCharType="end"/>
      </w:r>
      <w:r w:rsidR="00963E26" w:rsidRPr="00963E26">
        <w:t xml:space="preserve"> </w:t>
      </w:r>
      <w:r w:rsidR="00972211">
        <w:t>Minimum latency between</w:t>
      </w:r>
      <w:r w:rsidR="00CA06A6">
        <w:t xml:space="preserve"> the end symbol of</w:t>
      </w:r>
      <w:r w:rsidR="00972211">
        <w:t xml:space="preserve"> packet generation and </w:t>
      </w:r>
      <w:r w:rsidR="00CA06A6">
        <w:t>the end of packet transmission</w:t>
      </w:r>
    </w:p>
    <w:p w14:paraId="36A8DFBB" w14:textId="7AAB5979" w:rsidR="00F1340A" w:rsidRPr="00F1340A" w:rsidRDefault="00F1340A" w:rsidP="00F1340A"/>
    <w:p w14:paraId="3AFA0CAD" w14:textId="7863DEDD" w:rsidR="00766734" w:rsidRDefault="00766734" w:rsidP="00766734">
      <w:pPr>
        <w:pStyle w:val="Heading1"/>
      </w:pPr>
      <w:r>
        <w:t xml:space="preserve">Simulation </w:t>
      </w:r>
      <w:r w:rsidR="00F85CC2">
        <w:t>Results</w:t>
      </w:r>
    </w:p>
    <w:p w14:paraId="5747459B" w14:textId="47EE0436" w:rsidR="00E65C71" w:rsidRDefault="00F51E08" w:rsidP="00E65C71">
      <w:pPr>
        <w:keepNext/>
        <w:jc w:val="left"/>
      </w:pPr>
      <w:r>
        <w:t>Every plot in this section is generated from 50 random networks.</w:t>
      </w:r>
      <w:r w:rsidR="00960D34">
        <w:t xml:space="preserve"> The geometry </w:t>
      </w:r>
      <w:proofErr w:type="spellStart"/>
      <w:r w:rsidR="00EF7AE2">
        <w:t>cdf</w:t>
      </w:r>
      <w:proofErr w:type="spellEnd"/>
      <w:r w:rsidR="00EF7AE2">
        <w:t xml:space="preserve"> </w:t>
      </w:r>
      <w:r w:rsidR="00EA0B6F">
        <w:t>derived from</w:t>
      </w:r>
      <w:r w:rsidR="00923957">
        <w:t xml:space="preserve"> our </w:t>
      </w:r>
      <w:r w:rsidR="006106F1">
        <w:t>simulation</w:t>
      </w:r>
      <w:r w:rsidR="00923957">
        <w:t xml:space="preserve"> </w:t>
      </w:r>
      <w:r w:rsidR="00990137">
        <w:t xml:space="preserve">is attached below for </w:t>
      </w:r>
      <w:r w:rsidR="00A968C7">
        <w:t>calibration purpose</w:t>
      </w:r>
      <w:r w:rsidR="00990137">
        <w:t>.</w:t>
      </w:r>
      <w:r w:rsidR="00960D34">
        <w:rPr>
          <w:noProof/>
        </w:rPr>
        <w:drawing>
          <wp:inline distT="0" distB="0" distL="0" distR="0" wp14:anchorId="3C6E6E31" wp14:editId="7565CECB">
            <wp:extent cx="4149306" cy="3115315"/>
            <wp:effectExtent l="0" t="0" r="381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27" cy="31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C457" w14:textId="63C6391D" w:rsidR="00F51E08" w:rsidRDefault="00E65C71" w:rsidP="00E65C71">
      <w:pPr>
        <w:pStyle w:val="Caption"/>
        <w:jc w:val="left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5</w:t>
      </w:r>
      <w:r>
        <w:fldChar w:fldCharType="end"/>
      </w:r>
    </w:p>
    <w:p w14:paraId="7387AE07" w14:textId="5D235819" w:rsidR="00BC5406" w:rsidRPr="00B43312" w:rsidRDefault="00E33184" w:rsidP="00BC5406">
      <w:pPr>
        <w:rPr>
          <w:sz w:val="20"/>
          <w:szCs w:val="14"/>
        </w:rPr>
      </w:pPr>
      <w:r>
        <w:lastRenderedPageBreak/>
        <w:t xml:space="preserve">In the rest of this section, we </w:t>
      </w:r>
      <w:r w:rsidR="00BD63D3">
        <w:t xml:space="preserve">are interested in finding the </w:t>
      </w:r>
      <w:r w:rsidR="00C864F1">
        <w:t>maximum number of UE/cell that can be supported with respect to each appro</w:t>
      </w:r>
      <w:r w:rsidR="00522290">
        <w:t xml:space="preserve">ach such that </w:t>
      </w:r>
      <w:r w:rsidR="00F245ED">
        <w:t xml:space="preserve">100% UL and DL packets satisfy </w:t>
      </w:r>
      <w:r w:rsidR="00F173D5">
        <w:t xml:space="preserve">PER or CSA error &lt; </w:t>
      </w:r>
      <w:r w:rsidR="00F173D5" w:rsidRPr="009175D2">
        <w:rPr>
          <w:szCs w:val="22"/>
        </w:rPr>
        <w:t>10</w:t>
      </w:r>
      <w:r w:rsidR="00F173D5" w:rsidRPr="009175D2">
        <w:rPr>
          <w:szCs w:val="22"/>
          <w:vertAlign w:val="superscript"/>
        </w:rPr>
        <w:t xml:space="preserve">-6 </w:t>
      </w:r>
      <w:r w:rsidR="00F173D5" w:rsidRPr="009175D2">
        <w:rPr>
          <w:szCs w:val="22"/>
        </w:rPr>
        <w:t xml:space="preserve">with latency &lt; 1 </w:t>
      </w:r>
      <w:proofErr w:type="spellStart"/>
      <w:r w:rsidR="00F173D5" w:rsidRPr="009175D2">
        <w:rPr>
          <w:szCs w:val="22"/>
        </w:rPr>
        <w:t>ms</w:t>
      </w:r>
      <w:proofErr w:type="spellEnd"/>
      <w:r w:rsidR="00F173D5" w:rsidRPr="009175D2">
        <w:rPr>
          <w:szCs w:val="22"/>
        </w:rPr>
        <w:t>.</w:t>
      </w:r>
      <w:r w:rsidR="00B43312" w:rsidRPr="009175D2">
        <w:rPr>
          <w:szCs w:val="22"/>
        </w:rPr>
        <w:t xml:space="preserve"> </w:t>
      </w:r>
      <w:r w:rsidR="00BC5406">
        <w:t xml:space="preserve">The following three categories of network operating modes have been identified in [3]: </w:t>
      </w:r>
    </w:p>
    <w:p w14:paraId="372C49B7" w14:textId="77777777" w:rsidR="00BC5406" w:rsidRPr="00D901A7" w:rsidRDefault="00BC5406" w:rsidP="00BC5406">
      <w:pPr>
        <w:pStyle w:val="ListParagraph"/>
        <w:numPr>
          <w:ilvl w:val="1"/>
          <w:numId w:val="18"/>
        </w:numPr>
        <w:spacing w:line="259" w:lineRule="auto"/>
        <w:contextualSpacing w:val="0"/>
        <w:jc w:val="left"/>
        <w:rPr>
          <w:rFonts w:ascii="Arial" w:hAnsi="Arial" w:cs="Arial"/>
          <w:sz w:val="20"/>
          <w:szCs w:val="20"/>
          <w:lang w:val="en-GB" w:eastAsia="ja-JP"/>
        </w:rPr>
      </w:pPr>
      <w:r w:rsidRPr="00D901A7">
        <w:rPr>
          <w:rFonts w:ascii="Arial" w:hAnsi="Arial" w:cs="Arial"/>
          <w:sz w:val="20"/>
          <w:szCs w:val="20"/>
          <w:lang w:val="en-GB" w:eastAsia="ja-JP"/>
        </w:rPr>
        <w:t>No coordination – no static partitioning or coordination of resources among BS/TRP</w:t>
      </w:r>
    </w:p>
    <w:p w14:paraId="3914BF08" w14:textId="77777777" w:rsidR="00BC5406" w:rsidRDefault="00BC5406" w:rsidP="00BC5406">
      <w:pPr>
        <w:pStyle w:val="ListParagraph"/>
        <w:numPr>
          <w:ilvl w:val="1"/>
          <w:numId w:val="18"/>
        </w:numPr>
        <w:spacing w:line="259" w:lineRule="auto"/>
        <w:contextualSpacing w:val="0"/>
        <w:jc w:val="left"/>
        <w:rPr>
          <w:rFonts w:ascii="Arial" w:hAnsi="Arial" w:cs="Arial"/>
          <w:sz w:val="20"/>
          <w:szCs w:val="20"/>
          <w:lang w:val="en-GB" w:eastAsia="ja-JP"/>
        </w:rPr>
      </w:pPr>
      <w:r w:rsidRPr="00D901A7">
        <w:rPr>
          <w:rFonts w:ascii="Arial" w:hAnsi="Arial" w:cs="Arial"/>
          <w:sz w:val="20"/>
          <w:szCs w:val="20"/>
          <w:lang w:val="en-GB" w:eastAsia="ja-JP"/>
        </w:rPr>
        <w:t>Independent/Uncoordinated scheduling – static partitioning of resources among BS/TRP, but with uncoordinated scheduling</w:t>
      </w:r>
    </w:p>
    <w:p w14:paraId="6BF16FAB" w14:textId="77777777" w:rsidR="00BC5406" w:rsidRDefault="00BC5406" w:rsidP="00BC5406">
      <w:pPr>
        <w:pStyle w:val="ListParagraph"/>
        <w:numPr>
          <w:ilvl w:val="1"/>
          <w:numId w:val="18"/>
        </w:numPr>
        <w:spacing w:line="259" w:lineRule="auto"/>
        <w:contextualSpacing w:val="0"/>
        <w:jc w:val="left"/>
        <w:rPr>
          <w:rFonts w:ascii="Arial" w:hAnsi="Arial" w:cs="Arial"/>
          <w:sz w:val="20"/>
          <w:szCs w:val="20"/>
          <w:lang w:val="en-GB" w:eastAsia="ja-JP"/>
        </w:rPr>
      </w:pPr>
      <w:r w:rsidRPr="00D901A7">
        <w:rPr>
          <w:rFonts w:ascii="Arial" w:hAnsi="Arial" w:cs="Arial"/>
          <w:sz w:val="20"/>
          <w:szCs w:val="20"/>
          <w:lang w:val="en-GB" w:eastAsia="ja-JP"/>
        </w:rPr>
        <w:t>Common/centralized scheduling among BS/TRP synchronized within the order of the cyclic prefix</w:t>
      </w:r>
      <w:r>
        <w:rPr>
          <w:rFonts w:ascii="Arial" w:hAnsi="Arial" w:cs="Arial"/>
          <w:sz w:val="20"/>
          <w:szCs w:val="20"/>
          <w:lang w:val="en-GB" w:eastAsia="ja-JP"/>
        </w:rPr>
        <w:t xml:space="preserve"> </w:t>
      </w:r>
    </w:p>
    <w:p w14:paraId="252A1AD6" w14:textId="11843EE6" w:rsidR="00DB4B20" w:rsidRDefault="00B43312" w:rsidP="00E645FC">
      <w:pPr>
        <w:pStyle w:val="Heading2"/>
      </w:pPr>
      <w:r>
        <w:t xml:space="preserve">Category A: </w:t>
      </w:r>
      <w:r w:rsidR="00063AAA">
        <w:t>No coordination among BS</w:t>
      </w:r>
    </w:p>
    <w:p w14:paraId="78765D11" w14:textId="008F2318" w:rsidR="00E645FC" w:rsidRPr="00E645FC" w:rsidRDefault="005C6486" w:rsidP="00063AAA">
      <w:pPr>
        <w:pStyle w:val="Heading3"/>
      </w:pPr>
      <w:r>
        <w:t xml:space="preserve">One-shot </w:t>
      </w:r>
      <w:r w:rsidR="00E24E00">
        <w:t>approach</w:t>
      </w:r>
      <w:r w:rsidR="00625074">
        <w:t xml:space="preserve"> with reuse-1 transmissions</w:t>
      </w:r>
    </w:p>
    <w:p w14:paraId="632B4335" w14:textId="1E3940BE" w:rsidR="005C6486" w:rsidRDefault="00DA0FAE" w:rsidP="00063AAA">
      <w:pPr>
        <w:pStyle w:val="Heading4"/>
      </w:pPr>
      <w:r>
        <w:t xml:space="preserve">CSA </w:t>
      </w:r>
      <w:r w:rsidR="00F51204">
        <w:t xml:space="preserve">error metric </w:t>
      </w:r>
      <w:r>
        <w:t>with packet survival time = 0</w:t>
      </w:r>
    </w:p>
    <w:p w14:paraId="5B92453F" w14:textId="21EAD683" w:rsidR="002B0196" w:rsidRPr="002B0196" w:rsidRDefault="00F51204" w:rsidP="00E16918">
      <w:pPr>
        <w:rPr>
          <w:i/>
          <w:iCs/>
        </w:rPr>
      </w:pPr>
      <w:r>
        <w:t xml:space="preserve">Under the one-shot </w:t>
      </w:r>
      <w:r w:rsidR="00E24E00">
        <w:t>approach</w:t>
      </w:r>
      <w:r>
        <w:t xml:space="preserve">, the CSA error metric with zero packet survival time is </w:t>
      </w:r>
      <w:r w:rsidR="00C952B7">
        <w:t>referred to as</w:t>
      </w:r>
      <w:r>
        <w:t xml:space="preserve"> packet error rate (PER). The </w:t>
      </w:r>
      <w:r w:rsidR="00C12CC5">
        <w:t>BLER (equal to PER)</w:t>
      </w:r>
      <w:r>
        <w:t xml:space="preserve"> target is set to 10</w:t>
      </w:r>
      <w:r w:rsidRPr="00F51204">
        <w:rPr>
          <w:vertAlign w:val="superscript"/>
        </w:rPr>
        <w:t>-6</w:t>
      </w:r>
      <w:r w:rsidR="00A82F39">
        <w:t>.</w:t>
      </w:r>
      <w:r>
        <w:t xml:space="preserve"> </w:t>
      </w:r>
      <w:r w:rsidR="006853A8">
        <w:t>T</w:t>
      </w:r>
      <w:r w:rsidR="002B0196">
        <w:t xml:space="preserve">he percentage of users satisfying the reliability requirement </w:t>
      </w:r>
      <w:r w:rsidR="00412FAF" w:rsidRPr="00E16918">
        <w:t>is</w:t>
      </w:r>
      <w:r w:rsidR="003629DD">
        <w:t xml:space="preserve"> stated in</w:t>
      </w:r>
      <w:r w:rsidR="002B0196">
        <w:t xml:space="preserve"> Table 3</w:t>
      </w:r>
      <w:r w:rsidR="00412FAF" w:rsidRPr="00E16918">
        <w:t xml:space="preserve">, which </w:t>
      </w:r>
      <w:r w:rsidR="002B0196">
        <w:t xml:space="preserve">shows that the </w:t>
      </w:r>
      <w:r w:rsidR="003629DD">
        <w:t xml:space="preserve">corresponding </w:t>
      </w:r>
      <w:r w:rsidR="002B0196">
        <w:t xml:space="preserve">capacity is between </w:t>
      </w:r>
      <w:r w:rsidR="00920EC0">
        <w:t>5</w:t>
      </w:r>
      <w:r w:rsidR="00412FAF" w:rsidRPr="00E16918">
        <w:t xml:space="preserve"> UE/cell and </w:t>
      </w:r>
      <w:r w:rsidR="006853A8">
        <w:t>12</w:t>
      </w:r>
      <w:r w:rsidR="00412FAF" w:rsidRPr="00E16918">
        <w:t xml:space="preserve"> UE/cell</w:t>
      </w:r>
      <w:r w:rsidR="002B0196">
        <w:t>.</w:t>
      </w:r>
    </w:p>
    <w:p w14:paraId="2B01862A" w14:textId="07ED718B" w:rsidR="00D7357B" w:rsidRDefault="00D7357B" w:rsidP="00D7357B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C42FA">
        <w:rPr>
          <w:noProof/>
        </w:rPr>
        <w:t>3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1969"/>
        <w:gridCol w:w="1723"/>
      </w:tblGrid>
      <w:tr w:rsidR="00AF4510" w14:paraId="053EB398" w14:textId="77777777" w:rsidTr="00DD15E7">
        <w:trPr>
          <w:trHeight w:val="600"/>
        </w:trPr>
        <w:tc>
          <w:tcPr>
            <w:tcW w:w="4792" w:type="dxa"/>
          </w:tcPr>
          <w:p w14:paraId="46E2A639" w14:textId="184672ED" w:rsidR="00AF4510" w:rsidRPr="00D7357B" w:rsidRDefault="00AF4510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bookmarkStart w:id="3" w:name="_Hlk64671180"/>
            <w:r w:rsidRPr="00D7357B">
              <w:rPr>
                <w:sz w:val="20"/>
                <w:szCs w:val="14"/>
              </w:rPr>
              <w:t># of UE/cell</w:t>
            </w:r>
          </w:p>
        </w:tc>
        <w:tc>
          <w:tcPr>
            <w:tcW w:w="1969" w:type="dxa"/>
          </w:tcPr>
          <w:p w14:paraId="000FA9C9" w14:textId="0E5296F1" w:rsidR="00AF4510" w:rsidRPr="008E56D0" w:rsidRDefault="00ED1F19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>
              <w:rPr>
                <w:sz w:val="20"/>
                <w:szCs w:val="14"/>
                <w:highlight w:val="yellow"/>
              </w:rPr>
              <w:t>5</w:t>
            </w:r>
          </w:p>
        </w:tc>
        <w:tc>
          <w:tcPr>
            <w:tcW w:w="1723" w:type="dxa"/>
          </w:tcPr>
          <w:p w14:paraId="73F125A9" w14:textId="226DA492" w:rsidR="00AF4510" w:rsidRPr="00D7357B" w:rsidRDefault="006853A8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</w:t>
            </w:r>
            <w:r w:rsidR="00F71B8C">
              <w:rPr>
                <w:sz w:val="20"/>
                <w:szCs w:val="14"/>
              </w:rPr>
              <w:t>2</w:t>
            </w:r>
          </w:p>
        </w:tc>
      </w:tr>
      <w:tr w:rsidR="00AF4510" w14:paraId="5F870B27" w14:textId="77777777" w:rsidTr="00DD15E7">
        <w:trPr>
          <w:trHeight w:val="600"/>
        </w:trPr>
        <w:tc>
          <w:tcPr>
            <w:tcW w:w="4792" w:type="dxa"/>
          </w:tcPr>
          <w:p w14:paraId="517C7E66" w14:textId="3550B35C" w:rsidR="00AF4510" w:rsidRPr="00D7357B" w:rsidRDefault="00AF4510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 w:rsidR="006B12F6">
              <w:rPr>
                <w:sz w:val="20"/>
                <w:szCs w:val="14"/>
              </w:rPr>
              <w:t xml:space="preserve">UL </w:t>
            </w:r>
            <w:r w:rsidR="00DD15E7">
              <w:rPr>
                <w:sz w:val="20"/>
                <w:szCs w:val="14"/>
              </w:rPr>
              <w:t xml:space="preserve">packets </w:t>
            </w:r>
            <w:r w:rsidRPr="00D7357B">
              <w:rPr>
                <w:sz w:val="20"/>
                <w:szCs w:val="14"/>
              </w:rPr>
              <w:t xml:space="preserve">satisfying </w:t>
            </w:r>
            <w:r w:rsidR="00C12CC5">
              <w:rPr>
                <w:sz w:val="20"/>
                <w:szCs w:val="14"/>
              </w:rPr>
              <w:t>PER</w:t>
            </w:r>
            <w:r w:rsidRPr="00D7357B">
              <w:rPr>
                <w:sz w:val="20"/>
                <w:szCs w:val="14"/>
              </w:rPr>
              <w:t xml:space="preserve"> 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969" w:type="dxa"/>
          </w:tcPr>
          <w:p w14:paraId="3009E107" w14:textId="6FFC11BB" w:rsidR="00AF4510" w:rsidRPr="008E56D0" w:rsidRDefault="00D7357B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8E56D0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723" w:type="dxa"/>
          </w:tcPr>
          <w:p w14:paraId="060A9872" w14:textId="19384A37" w:rsidR="00AF4510" w:rsidRPr="00D7357B" w:rsidRDefault="008E56D0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98</w:t>
            </w:r>
            <w:r w:rsidR="00981A01">
              <w:rPr>
                <w:sz w:val="20"/>
                <w:szCs w:val="14"/>
              </w:rPr>
              <w:t>%</w:t>
            </w:r>
          </w:p>
        </w:tc>
      </w:tr>
      <w:tr w:rsidR="006B12F6" w14:paraId="23E53AC7" w14:textId="77777777" w:rsidTr="00DD15E7">
        <w:trPr>
          <w:trHeight w:val="600"/>
        </w:trPr>
        <w:tc>
          <w:tcPr>
            <w:tcW w:w="4792" w:type="dxa"/>
          </w:tcPr>
          <w:p w14:paraId="45398296" w14:textId="78B311AD" w:rsidR="006B12F6" w:rsidRPr="00D7357B" w:rsidRDefault="006B12F6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 xml:space="preserve">DL </w:t>
            </w:r>
            <w:r w:rsidR="00DD15E7">
              <w:rPr>
                <w:sz w:val="20"/>
                <w:szCs w:val="14"/>
              </w:rPr>
              <w:t>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>
              <w:rPr>
                <w:sz w:val="20"/>
                <w:szCs w:val="14"/>
              </w:rPr>
              <w:t>PER</w:t>
            </w:r>
            <w:r w:rsidRPr="00D7357B">
              <w:rPr>
                <w:sz w:val="20"/>
                <w:szCs w:val="14"/>
              </w:rPr>
              <w:t xml:space="preserve"> 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969" w:type="dxa"/>
          </w:tcPr>
          <w:p w14:paraId="4A539EAA" w14:textId="0EA6227A" w:rsidR="006B12F6" w:rsidRPr="008E56D0" w:rsidRDefault="006B12F6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8E56D0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723" w:type="dxa"/>
          </w:tcPr>
          <w:p w14:paraId="04FAC85D" w14:textId="636AF4A5" w:rsidR="006B12F6" w:rsidRDefault="008E56D0" w:rsidP="00AF4510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98.75%</w:t>
            </w:r>
          </w:p>
        </w:tc>
      </w:tr>
      <w:bookmarkEnd w:id="3"/>
    </w:tbl>
    <w:p w14:paraId="2BEAA52F" w14:textId="6C7259CB" w:rsidR="00981A01" w:rsidRDefault="00981A01" w:rsidP="00981A01"/>
    <w:p w14:paraId="75B157D1" w14:textId="4A6AB98E" w:rsidR="00B34E6E" w:rsidRDefault="00B34E6E" w:rsidP="00B34E6E">
      <w:r>
        <w:t xml:space="preserve">If the network operates at 12 UE/cell which exceeds the capacity, the corresponding complementary </w:t>
      </w:r>
      <w:proofErr w:type="spellStart"/>
      <w:r>
        <w:t>cdf</w:t>
      </w:r>
      <w:proofErr w:type="spellEnd"/>
      <w:r>
        <w:t xml:space="preserve"> of UL and DL PER is shown in Figure </w:t>
      </w:r>
      <w:r w:rsidR="00FA6163">
        <w:t>6</w:t>
      </w:r>
      <w:r>
        <w:t xml:space="preserve">. </w:t>
      </w:r>
    </w:p>
    <w:p w14:paraId="029DD101" w14:textId="77777777" w:rsidR="008E56D0" w:rsidRDefault="008E56D0" w:rsidP="008E56D0">
      <w:pPr>
        <w:keepNext/>
      </w:pPr>
      <w:r>
        <w:rPr>
          <w:noProof/>
        </w:rPr>
        <w:lastRenderedPageBreak/>
        <w:drawing>
          <wp:inline distT="0" distB="0" distL="0" distR="0" wp14:anchorId="35535301" wp14:editId="78D6B325">
            <wp:extent cx="4686771" cy="351884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78" cy="35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E537" w14:textId="38DF8966" w:rsidR="008E56D0" w:rsidRDefault="008E56D0" w:rsidP="008E56D0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6</w:t>
      </w:r>
      <w:r>
        <w:fldChar w:fldCharType="end"/>
      </w:r>
    </w:p>
    <w:p w14:paraId="79EBA00D" w14:textId="28B42A0C" w:rsidR="00AE5F05" w:rsidRDefault="00AE5F05" w:rsidP="00981A01">
      <w:r>
        <w:t xml:space="preserve">The latency </w:t>
      </w:r>
      <w:proofErr w:type="spellStart"/>
      <w:r>
        <w:t>cdf</w:t>
      </w:r>
      <w:proofErr w:type="spellEnd"/>
      <w:r>
        <w:t xml:space="preserve"> for</w:t>
      </w:r>
      <w:r w:rsidR="00C036B6">
        <w:t xml:space="preserve"> the achievable</w:t>
      </w:r>
      <w:r>
        <w:t xml:space="preserve"> </w:t>
      </w:r>
      <w:r w:rsidR="007260D4">
        <w:t>5</w:t>
      </w:r>
      <w:r>
        <w:t xml:space="preserve"> UE/cell is shown in Figure </w:t>
      </w:r>
      <w:r w:rsidR="00FA6163">
        <w:t>7</w:t>
      </w:r>
      <w:r>
        <w:t>.</w:t>
      </w:r>
    </w:p>
    <w:p w14:paraId="1E0CF96D" w14:textId="1F6B0E71" w:rsidR="00AE5F05" w:rsidRDefault="00920EC0" w:rsidP="00AE5F05">
      <w:pPr>
        <w:keepNext/>
      </w:pPr>
      <w:r>
        <w:rPr>
          <w:noProof/>
        </w:rPr>
        <w:drawing>
          <wp:inline distT="0" distB="0" distL="0" distR="0" wp14:anchorId="45C2DFCB" wp14:editId="425CA891">
            <wp:extent cx="4649190" cy="3488276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58" cy="35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07DE" w14:textId="285E40A4" w:rsidR="00AE5F05" w:rsidRPr="00981A01" w:rsidRDefault="00AE5F05" w:rsidP="00AE5F0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7</w:t>
      </w:r>
      <w:r>
        <w:fldChar w:fldCharType="end"/>
      </w:r>
    </w:p>
    <w:p w14:paraId="69DE80A2" w14:textId="6DFB3B76" w:rsidR="005C6486" w:rsidRDefault="005C6486" w:rsidP="00063AAA">
      <w:pPr>
        <w:pStyle w:val="Heading4"/>
      </w:pPr>
      <w:bookmarkStart w:id="4" w:name="_Hlk64770755"/>
      <w:r>
        <w:lastRenderedPageBreak/>
        <w:t xml:space="preserve">CSA </w:t>
      </w:r>
      <w:r w:rsidR="00C12CC5">
        <w:t xml:space="preserve">error metric </w:t>
      </w:r>
      <w:r>
        <w:t>with packet survival time</w:t>
      </w:r>
      <w:r w:rsidR="00161A3C">
        <w:t xml:space="preserve"> = 1</w:t>
      </w:r>
    </w:p>
    <w:bookmarkEnd w:id="4"/>
    <w:p w14:paraId="63109F5E" w14:textId="2FFC5312" w:rsidR="005C6486" w:rsidRDefault="00C12CC5" w:rsidP="005C6486">
      <w:r>
        <w:t xml:space="preserve">Under the one-shot </w:t>
      </w:r>
      <w:r w:rsidR="00E24E00">
        <w:t>approach</w:t>
      </w:r>
      <w:r>
        <w:t xml:space="preserve">, the CSA error metric with packet survival time = 1 is equivalent to the probability of having </w:t>
      </w:r>
      <w:r w:rsidR="005C6486">
        <w:t xml:space="preserve">two or more consecutive packet errors. </w:t>
      </w:r>
      <w:r w:rsidR="00F51204">
        <w:t xml:space="preserve">The BLER </w:t>
      </w:r>
      <w:r>
        <w:t>target</w:t>
      </w:r>
      <w:r w:rsidR="00C61365">
        <w:t xml:space="preserve"> of</w:t>
      </w:r>
      <w:r w:rsidR="00F51204">
        <w:t xml:space="preserve"> each packet is set to 10</w:t>
      </w:r>
      <w:r w:rsidR="00F51204">
        <w:rPr>
          <w:vertAlign w:val="superscript"/>
        </w:rPr>
        <w:t>-</w:t>
      </w:r>
      <w:r w:rsidR="00F51204" w:rsidRPr="00F51204">
        <w:rPr>
          <w:vertAlign w:val="superscript"/>
        </w:rPr>
        <w:t>4</w:t>
      </w:r>
      <w:r w:rsidR="00F51204">
        <w:t xml:space="preserve">. </w:t>
      </w:r>
      <w:r w:rsidR="003629DD" w:rsidRPr="003629DD">
        <w:t xml:space="preserve">The percentage of users satisfying the </w:t>
      </w:r>
      <w:r w:rsidR="003629DD">
        <w:t>CSA</w:t>
      </w:r>
      <w:r w:rsidR="003629DD" w:rsidRPr="003629DD">
        <w:t xml:space="preserve"> requirement </w:t>
      </w:r>
      <w:r w:rsidR="00F51204">
        <w:t>is</w:t>
      </w:r>
      <w:r w:rsidR="003629DD">
        <w:t xml:space="preserve"> </w:t>
      </w:r>
      <w:r w:rsidR="003629DD" w:rsidRPr="003629DD">
        <w:t xml:space="preserve">stated in Table </w:t>
      </w:r>
      <w:r w:rsidR="003629DD">
        <w:t>4</w:t>
      </w:r>
      <w:r w:rsidR="00F51204">
        <w:t>, which</w:t>
      </w:r>
      <w:r w:rsidR="003629DD" w:rsidRPr="003629DD">
        <w:t xml:space="preserve"> shows that the </w:t>
      </w:r>
      <w:r w:rsidR="003629DD">
        <w:t xml:space="preserve">corresponding </w:t>
      </w:r>
      <w:r w:rsidR="003629DD" w:rsidRPr="003629DD">
        <w:t xml:space="preserve">capacity is between </w:t>
      </w:r>
      <w:r w:rsidR="003629DD">
        <w:t>12</w:t>
      </w:r>
      <w:r w:rsidR="003629DD" w:rsidRPr="003629DD">
        <w:t xml:space="preserve"> and 1</w:t>
      </w:r>
      <w:r w:rsidR="003629DD">
        <w:t>8</w:t>
      </w:r>
      <w:r w:rsidR="003629DD" w:rsidRPr="003629DD">
        <w:t>.</w:t>
      </w:r>
    </w:p>
    <w:p w14:paraId="4A9991FD" w14:textId="6EFA748E" w:rsidR="00AF3752" w:rsidRDefault="00AF3752" w:rsidP="00AF3752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C42FA">
        <w:rPr>
          <w:noProof/>
        </w:rPr>
        <w:t>4</w:t>
      </w:r>
      <w:r>
        <w:fldChar w:fldCharType="end"/>
      </w: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5575"/>
        <w:gridCol w:w="1725"/>
        <w:gridCol w:w="1858"/>
      </w:tblGrid>
      <w:tr w:rsidR="00D7357B" w14:paraId="37B58673" w14:textId="77777777" w:rsidTr="00A33E08">
        <w:trPr>
          <w:trHeight w:val="476"/>
        </w:trPr>
        <w:tc>
          <w:tcPr>
            <w:tcW w:w="5575" w:type="dxa"/>
          </w:tcPr>
          <w:p w14:paraId="55F6C86F" w14:textId="1FE332FD" w:rsidR="00D7357B" w:rsidRPr="00D7357B" w:rsidRDefault="00D7357B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># of UE/cell</w:t>
            </w:r>
            <w:r w:rsidR="00E5061E">
              <w:rPr>
                <w:sz w:val="20"/>
                <w:szCs w:val="14"/>
              </w:rPr>
              <w:t xml:space="preserve"> </w:t>
            </w:r>
          </w:p>
        </w:tc>
        <w:tc>
          <w:tcPr>
            <w:tcW w:w="1725" w:type="dxa"/>
          </w:tcPr>
          <w:p w14:paraId="77742A9B" w14:textId="4D62EB7F" w:rsidR="00D7357B" w:rsidRPr="007313DE" w:rsidRDefault="006853A8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7313DE">
              <w:rPr>
                <w:sz w:val="20"/>
                <w:szCs w:val="14"/>
                <w:highlight w:val="yellow"/>
              </w:rPr>
              <w:t>1</w:t>
            </w:r>
            <w:r w:rsidR="00E5061E" w:rsidRPr="007313DE">
              <w:rPr>
                <w:sz w:val="20"/>
                <w:szCs w:val="14"/>
                <w:highlight w:val="yellow"/>
              </w:rPr>
              <w:t>2</w:t>
            </w:r>
          </w:p>
        </w:tc>
        <w:tc>
          <w:tcPr>
            <w:tcW w:w="1858" w:type="dxa"/>
          </w:tcPr>
          <w:p w14:paraId="3E9365CF" w14:textId="055DFA76" w:rsidR="00D7357B" w:rsidRPr="00D7357B" w:rsidRDefault="006853A8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18</w:t>
            </w:r>
          </w:p>
        </w:tc>
      </w:tr>
      <w:tr w:rsidR="00D7357B" w14:paraId="4E573DA1" w14:textId="77777777" w:rsidTr="00A33E08">
        <w:trPr>
          <w:trHeight w:val="631"/>
        </w:trPr>
        <w:tc>
          <w:tcPr>
            <w:tcW w:w="5575" w:type="dxa"/>
          </w:tcPr>
          <w:p w14:paraId="49F3B1DC" w14:textId="4F28417F" w:rsidR="00D7357B" w:rsidRPr="00D7357B" w:rsidRDefault="00D7357B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 w:rsidR="006B12F6">
              <w:rPr>
                <w:sz w:val="20"/>
                <w:szCs w:val="14"/>
              </w:rPr>
              <w:t xml:space="preserve">UL </w:t>
            </w:r>
            <w:r w:rsidR="00DD15E7">
              <w:rPr>
                <w:sz w:val="20"/>
                <w:szCs w:val="14"/>
              </w:rPr>
              <w:t>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 w:rsidR="003629DD">
              <w:rPr>
                <w:sz w:val="20"/>
                <w:szCs w:val="14"/>
              </w:rPr>
              <w:t xml:space="preserve">CSA </w:t>
            </w:r>
            <w:r w:rsidR="002B0196">
              <w:rPr>
                <w:sz w:val="20"/>
                <w:szCs w:val="14"/>
              </w:rPr>
              <w:t>error</w:t>
            </w:r>
            <w:r w:rsidRPr="00D7357B">
              <w:rPr>
                <w:sz w:val="20"/>
                <w:szCs w:val="14"/>
              </w:rPr>
              <w:t xml:space="preserve"> </w:t>
            </w:r>
            <w:r w:rsidR="008B40F2">
              <w:rPr>
                <w:sz w:val="20"/>
                <w:szCs w:val="14"/>
              </w:rPr>
              <w:t xml:space="preserve">rate </w:t>
            </w:r>
            <w:r w:rsidRPr="00D7357B">
              <w:rPr>
                <w:sz w:val="20"/>
                <w:szCs w:val="14"/>
              </w:rPr>
              <w:t>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725" w:type="dxa"/>
          </w:tcPr>
          <w:p w14:paraId="24FB14B9" w14:textId="77777777" w:rsidR="00D7357B" w:rsidRPr="007313DE" w:rsidRDefault="00D7357B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7313DE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858" w:type="dxa"/>
          </w:tcPr>
          <w:p w14:paraId="4F56C1D7" w14:textId="310E0465" w:rsidR="00D7357B" w:rsidRPr="00D7357B" w:rsidRDefault="00ED1906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99.75%</w:t>
            </w:r>
          </w:p>
        </w:tc>
      </w:tr>
      <w:tr w:rsidR="006B12F6" w14:paraId="13E8DB61" w14:textId="77777777" w:rsidTr="00A33E08">
        <w:trPr>
          <w:trHeight w:val="278"/>
        </w:trPr>
        <w:tc>
          <w:tcPr>
            <w:tcW w:w="5575" w:type="dxa"/>
          </w:tcPr>
          <w:p w14:paraId="3929B6E4" w14:textId="2BEEC2C6" w:rsidR="006B12F6" w:rsidRPr="00D7357B" w:rsidRDefault="006B12F6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 xml:space="preserve">DL </w:t>
            </w:r>
            <w:r w:rsidR="00DD15E7">
              <w:rPr>
                <w:sz w:val="20"/>
                <w:szCs w:val="14"/>
              </w:rPr>
              <w:t>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>
              <w:rPr>
                <w:sz w:val="20"/>
                <w:szCs w:val="14"/>
              </w:rPr>
              <w:t>CSA error</w:t>
            </w:r>
            <w:r w:rsidRPr="00D7357B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 xml:space="preserve">rate </w:t>
            </w:r>
            <w:r w:rsidRPr="00D7357B">
              <w:rPr>
                <w:sz w:val="20"/>
                <w:szCs w:val="14"/>
              </w:rPr>
              <w:t>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725" w:type="dxa"/>
          </w:tcPr>
          <w:p w14:paraId="105A2CC9" w14:textId="690DBBCD" w:rsidR="006B12F6" w:rsidRPr="007313DE" w:rsidRDefault="006B12F6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7313DE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858" w:type="dxa"/>
          </w:tcPr>
          <w:p w14:paraId="6E74DA55" w14:textId="1F13AB29" w:rsidR="006B12F6" w:rsidRDefault="0010201F" w:rsidP="008B40F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100%</w:t>
            </w:r>
          </w:p>
        </w:tc>
      </w:tr>
    </w:tbl>
    <w:p w14:paraId="4D3641F1" w14:textId="66F4638F" w:rsidR="00D7357B" w:rsidRDefault="00D7357B" w:rsidP="005C6486"/>
    <w:p w14:paraId="2A3586F2" w14:textId="48D1ADDC" w:rsidR="009A6E4E" w:rsidRDefault="003B1811" w:rsidP="005C6486">
      <w:r>
        <w:t>If the network operates at 18 UE/cell which exceeds the capacity, t</w:t>
      </w:r>
      <w:r w:rsidR="00BF72F0">
        <w:t xml:space="preserve">he </w:t>
      </w:r>
      <w:r>
        <w:t xml:space="preserve">corresponding </w:t>
      </w:r>
      <w:r w:rsidR="00BF72F0">
        <w:t xml:space="preserve">complementary </w:t>
      </w:r>
      <w:proofErr w:type="spellStart"/>
      <w:r w:rsidR="00BF72F0">
        <w:t>cdf</w:t>
      </w:r>
      <w:proofErr w:type="spellEnd"/>
      <w:r w:rsidR="00BF72F0">
        <w:t xml:space="preserve"> of UL CSA error is shown in Figure </w:t>
      </w:r>
      <w:r w:rsidR="00FA6163">
        <w:t>8</w:t>
      </w:r>
      <w:r w:rsidR="00BF72F0">
        <w:t>.</w:t>
      </w:r>
      <w:r w:rsidR="009A6E4E">
        <w:t xml:space="preserve"> </w:t>
      </w:r>
    </w:p>
    <w:p w14:paraId="00347987" w14:textId="77777777" w:rsidR="009A6E4E" w:rsidRDefault="009A6E4E" w:rsidP="009A6E4E">
      <w:pPr>
        <w:keepNext/>
      </w:pPr>
      <w:r>
        <w:rPr>
          <w:noProof/>
        </w:rPr>
        <w:drawing>
          <wp:inline distT="0" distB="0" distL="0" distR="0" wp14:anchorId="321679E6" wp14:editId="6EE81135">
            <wp:extent cx="4593946" cy="34491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92" cy="34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9FF6" w14:textId="7D598467" w:rsidR="009A6E4E" w:rsidRDefault="009A6E4E" w:rsidP="009A6E4E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8</w:t>
      </w:r>
      <w:r>
        <w:fldChar w:fldCharType="end"/>
      </w:r>
    </w:p>
    <w:p w14:paraId="489C5D6F" w14:textId="5753A84D" w:rsidR="00AE5F05" w:rsidRDefault="00AE5F05" w:rsidP="005C6486">
      <w:r>
        <w:t xml:space="preserve">The latency </w:t>
      </w:r>
      <w:proofErr w:type="spellStart"/>
      <w:r>
        <w:t>cdf</w:t>
      </w:r>
      <w:proofErr w:type="spellEnd"/>
      <w:r>
        <w:t xml:space="preserve"> for </w:t>
      </w:r>
      <w:r w:rsidR="00C036B6">
        <w:t xml:space="preserve">the achievable </w:t>
      </w:r>
      <w:r>
        <w:t xml:space="preserve">12 UE/cell is shown in Figure </w:t>
      </w:r>
      <w:r w:rsidR="00FA6163">
        <w:t>9</w:t>
      </w:r>
      <w:r>
        <w:t>.</w:t>
      </w:r>
    </w:p>
    <w:p w14:paraId="71324924" w14:textId="42E2075B" w:rsidR="00AE5F05" w:rsidRDefault="00517646" w:rsidP="00AE5F05">
      <w:pPr>
        <w:keepNext/>
      </w:pPr>
      <w:r>
        <w:rPr>
          <w:noProof/>
        </w:rPr>
        <w:lastRenderedPageBreak/>
        <w:drawing>
          <wp:inline distT="0" distB="0" distL="0" distR="0" wp14:anchorId="059E381B" wp14:editId="55732DF4">
            <wp:extent cx="4679499" cy="3511017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44" cy="35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2A40" w14:textId="59A63103" w:rsidR="00AE5F05" w:rsidRDefault="00AE5F05" w:rsidP="00AE5F0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9</w:t>
      </w:r>
      <w:r>
        <w:fldChar w:fldCharType="end"/>
      </w:r>
    </w:p>
    <w:p w14:paraId="47B922E9" w14:textId="77777777" w:rsidR="002509FD" w:rsidRPr="002509FD" w:rsidRDefault="002509FD" w:rsidP="002509FD"/>
    <w:p w14:paraId="0CE13765" w14:textId="762F962F" w:rsidR="00F36967" w:rsidRDefault="00F36967" w:rsidP="008C44F3">
      <w:pPr>
        <w:pStyle w:val="Heading2"/>
      </w:pPr>
      <w:r w:rsidRPr="00F36967">
        <w:t>Category B: Independent/Uncoordinated scheduling</w:t>
      </w:r>
    </w:p>
    <w:p w14:paraId="3765EC62" w14:textId="6CF94EA7" w:rsidR="00F36967" w:rsidRDefault="00F36967" w:rsidP="00F36967">
      <w:pPr>
        <w:pStyle w:val="Heading3"/>
      </w:pPr>
      <w:r>
        <w:t>One-shot approach</w:t>
      </w:r>
      <w:r w:rsidR="001C5B6A">
        <w:t xml:space="preserve"> with reuse-</w:t>
      </w:r>
      <w:r w:rsidR="008D5019">
        <w:t>(</w:t>
      </w:r>
      <w:r w:rsidR="00537273">
        <w:t>1/12</w:t>
      </w:r>
      <w:r w:rsidR="008D5019">
        <w:t>)</w:t>
      </w:r>
      <w:r w:rsidR="001C5B6A">
        <w:t xml:space="preserve"> transmissions</w:t>
      </w:r>
    </w:p>
    <w:p w14:paraId="15B424F5" w14:textId="517D0C89" w:rsidR="004D054B" w:rsidRPr="004D054B" w:rsidRDefault="004D054B" w:rsidP="004D054B">
      <w:pPr>
        <w:pStyle w:val="Heading4"/>
      </w:pPr>
      <w:r>
        <w:t>CSA error metric with packet survival time = 0</w:t>
      </w:r>
    </w:p>
    <w:p w14:paraId="7F33E25E" w14:textId="2AF33644" w:rsidR="00D4660C" w:rsidRDefault="001D6DB9" w:rsidP="00D4660C">
      <w:r>
        <w:t>All the BS operate</w:t>
      </w:r>
      <w:r w:rsidR="00741BB4">
        <w:t xml:space="preserve"> in orthogonal frequency bands</w:t>
      </w:r>
      <w:r>
        <w:t xml:space="preserve"> in a static frequency reuse manner </w:t>
      </w:r>
      <w:r w:rsidR="004071C5">
        <w:t>where e</w:t>
      </w:r>
      <w:r w:rsidR="00D4660C">
        <w:t xml:space="preserve">ach BS is allocated </w:t>
      </w:r>
      <w:r w:rsidR="00EB0BD0">
        <w:t>21 RBs</w:t>
      </w:r>
      <w:r w:rsidR="0095616C">
        <w:t xml:space="preserve"> in every time slot</w:t>
      </w:r>
      <w:r>
        <w:t>.</w:t>
      </w:r>
      <w:r w:rsidR="00456C2E">
        <w:t xml:space="preserve"> </w:t>
      </w:r>
      <w:r w:rsidR="00120E7F">
        <w:t>Our simulations reveal that t</w:t>
      </w:r>
      <w:r w:rsidR="00F05CAC">
        <w:t>he minimum downlink and uplink SNR</w:t>
      </w:r>
      <w:r w:rsidR="00EA2E5B">
        <w:t xml:space="preserve">s are </w:t>
      </w:r>
      <w:r w:rsidR="00E751BB">
        <w:t>very close to</w:t>
      </w:r>
      <w:r w:rsidR="00EA2E5B">
        <w:t xml:space="preserve"> 10 </w:t>
      </w:r>
      <w:proofErr w:type="spellStart"/>
      <w:r w:rsidR="00EA2E5B">
        <w:t>dB.</w:t>
      </w:r>
      <w:proofErr w:type="spellEnd"/>
      <w:r w:rsidR="00EA2E5B">
        <w:t xml:space="preserve"> In order to achieve 10</w:t>
      </w:r>
      <w:r w:rsidR="00EA2E5B" w:rsidRPr="00EA2E5B">
        <w:rPr>
          <w:vertAlign w:val="superscript"/>
        </w:rPr>
        <w:t>-6</w:t>
      </w:r>
      <w:r w:rsidR="00EA2E5B">
        <w:t xml:space="preserve"> </w:t>
      </w:r>
      <w:r w:rsidR="004D054B">
        <w:t>PER</w:t>
      </w:r>
      <w:r w:rsidR="000E76BE">
        <w:t xml:space="preserve">, </w:t>
      </w:r>
      <w:r w:rsidR="00B72396">
        <w:t>MCS 18 is chosen</w:t>
      </w:r>
      <w:r w:rsidR="00726629">
        <w:t xml:space="preserve"> for each packet</w:t>
      </w:r>
      <w:r w:rsidR="0095616C">
        <w:t>,</w:t>
      </w:r>
      <w:r w:rsidR="00B72396">
        <w:t xml:space="preserve"> </w:t>
      </w:r>
      <w:r w:rsidR="009657AB">
        <w:t xml:space="preserve">which </w:t>
      </w:r>
      <w:r w:rsidR="0095616C">
        <w:t xml:space="preserve">implies that </w:t>
      </w:r>
      <w:r w:rsidR="00726629">
        <w:t>17</w:t>
      </w:r>
      <w:r w:rsidR="00F55A4F">
        <w:t xml:space="preserve"> RB</w:t>
      </w:r>
      <w:r w:rsidR="00726629">
        <w:t>s</w:t>
      </w:r>
      <w:r w:rsidR="00F55A4F">
        <w:t xml:space="preserve"> </w:t>
      </w:r>
      <w:r w:rsidR="00E213AD">
        <w:t xml:space="preserve">are needed </w:t>
      </w:r>
      <w:r w:rsidR="005C09C4">
        <w:t xml:space="preserve">for each </w:t>
      </w:r>
      <w:r w:rsidR="009A22B5">
        <w:t xml:space="preserve">48-byte </w:t>
      </w:r>
      <w:r w:rsidR="005C09C4">
        <w:t>packet transmission.</w:t>
      </w:r>
      <w:r w:rsidR="00847D16">
        <w:t xml:space="preserve"> Therefore, each 2-symbol mini-slot can support </w:t>
      </w:r>
      <w:r w:rsidR="0026489B">
        <w:t>2 UE/cell.</w:t>
      </w:r>
      <w:r w:rsidR="005C09C4">
        <w:t xml:space="preserve"> </w:t>
      </w:r>
      <w:r w:rsidR="00C97818">
        <w:t xml:space="preserve">Consequently, </w:t>
      </w:r>
      <w:r w:rsidR="005A5C1C">
        <w:t>we obtain the following result: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1969"/>
      </w:tblGrid>
      <w:tr w:rsidR="007F1979" w14:paraId="189AE217" w14:textId="77777777" w:rsidTr="009175D2">
        <w:trPr>
          <w:trHeight w:val="600"/>
        </w:trPr>
        <w:tc>
          <w:tcPr>
            <w:tcW w:w="4792" w:type="dxa"/>
          </w:tcPr>
          <w:p w14:paraId="7FCC2222" w14:textId="77777777" w:rsidR="007F1979" w:rsidRPr="00D7357B" w:rsidRDefault="007F1979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># of UE/cell</w:t>
            </w:r>
          </w:p>
        </w:tc>
        <w:tc>
          <w:tcPr>
            <w:tcW w:w="1969" w:type="dxa"/>
          </w:tcPr>
          <w:p w14:paraId="55466D15" w14:textId="2938A7B7" w:rsidR="007F1979" w:rsidRPr="008E56D0" w:rsidRDefault="00492297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>
              <w:rPr>
                <w:sz w:val="20"/>
                <w:szCs w:val="14"/>
                <w:highlight w:val="yellow"/>
              </w:rPr>
              <w:t>12</w:t>
            </w:r>
          </w:p>
        </w:tc>
      </w:tr>
      <w:tr w:rsidR="007F1979" w14:paraId="606F52A6" w14:textId="77777777" w:rsidTr="009175D2">
        <w:trPr>
          <w:trHeight w:val="600"/>
        </w:trPr>
        <w:tc>
          <w:tcPr>
            <w:tcW w:w="4792" w:type="dxa"/>
          </w:tcPr>
          <w:p w14:paraId="08E05D5B" w14:textId="77777777" w:rsidR="007F1979" w:rsidRPr="00D7357B" w:rsidRDefault="007F1979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 xml:space="preserve">UL packets </w:t>
            </w:r>
            <w:r w:rsidRPr="00D7357B">
              <w:rPr>
                <w:sz w:val="20"/>
                <w:szCs w:val="14"/>
              </w:rPr>
              <w:t xml:space="preserve">satisfying </w:t>
            </w:r>
            <w:r>
              <w:rPr>
                <w:sz w:val="20"/>
                <w:szCs w:val="14"/>
              </w:rPr>
              <w:t>PER</w:t>
            </w:r>
            <w:r w:rsidRPr="00D7357B">
              <w:rPr>
                <w:sz w:val="20"/>
                <w:szCs w:val="14"/>
              </w:rPr>
              <w:t xml:space="preserve"> 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969" w:type="dxa"/>
          </w:tcPr>
          <w:p w14:paraId="226A2D19" w14:textId="77777777" w:rsidR="007F1979" w:rsidRPr="008E56D0" w:rsidRDefault="007F1979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8E56D0">
              <w:rPr>
                <w:sz w:val="20"/>
                <w:szCs w:val="14"/>
                <w:highlight w:val="yellow"/>
              </w:rPr>
              <w:t>100%</w:t>
            </w:r>
          </w:p>
        </w:tc>
      </w:tr>
      <w:tr w:rsidR="007F1979" w14:paraId="55A84895" w14:textId="77777777" w:rsidTr="009175D2">
        <w:trPr>
          <w:trHeight w:val="600"/>
        </w:trPr>
        <w:tc>
          <w:tcPr>
            <w:tcW w:w="4792" w:type="dxa"/>
          </w:tcPr>
          <w:p w14:paraId="29C295FA" w14:textId="77777777" w:rsidR="007F1979" w:rsidRPr="00D7357B" w:rsidRDefault="007F1979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>DL 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>
              <w:rPr>
                <w:sz w:val="20"/>
                <w:szCs w:val="14"/>
              </w:rPr>
              <w:t>PER</w:t>
            </w:r>
            <w:r w:rsidRPr="00D7357B">
              <w:rPr>
                <w:sz w:val="20"/>
                <w:szCs w:val="14"/>
              </w:rPr>
              <w:t xml:space="preserve"> 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969" w:type="dxa"/>
          </w:tcPr>
          <w:p w14:paraId="29007256" w14:textId="77777777" w:rsidR="007F1979" w:rsidRPr="008E56D0" w:rsidRDefault="007F1979" w:rsidP="009175D2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8E56D0">
              <w:rPr>
                <w:sz w:val="20"/>
                <w:szCs w:val="14"/>
                <w:highlight w:val="yellow"/>
              </w:rPr>
              <w:t>100%</w:t>
            </w:r>
          </w:p>
        </w:tc>
      </w:tr>
    </w:tbl>
    <w:p w14:paraId="2D2BAE58" w14:textId="7D3DB7A4" w:rsidR="005A5C1C" w:rsidRPr="00D4660C" w:rsidRDefault="005A5C1C" w:rsidP="00D4660C"/>
    <w:p w14:paraId="7A6C5DD0" w14:textId="27013DF2" w:rsidR="002904DF" w:rsidRDefault="002904DF" w:rsidP="002904DF">
      <w:r>
        <w:t xml:space="preserve">The latency </w:t>
      </w:r>
      <w:proofErr w:type="spellStart"/>
      <w:r>
        <w:t>cdf</w:t>
      </w:r>
      <w:proofErr w:type="spellEnd"/>
      <w:r>
        <w:t xml:space="preserve"> for the achievable 12 UE/cell is </w:t>
      </w:r>
      <w:r w:rsidR="009E5872">
        <w:t>almost identical</w:t>
      </w:r>
      <w:r>
        <w:t xml:space="preserve"> to Figure 9 and therefore omitted.</w:t>
      </w:r>
    </w:p>
    <w:p w14:paraId="43BB1047" w14:textId="77777777" w:rsidR="002904DF" w:rsidRPr="00D4660C" w:rsidRDefault="002904DF" w:rsidP="00D4660C"/>
    <w:p w14:paraId="74F4AA0D" w14:textId="7388E002" w:rsidR="00192A30" w:rsidRDefault="00192A30" w:rsidP="009D3601">
      <w:pPr>
        <w:pStyle w:val="Heading2"/>
      </w:pPr>
      <w:r w:rsidRPr="009D3601">
        <w:lastRenderedPageBreak/>
        <w:t xml:space="preserve">Category </w:t>
      </w:r>
      <w:r>
        <w:t>C</w:t>
      </w:r>
      <w:r w:rsidRPr="009D3601">
        <w:t xml:space="preserve">: </w:t>
      </w:r>
      <w:r w:rsidR="005B64B2" w:rsidRPr="009D3601">
        <w:rPr>
          <w:rFonts w:cs="Arial"/>
          <w:szCs w:val="32"/>
          <w:lang w:eastAsia="ja-JP"/>
        </w:rPr>
        <w:t xml:space="preserve">Common/centralized scheduling among BS/TRP </w:t>
      </w:r>
    </w:p>
    <w:p w14:paraId="45E3C106" w14:textId="5DD14711" w:rsidR="008C44F3" w:rsidRDefault="008C44F3" w:rsidP="001127E2">
      <w:pPr>
        <w:pStyle w:val="Heading3"/>
      </w:pPr>
      <w:r w:rsidRPr="00E75383">
        <w:t xml:space="preserve">HARQ </w:t>
      </w:r>
      <w:r>
        <w:t>approach</w:t>
      </w:r>
      <w:r w:rsidR="006736A4">
        <w:t xml:space="preserve"> with </w:t>
      </w:r>
      <w:r w:rsidR="00992E11">
        <w:t>reuse-1 SPS transmissions and</w:t>
      </w:r>
      <w:r w:rsidR="006736A4">
        <w:t xml:space="preserve"> </w:t>
      </w:r>
      <w:r w:rsidR="00496A40">
        <w:t>orthogonal</w:t>
      </w:r>
      <w:r w:rsidR="006736A4">
        <w:t xml:space="preserve"> </w:t>
      </w:r>
      <w:r w:rsidR="00ED7D55">
        <w:t>r</w:t>
      </w:r>
      <w:r w:rsidR="006736A4">
        <w:t>etransmissions</w:t>
      </w:r>
    </w:p>
    <w:p w14:paraId="6601A4F9" w14:textId="7C18A335" w:rsidR="006E58EB" w:rsidRDefault="008232C6" w:rsidP="00392809">
      <w:pPr>
        <w:pStyle w:val="Caption"/>
        <w:rPr>
          <w:i w:val="0"/>
          <w:iCs w:val="0"/>
          <w:color w:val="auto"/>
          <w:sz w:val="22"/>
          <w:szCs w:val="20"/>
        </w:rPr>
      </w:pPr>
      <w:r>
        <w:rPr>
          <w:i w:val="0"/>
          <w:iCs w:val="0"/>
          <w:color w:val="auto"/>
          <w:sz w:val="22"/>
          <w:szCs w:val="20"/>
        </w:rPr>
        <w:t>Our HARQ approach consists of r</w:t>
      </w:r>
      <w:r w:rsidR="00992E11">
        <w:rPr>
          <w:i w:val="0"/>
          <w:iCs w:val="0"/>
          <w:color w:val="auto"/>
          <w:sz w:val="22"/>
          <w:szCs w:val="20"/>
        </w:rPr>
        <w:t xml:space="preserve">euse-1 SPS transmissions </w:t>
      </w:r>
      <w:r>
        <w:rPr>
          <w:i w:val="0"/>
          <w:iCs w:val="0"/>
          <w:color w:val="auto"/>
          <w:sz w:val="22"/>
          <w:szCs w:val="20"/>
        </w:rPr>
        <w:t>and o</w:t>
      </w:r>
      <w:r w:rsidR="00496A40">
        <w:rPr>
          <w:i w:val="0"/>
          <w:iCs w:val="0"/>
          <w:color w:val="auto"/>
          <w:sz w:val="22"/>
          <w:szCs w:val="20"/>
        </w:rPr>
        <w:t>rthogonal</w:t>
      </w:r>
      <w:r w:rsidR="00F523C8">
        <w:rPr>
          <w:i w:val="0"/>
          <w:iCs w:val="0"/>
          <w:color w:val="auto"/>
          <w:sz w:val="22"/>
          <w:szCs w:val="20"/>
        </w:rPr>
        <w:t xml:space="preserve"> </w:t>
      </w:r>
      <w:r w:rsidR="00563D4F">
        <w:rPr>
          <w:i w:val="0"/>
          <w:iCs w:val="0"/>
          <w:color w:val="auto"/>
          <w:sz w:val="22"/>
          <w:szCs w:val="20"/>
        </w:rPr>
        <w:t xml:space="preserve">retransmissions </w:t>
      </w:r>
      <w:r>
        <w:rPr>
          <w:i w:val="0"/>
          <w:iCs w:val="0"/>
          <w:color w:val="auto"/>
          <w:sz w:val="22"/>
          <w:szCs w:val="20"/>
        </w:rPr>
        <w:t>where</w:t>
      </w:r>
      <w:r w:rsidR="00B72917">
        <w:rPr>
          <w:i w:val="0"/>
          <w:iCs w:val="0"/>
          <w:color w:val="auto"/>
          <w:sz w:val="22"/>
          <w:szCs w:val="20"/>
        </w:rPr>
        <w:t xml:space="preserve"> </w:t>
      </w:r>
      <w:r w:rsidR="001D2BA1">
        <w:rPr>
          <w:i w:val="0"/>
          <w:iCs w:val="0"/>
          <w:color w:val="auto"/>
          <w:sz w:val="22"/>
          <w:szCs w:val="20"/>
        </w:rPr>
        <w:t>the retransmissions</w:t>
      </w:r>
      <w:r w:rsidR="007E671A">
        <w:rPr>
          <w:i w:val="0"/>
          <w:iCs w:val="0"/>
          <w:color w:val="auto"/>
          <w:sz w:val="22"/>
          <w:szCs w:val="20"/>
        </w:rPr>
        <w:t xml:space="preserve"> </w:t>
      </w:r>
      <w:r w:rsidR="00276935">
        <w:rPr>
          <w:i w:val="0"/>
          <w:iCs w:val="0"/>
          <w:color w:val="auto"/>
          <w:sz w:val="22"/>
          <w:szCs w:val="20"/>
        </w:rPr>
        <w:t>among cells</w:t>
      </w:r>
      <w:r w:rsidR="007E671A">
        <w:rPr>
          <w:i w:val="0"/>
          <w:iCs w:val="0"/>
          <w:color w:val="auto"/>
          <w:sz w:val="22"/>
          <w:szCs w:val="20"/>
        </w:rPr>
        <w:t xml:space="preserve"> </w:t>
      </w:r>
      <w:r w:rsidR="004E5A81">
        <w:rPr>
          <w:i w:val="0"/>
          <w:iCs w:val="0"/>
          <w:color w:val="auto"/>
          <w:sz w:val="22"/>
          <w:szCs w:val="20"/>
        </w:rPr>
        <w:t>are orthogonalized</w:t>
      </w:r>
      <w:r w:rsidR="00276935">
        <w:rPr>
          <w:i w:val="0"/>
          <w:iCs w:val="0"/>
          <w:color w:val="auto"/>
          <w:sz w:val="22"/>
          <w:szCs w:val="20"/>
        </w:rPr>
        <w:t xml:space="preserve">. </w:t>
      </w:r>
      <w:r w:rsidR="006E58EB" w:rsidRPr="006E58EB">
        <w:rPr>
          <w:i w:val="0"/>
          <w:iCs w:val="0"/>
          <w:color w:val="auto"/>
          <w:sz w:val="22"/>
          <w:szCs w:val="20"/>
        </w:rPr>
        <w:t>The BLER target for each DL SPS packet and each UL SPS packet is set to 10</w:t>
      </w:r>
      <w:r w:rsidR="006E58EB" w:rsidRPr="006E58EB">
        <w:rPr>
          <w:i w:val="0"/>
          <w:iCs w:val="0"/>
          <w:color w:val="auto"/>
          <w:sz w:val="22"/>
          <w:szCs w:val="20"/>
          <w:vertAlign w:val="superscript"/>
        </w:rPr>
        <w:t>-2</w:t>
      </w:r>
      <w:r w:rsidR="006E58EB" w:rsidRPr="006E58EB">
        <w:rPr>
          <w:i w:val="0"/>
          <w:iCs w:val="0"/>
          <w:color w:val="auto"/>
          <w:sz w:val="22"/>
          <w:szCs w:val="20"/>
        </w:rPr>
        <w:t>. The retransmission BLER target is set to below 10</w:t>
      </w:r>
      <w:r w:rsidR="006E58EB" w:rsidRPr="006E58EB">
        <w:rPr>
          <w:i w:val="0"/>
          <w:iCs w:val="0"/>
          <w:color w:val="auto"/>
          <w:sz w:val="22"/>
          <w:szCs w:val="20"/>
          <w:vertAlign w:val="superscript"/>
        </w:rPr>
        <w:t>-4</w:t>
      </w:r>
      <w:r w:rsidR="006E58EB" w:rsidRPr="006E58EB">
        <w:rPr>
          <w:i w:val="0"/>
          <w:iCs w:val="0"/>
          <w:color w:val="auto"/>
          <w:sz w:val="22"/>
          <w:szCs w:val="20"/>
        </w:rPr>
        <w:t xml:space="preserve">. Half of the available frequency band is dedicated to retransmissions during the PDSCH and PUSCH symbols. All the 12 BS coordinate together to </w:t>
      </w:r>
      <w:r w:rsidR="006E58EB">
        <w:rPr>
          <w:i w:val="0"/>
          <w:iCs w:val="0"/>
          <w:color w:val="auto"/>
          <w:sz w:val="22"/>
          <w:szCs w:val="20"/>
        </w:rPr>
        <w:t>schedule</w:t>
      </w:r>
      <w:r w:rsidR="006E58EB" w:rsidRPr="006E58EB">
        <w:rPr>
          <w:i w:val="0"/>
          <w:iCs w:val="0"/>
          <w:color w:val="auto"/>
          <w:sz w:val="22"/>
          <w:szCs w:val="20"/>
        </w:rPr>
        <w:t xml:space="preserve"> orthogonal retransmissions on the dedicated band. A node always transmits at full power if it is performing retransmission</w:t>
      </w:r>
      <w:r w:rsidR="00532DB6">
        <w:rPr>
          <w:i w:val="0"/>
          <w:iCs w:val="0"/>
          <w:color w:val="auto"/>
          <w:sz w:val="22"/>
          <w:szCs w:val="20"/>
        </w:rPr>
        <w:t>s</w:t>
      </w:r>
      <w:r w:rsidR="006E58EB" w:rsidRPr="006E58EB">
        <w:rPr>
          <w:i w:val="0"/>
          <w:iCs w:val="0"/>
          <w:color w:val="auto"/>
          <w:sz w:val="22"/>
          <w:szCs w:val="20"/>
        </w:rPr>
        <w:t>.</w:t>
      </w:r>
    </w:p>
    <w:p w14:paraId="223803A4" w14:textId="77777777" w:rsidR="00FD0FE3" w:rsidRDefault="002D58FF" w:rsidP="00392809">
      <w:pPr>
        <w:pStyle w:val="Caption"/>
        <w:rPr>
          <w:i w:val="0"/>
          <w:iCs w:val="0"/>
          <w:color w:val="auto"/>
          <w:sz w:val="22"/>
          <w:szCs w:val="20"/>
        </w:rPr>
      </w:pPr>
      <w:r>
        <w:rPr>
          <w:i w:val="0"/>
          <w:iCs w:val="0"/>
          <w:color w:val="auto"/>
          <w:sz w:val="22"/>
          <w:szCs w:val="20"/>
        </w:rPr>
        <w:t>During a packet retransmission, the</w:t>
      </w:r>
      <w:r w:rsidR="00231586">
        <w:rPr>
          <w:i w:val="0"/>
          <w:iCs w:val="0"/>
          <w:color w:val="auto"/>
          <w:sz w:val="22"/>
          <w:szCs w:val="20"/>
        </w:rPr>
        <w:t xml:space="preserve"> UE remains connected to the same base station in the RSRP sense</w:t>
      </w:r>
      <w:r w:rsidR="00B20CEA">
        <w:rPr>
          <w:i w:val="0"/>
          <w:iCs w:val="0"/>
          <w:color w:val="auto"/>
          <w:sz w:val="22"/>
          <w:szCs w:val="20"/>
        </w:rPr>
        <w:t xml:space="preserve">, and the base stations do not need to share </w:t>
      </w:r>
      <w:r w:rsidR="0060058E">
        <w:rPr>
          <w:i w:val="0"/>
          <w:iCs w:val="0"/>
          <w:color w:val="auto"/>
          <w:sz w:val="22"/>
          <w:szCs w:val="20"/>
        </w:rPr>
        <w:t xml:space="preserve">the packet or channel state information among them. The base stations only need to share among themselves how many RBs </w:t>
      </w:r>
      <w:r w:rsidR="0030702F">
        <w:rPr>
          <w:i w:val="0"/>
          <w:iCs w:val="0"/>
          <w:color w:val="auto"/>
          <w:sz w:val="22"/>
          <w:szCs w:val="20"/>
        </w:rPr>
        <w:t>are needed</w:t>
      </w:r>
      <w:r w:rsidR="0060058E">
        <w:rPr>
          <w:i w:val="0"/>
          <w:iCs w:val="0"/>
          <w:color w:val="auto"/>
          <w:sz w:val="22"/>
          <w:szCs w:val="20"/>
        </w:rPr>
        <w:t xml:space="preserve"> </w:t>
      </w:r>
      <w:r w:rsidR="0030702F">
        <w:rPr>
          <w:i w:val="0"/>
          <w:iCs w:val="0"/>
          <w:color w:val="auto"/>
          <w:sz w:val="22"/>
          <w:szCs w:val="20"/>
        </w:rPr>
        <w:t>for retransmissions</w:t>
      </w:r>
      <w:r w:rsidR="00272D91">
        <w:rPr>
          <w:i w:val="0"/>
          <w:iCs w:val="0"/>
          <w:color w:val="auto"/>
          <w:sz w:val="22"/>
          <w:szCs w:val="20"/>
        </w:rPr>
        <w:t xml:space="preserve">. Therefore, the backhaul complexity requirement is </w:t>
      </w:r>
      <w:r w:rsidR="00316E43">
        <w:rPr>
          <w:i w:val="0"/>
          <w:iCs w:val="0"/>
          <w:color w:val="auto"/>
          <w:sz w:val="22"/>
          <w:szCs w:val="20"/>
        </w:rPr>
        <w:t xml:space="preserve">low compared to full cooperation among the </w:t>
      </w:r>
      <w:r w:rsidR="00893318">
        <w:rPr>
          <w:i w:val="0"/>
          <w:iCs w:val="0"/>
          <w:color w:val="auto"/>
          <w:sz w:val="22"/>
          <w:szCs w:val="20"/>
        </w:rPr>
        <w:t>BS</w:t>
      </w:r>
      <w:r w:rsidR="002B0A98">
        <w:rPr>
          <w:i w:val="0"/>
          <w:iCs w:val="0"/>
          <w:color w:val="auto"/>
          <w:sz w:val="22"/>
          <w:szCs w:val="20"/>
        </w:rPr>
        <w:t>.</w:t>
      </w:r>
      <w:r w:rsidR="00231586">
        <w:rPr>
          <w:i w:val="0"/>
          <w:iCs w:val="0"/>
          <w:color w:val="auto"/>
          <w:sz w:val="22"/>
          <w:szCs w:val="20"/>
        </w:rPr>
        <w:t xml:space="preserve"> </w:t>
      </w:r>
    </w:p>
    <w:p w14:paraId="0370BD43" w14:textId="5676AF82" w:rsidR="009B0780" w:rsidRDefault="00276935" w:rsidP="00392809">
      <w:pPr>
        <w:pStyle w:val="Caption"/>
        <w:rPr>
          <w:i w:val="0"/>
          <w:iCs w:val="0"/>
          <w:color w:val="auto"/>
          <w:sz w:val="22"/>
          <w:szCs w:val="20"/>
        </w:rPr>
      </w:pPr>
      <w:r>
        <w:rPr>
          <w:i w:val="0"/>
          <w:iCs w:val="0"/>
          <w:color w:val="auto"/>
          <w:sz w:val="22"/>
          <w:szCs w:val="20"/>
        </w:rPr>
        <w:t xml:space="preserve">Since </w:t>
      </w:r>
      <w:r w:rsidR="00496A40">
        <w:rPr>
          <w:i w:val="0"/>
          <w:iCs w:val="0"/>
          <w:color w:val="auto"/>
          <w:sz w:val="22"/>
          <w:szCs w:val="20"/>
        </w:rPr>
        <w:t>orthogonal</w:t>
      </w:r>
      <w:r>
        <w:rPr>
          <w:i w:val="0"/>
          <w:iCs w:val="0"/>
          <w:color w:val="auto"/>
          <w:sz w:val="22"/>
          <w:szCs w:val="20"/>
        </w:rPr>
        <w:t xml:space="preserve"> retransmission strategy is adopted, </w:t>
      </w:r>
      <w:r w:rsidR="007974E8">
        <w:rPr>
          <w:i w:val="0"/>
          <w:iCs w:val="0"/>
          <w:color w:val="auto"/>
          <w:sz w:val="22"/>
          <w:szCs w:val="20"/>
        </w:rPr>
        <w:t>interference is removed from the system</w:t>
      </w:r>
      <w:r w:rsidR="002B0D2A">
        <w:rPr>
          <w:i w:val="0"/>
          <w:iCs w:val="0"/>
          <w:color w:val="auto"/>
          <w:sz w:val="22"/>
          <w:szCs w:val="20"/>
        </w:rPr>
        <w:t>. T</w:t>
      </w:r>
      <w:r w:rsidR="007974E8">
        <w:rPr>
          <w:i w:val="0"/>
          <w:iCs w:val="0"/>
          <w:color w:val="auto"/>
          <w:sz w:val="22"/>
          <w:szCs w:val="20"/>
        </w:rPr>
        <w:t xml:space="preserve">he resultant SNR </w:t>
      </w:r>
      <w:proofErr w:type="spellStart"/>
      <w:r w:rsidR="002B0D2A">
        <w:rPr>
          <w:i w:val="0"/>
          <w:iCs w:val="0"/>
          <w:color w:val="auto"/>
          <w:sz w:val="22"/>
          <w:szCs w:val="20"/>
        </w:rPr>
        <w:t>cdf</w:t>
      </w:r>
      <w:proofErr w:type="spellEnd"/>
      <w:r w:rsidR="007974E8">
        <w:rPr>
          <w:i w:val="0"/>
          <w:iCs w:val="0"/>
          <w:color w:val="auto"/>
          <w:sz w:val="22"/>
          <w:szCs w:val="20"/>
        </w:rPr>
        <w:t xml:space="preserve"> </w:t>
      </w:r>
      <w:r w:rsidR="00C94EF9">
        <w:rPr>
          <w:i w:val="0"/>
          <w:iCs w:val="0"/>
          <w:color w:val="auto"/>
          <w:sz w:val="22"/>
          <w:szCs w:val="20"/>
        </w:rPr>
        <w:t>curve over</w:t>
      </w:r>
      <w:r w:rsidR="007974E8">
        <w:rPr>
          <w:i w:val="0"/>
          <w:iCs w:val="0"/>
          <w:color w:val="auto"/>
          <w:sz w:val="22"/>
          <w:szCs w:val="20"/>
        </w:rPr>
        <w:t xml:space="preserve"> the users is </w:t>
      </w:r>
      <w:r w:rsidR="00C94EF9">
        <w:rPr>
          <w:i w:val="0"/>
          <w:iCs w:val="0"/>
          <w:color w:val="auto"/>
          <w:sz w:val="22"/>
          <w:szCs w:val="20"/>
        </w:rPr>
        <w:t>shown in Figure 10 for reference</w:t>
      </w:r>
      <w:r w:rsidR="007974E8">
        <w:rPr>
          <w:i w:val="0"/>
          <w:iCs w:val="0"/>
          <w:color w:val="auto"/>
          <w:sz w:val="22"/>
          <w:szCs w:val="20"/>
        </w:rPr>
        <w:t>:</w:t>
      </w:r>
    </w:p>
    <w:p w14:paraId="23C7BF1F" w14:textId="77777777" w:rsidR="00E57B6F" w:rsidRDefault="00E57B6F" w:rsidP="00E57B6F">
      <w:pPr>
        <w:keepNext/>
      </w:pPr>
      <w:r>
        <w:rPr>
          <w:noProof/>
        </w:rPr>
        <w:drawing>
          <wp:inline distT="0" distB="0" distL="0" distR="0" wp14:anchorId="21585E0E" wp14:editId="3E8F78DC">
            <wp:extent cx="4075015" cy="3057474"/>
            <wp:effectExtent l="0" t="0" r="190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54" cy="30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F399" w14:textId="3D97AA77" w:rsidR="00E57B6F" w:rsidRPr="00E57B6F" w:rsidRDefault="00E57B6F" w:rsidP="00E57B6F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</w:p>
    <w:p w14:paraId="515A9256" w14:textId="18E6F37E" w:rsidR="00427C4E" w:rsidRPr="00427C4E" w:rsidRDefault="00427C4E" w:rsidP="00427C4E"/>
    <w:p w14:paraId="4523E124" w14:textId="77777777" w:rsidR="007974E8" w:rsidRPr="007974E8" w:rsidRDefault="007974E8" w:rsidP="007974E8"/>
    <w:p w14:paraId="48860151" w14:textId="3E5994D4" w:rsidR="009B0780" w:rsidRDefault="009B0780" w:rsidP="00A4403C">
      <w:pPr>
        <w:pStyle w:val="Heading3"/>
      </w:pPr>
      <w:r>
        <w:t>C</w:t>
      </w:r>
      <w:r w:rsidRPr="007147C5">
        <w:t xml:space="preserve">SA error metric with packet survival time = </w:t>
      </w:r>
      <w:r>
        <w:t>0</w:t>
      </w:r>
      <w:r w:rsidR="008C64B0">
        <w:t xml:space="preserve"> (1</w:t>
      </w:r>
      <w:r w:rsidR="008C64B0" w:rsidRPr="008C64B0">
        <w:rPr>
          <w:vertAlign w:val="superscript"/>
        </w:rPr>
        <w:t>st</w:t>
      </w:r>
      <w:r w:rsidR="008C64B0">
        <w:t xml:space="preserve"> Tx BLER = 10</w:t>
      </w:r>
      <w:r w:rsidR="008C64B0" w:rsidRPr="008C64B0">
        <w:rPr>
          <w:vertAlign w:val="superscript"/>
        </w:rPr>
        <w:t>-2</w:t>
      </w:r>
      <w:r w:rsidR="008C64B0">
        <w:t xml:space="preserve"> and </w:t>
      </w:r>
      <w:proofErr w:type="spellStart"/>
      <w:r w:rsidR="008C64B0">
        <w:t>ReTx</w:t>
      </w:r>
      <w:proofErr w:type="spellEnd"/>
      <w:r w:rsidR="008C64B0">
        <w:t xml:space="preserve"> BLER </w:t>
      </w:r>
      <w:r w:rsidR="00754297">
        <w:rPr>
          <w:rFonts w:cs="Arial"/>
        </w:rPr>
        <w:t>≤</w:t>
      </w:r>
      <w:r w:rsidR="008C64B0">
        <w:t xml:space="preserve"> 10</w:t>
      </w:r>
      <w:r w:rsidR="008C64B0" w:rsidRPr="008C64B0">
        <w:rPr>
          <w:vertAlign w:val="superscript"/>
        </w:rPr>
        <w:t>-</w:t>
      </w:r>
      <w:r w:rsidR="008C64B0">
        <w:rPr>
          <w:vertAlign w:val="superscript"/>
        </w:rPr>
        <w:t>4</w:t>
      </w:r>
      <w:r w:rsidR="008C64B0">
        <w:t>)</w:t>
      </w:r>
    </w:p>
    <w:p w14:paraId="72D4D291" w14:textId="68AFB0C7" w:rsidR="009B0780" w:rsidRDefault="009B0780" w:rsidP="009B0780">
      <w:r w:rsidRPr="003629DD">
        <w:t xml:space="preserve">The percentage of users satisfying the </w:t>
      </w:r>
      <w:r>
        <w:t>end-to-end error</w:t>
      </w:r>
      <w:r w:rsidRPr="003629DD">
        <w:t xml:space="preserve"> requirement </w:t>
      </w:r>
      <w:r>
        <w:t xml:space="preserve">as </w:t>
      </w:r>
      <w:r w:rsidRPr="003629DD">
        <w:t xml:space="preserve">stated in Table </w:t>
      </w:r>
      <w:r>
        <w:t>7</w:t>
      </w:r>
      <w:r w:rsidRPr="003629DD">
        <w:t xml:space="preserve"> shows that the </w:t>
      </w:r>
      <w:r>
        <w:t xml:space="preserve">corresponding </w:t>
      </w:r>
      <w:r w:rsidRPr="003629DD">
        <w:t xml:space="preserve">capacity is between </w:t>
      </w:r>
      <w:r>
        <w:t>1</w:t>
      </w:r>
      <w:r w:rsidR="003D6508">
        <w:t>5</w:t>
      </w:r>
      <w:r w:rsidRPr="003629DD">
        <w:t xml:space="preserve"> and </w:t>
      </w:r>
      <w:r w:rsidR="003D6508">
        <w:t>20</w:t>
      </w:r>
      <w:r w:rsidRPr="003629DD">
        <w:t>.</w:t>
      </w:r>
    </w:p>
    <w:p w14:paraId="7FEBEA31" w14:textId="324A4598" w:rsidR="009B0780" w:rsidRDefault="009B0780" w:rsidP="009B0780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C42FA">
        <w:rPr>
          <w:noProof/>
        </w:rPr>
        <w:t>7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1422"/>
        <w:gridCol w:w="1422"/>
      </w:tblGrid>
      <w:tr w:rsidR="009B0780" w14:paraId="0A3CA448" w14:textId="77777777" w:rsidTr="006B12F6">
        <w:trPr>
          <w:trHeight w:val="535"/>
        </w:trPr>
        <w:tc>
          <w:tcPr>
            <w:tcW w:w="5327" w:type="dxa"/>
          </w:tcPr>
          <w:p w14:paraId="55CB4BF3" w14:textId="77777777" w:rsidR="009B0780" w:rsidRPr="00D7357B" w:rsidRDefault="009B0780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># of UE/cell</w:t>
            </w:r>
          </w:p>
        </w:tc>
        <w:tc>
          <w:tcPr>
            <w:tcW w:w="1422" w:type="dxa"/>
          </w:tcPr>
          <w:p w14:paraId="732D95C5" w14:textId="0B42993E" w:rsidR="009B0780" w:rsidRPr="00022333" w:rsidRDefault="009B0780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022333">
              <w:rPr>
                <w:sz w:val="20"/>
                <w:szCs w:val="14"/>
                <w:highlight w:val="yellow"/>
              </w:rPr>
              <w:t>1</w:t>
            </w:r>
            <w:r w:rsidR="003D6508">
              <w:rPr>
                <w:sz w:val="20"/>
                <w:szCs w:val="14"/>
                <w:highlight w:val="yellow"/>
              </w:rPr>
              <w:t>5</w:t>
            </w:r>
          </w:p>
        </w:tc>
        <w:tc>
          <w:tcPr>
            <w:tcW w:w="1422" w:type="dxa"/>
          </w:tcPr>
          <w:p w14:paraId="36D7A75E" w14:textId="79DDDBE1" w:rsidR="009B0780" w:rsidRPr="00D7357B" w:rsidRDefault="003D6508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</w:p>
        </w:tc>
      </w:tr>
      <w:tr w:rsidR="009B0780" w14:paraId="2A32F401" w14:textId="77777777" w:rsidTr="006B12F6">
        <w:trPr>
          <w:trHeight w:val="535"/>
        </w:trPr>
        <w:tc>
          <w:tcPr>
            <w:tcW w:w="5327" w:type="dxa"/>
          </w:tcPr>
          <w:p w14:paraId="53771D8B" w14:textId="352B6669" w:rsidR="009B0780" w:rsidRPr="00D7357B" w:rsidRDefault="00072049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>UL 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>
              <w:rPr>
                <w:sz w:val="20"/>
                <w:szCs w:val="14"/>
              </w:rPr>
              <w:t>CSA error</w:t>
            </w:r>
            <w:r w:rsidRPr="00D7357B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 xml:space="preserve">rate </w:t>
            </w:r>
            <w:r w:rsidRPr="00D7357B">
              <w:rPr>
                <w:sz w:val="20"/>
                <w:szCs w:val="14"/>
              </w:rPr>
              <w:t>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422" w:type="dxa"/>
          </w:tcPr>
          <w:p w14:paraId="1BB550F7" w14:textId="77777777" w:rsidR="009B0780" w:rsidRPr="00022333" w:rsidRDefault="009B0780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022333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422" w:type="dxa"/>
          </w:tcPr>
          <w:p w14:paraId="15EFC3B0" w14:textId="5664783B" w:rsidR="009B0780" w:rsidRPr="00D7357B" w:rsidRDefault="00DC0C2A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99.2%</w:t>
            </w:r>
          </w:p>
        </w:tc>
      </w:tr>
      <w:tr w:rsidR="00072049" w14:paraId="0C3B1A63" w14:textId="77777777" w:rsidTr="006B12F6">
        <w:trPr>
          <w:trHeight w:val="535"/>
        </w:trPr>
        <w:tc>
          <w:tcPr>
            <w:tcW w:w="5327" w:type="dxa"/>
          </w:tcPr>
          <w:p w14:paraId="4FF2A8A1" w14:textId="4D2F645F" w:rsidR="00072049" w:rsidRPr="00D7357B" w:rsidRDefault="00072049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 w:rsidRPr="00D7357B">
              <w:rPr>
                <w:sz w:val="20"/>
                <w:szCs w:val="14"/>
              </w:rPr>
              <w:t xml:space="preserve">% of </w:t>
            </w:r>
            <w:r>
              <w:rPr>
                <w:sz w:val="20"/>
                <w:szCs w:val="14"/>
              </w:rPr>
              <w:t>DL packets</w:t>
            </w:r>
            <w:r w:rsidRPr="00D7357B">
              <w:rPr>
                <w:sz w:val="20"/>
                <w:szCs w:val="14"/>
              </w:rPr>
              <w:t xml:space="preserve"> satisfying </w:t>
            </w:r>
            <w:r>
              <w:rPr>
                <w:sz w:val="20"/>
                <w:szCs w:val="14"/>
              </w:rPr>
              <w:t>CSA error</w:t>
            </w:r>
            <w:r w:rsidRPr="00D7357B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 xml:space="preserve">rate </w:t>
            </w:r>
            <w:r w:rsidRPr="00D7357B">
              <w:rPr>
                <w:sz w:val="20"/>
                <w:szCs w:val="14"/>
              </w:rPr>
              <w:t>&lt; 10</w:t>
            </w:r>
            <w:r w:rsidRPr="00D7357B">
              <w:rPr>
                <w:sz w:val="20"/>
                <w:szCs w:val="14"/>
                <w:vertAlign w:val="superscript"/>
              </w:rPr>
              <w:t>-6</w:t>
            </w:r>
          </w:p>
        </w:tc>
        <w:tc>
          <w:tcPr>
            <w:tcW w:w="1422" w:type="dxa"/>
          </w:tcPr>
          <w:p w14:paraId="2B3BF90A" w14:textId="31E5A1DD" w:rsidR="00072049" w:rsidRPr="00022333" w:rsidRDefault="00F219F2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  <w:highlight w:val="yellow"/>
              </w:rPr>
            </w:pPr>
            <w:r w:rsidRPr="00022333">
              <w:rPr>
                <w:sz w:val="20"/>
                <w:szCs w:val="14"/>
                <w:highlight w:val="yellow"/>
              </w:rPr>
              <w:t>100%</w:t>
            </w:r>
          </w:p>
        </w:tc>
        <w:tc>
          <w:tcPr>
            <w:tcW w:w="1422" w:type="dxa"/>
          </w:tcPr>
          <w:p w14:paraId="36CDB23A" w14:textId="19C6EBE9" w:rsidR="00072049" w:rsidRPr="00D7357B" w:rsidRDefault="00175582" w:rsidP="006B12F6">
            <w:pPr>
              <w:pStyle w:val="Heading3"/>
              <w:numPr>
                <w:ilvl w:val="0"/>
                <w:numId w:val="0"/>
              </w:numPr>
              <w:outlineLvl w:val="2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100%</w:t>
            </w:r>
          </w:p>
        </w:tc>
      </w:tr>
    </w:tbl>
    <w:p w14:paraId="43B57B2B" w14:textId="29147934" w:rsidR="009B0780" w:rsidRDefault="009B0780" w:rsidP="00A55DA1"/>
    <w:p w14:paraId="74C5BCBF" w14:textId="5453F40D" w:rsidR="00F219F2" w:rsidRDefault="00F219F2" w:rsidP="00F219F2">
      <w:r>
        <w:t xml:space="preserve">If the network operates at </w:t>
      </w:r>
      <w:r w:rsidR="003D6508">
        <w:t>20</w:t>
      </w:r>
      <w:r>
        <w:t xml:space="preserve"> UE/cell which exceeds the capacity, the corresponding complementary </w:t>
      </w:r>
      <w:proofErr w:type="spellStart"/>
      <w:r>
        <w:t>cdf</w:t>
      </w:r>
      <w:proofErr w:type="spellEnd"/>
      <w:r>
        <w:t xml:space="preserve"> of </w:t>
      </w:r>
      <w:r w:rsidR="00175582">
        <w:t xml:space="preserve">UL </w:t>
      </w:r>
      <w:r>
        <w:t xml:space="preserve">CSA error is shown in Figure </w:t>
      </w:r>
      <w:r w:rsidR="00164C3E">
        <w:t>1</w:t>
      </w:r>
      <w:r w:rsidR="00E57B6F">
        <w:t>1</w:t>
      </w:r>
      <w:r>
        <w:t xml:space="preserve">. </w:t>
      </w:r>
    </w:p>
    <w:p w14:paraId="797D0910" w14:textId="77777777" w:rsidR="00E65C71" w:rsidRDefault="00DC0C2A" w:rsidP="00E65C71">
      <w:pPr>
        <w:keepNext/>
      </w:pPr>
      <w:r>
        <w:rPr>
          <w:noProof/>
        </w:rPr>
        <w:drawing>
          <wp:inline distT="0" distB="0" distL="0" distR="0" wp14:anchorId="01532198" wp14:editId="5E1B76AC">
            <wp:extent cx="4028536" cy="3024641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02" cy="30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9AC" w14:textId="58651D98" w:rsidR="00F219F2" w:rsidRDefault="00E65C71" w:rsidP="00E65C7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11</w:t>
      </w:r>
      <w:r>
        <w:fldChar w:fldCharType="end"/>
      </w:r>
    </w:p>
    <w:p w14:paraId="36278897" w14:textId="2F52A33B" w:rsidR="00F219F2" w:rsidRDefault="00F219F2" w:rsidP="00F219F2">
      <w:r>
        <w:t xml:space="preserve">The latency </w:t>
      </w:r>
      <w:proofErr w:type="spellStart"/>
      <w:r>
        <w:t>cdf</w:t>
      </w:r>
      <w:proofErr w:type="spellEnd"/>
      <w:r>
        <w:t xml:space="preserve"> for the achievable 15 UE/cell is </w:t>
      </w:r>
      <w:r w:rsidR="004A7FF9">
        <w:t>shown</w:t>
      </w:r>
      <w:r>
        <w:t xml:space="preserve"> in Figure </w:t>
      </w:r>
      <w:r w:rsidR="00164C3E">
        <w:t>1</w:t>
      </w:r>
      <w:r w:rsidR="00E57B6F">
        <w:t>2</w:t>
      </w:r>
      <w:r>
        <w:t>.</w:t>
      </w:r>
    </w:p>
    <w:p w14:paraId="2FBB3A26" w14:textId="38B51CD0" w:rsidR="008D18EC" w:rsidRDefault="000F0E84" w:rsidP="008D18EC">
      <w:pPr>
        <w:keepNext/>
      </w:pPr>
      <w:r>
        <w:rPr>
          <w:noProof/>
        </w:rPr>
        <w:lastRenderedPageBreak/>
        <w:drawing>
          <wp:inline distT="0" distB="0" distL="0" distR="0" wp14:anchorId="77FD0B20" wp14:editId="22FA7074">
            <wp:extent cx="4138886" cy="3105397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53" cy="315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96F6" w14:textId="058ED306" w:rsidR="00F219F2" w:rsidRDefault="008D18EC" w:rsidP="008D18E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57B6F">
        <w:rPr>
          <w:noProof/>
        </w:rPr>
        <w:t>12</w:t>
      </w:r>
      <w:r>
        <w:fldChar w:fldCharType="end"/>
      </w:r>
    </w:p>
    <w:p w14:paraId="78C9658B" w14:textId="77777777" w:rsidR="00E941FE" w:rsidRPr="00E941FE" w:rsidRDefault="00E941FE" w:rsidP="00E941FE"/>
    <w:p w14:paraId="5EA9A80E" w14:textId="20092515" w:rsidR="00766734" w:rsidRDefault="00766734" w:rsidP="00766734">
      <w:pPr>
        <w:pStyle w:val="Heading1"/>
      </w:pPr>
      <w:r>
        <w:t>Conclusion</w:t>
      </w:r>
    </w:p>
    <w:p w14:paraId="2A2EC6B6" w14:textId="3567E4CC" w:rsidR="00377E7B" w:rsidRDefault="00621531" w:rsidP="00115B1B">
      <w:pPr>
        <w:rPr>
          <w:lang w:eastAsia="ja-JP"/>
        </w:rPr>
      </w:pPr>
      <w:r>
        <w:rPr>
          <w:lang w:eastAsia="ja-JP"/>
        </w:rPr>
        <w:t>For the one-shot approach</w:t>
      </w:r>
      <w:r w:rsidR="002A5AA8">
        <w:rPr>
          <w:lang w:eastAsia="ja-JP"/>
        </w:rPr>
        <w:t xml:space="preserve"> with reuse-1 transmissions</w:t>
      </w:r>
      <w:r>
        <w:rPr>
          <w:lang w:eastAsia="ja-JP"/>
        </w:rPr>
        <w:t xml:space="preserve">, we show that the capacity under the CSA metric with zero survival time is at least </w:t>
      </w:r>
      <w:r w:rsidR="001E5AC9">
        <w:rPr>
          <w:lang w:eastAsia="ja-JP"/>
        </w:rPr>
        <w:t>5</w:t>
      </w:r>
      <w:r>
        <w:rPr>
          <w:lang w:eastAsia="ja-JP"/>
        </w:rPr>
        <w:t xml:space="preserve"> UE/cell. If the survival time is relaxed to one, then the capacity is at least 12 UE/cell.</w:t>
      </w:r>
    </w:p>
    <w:p w14:paraId="5B8D1278" w14:textId="15EC82EC" w:rsidR="002A5AA8" w:rsidRDefault="002A5AA8" w:rsidP="00115B1B">
      <w:pPr>
        <w:rPr>
          <w:lang w:eastAsia="ja-JP"/>
        </w:rPr>
      </w:pPr>
      <w:r>
        <w:rPr>
          <w:lang w:eastAsia="ja-JP"/>
        </w:rPr>
        <w:t xml:space="preserve">For the one-shot approach with </w:t>
      </w:r>
      <w:r w:rsidR="003D63E2">
        <w:rPr>
          <w:lang w:eastAsia="ja-JP"/>
        </w:rPr>
        <w:t>static frequency reuse 1/12</w:t>
      </w:r>
      <w:r w:rsidR="00123C2F">
        <w:rPr>
          <w:lang w:eastAsia="ja-JP"/>
        </w:rPr>
        <w:t>, we show that the capacity under the CSA metric with zero survival time is at least 12 UE/cell.</w:t>
      </w:r>
    </w:p>
    <w:p w14:paraId="43FB117C" w14:textId="70B431A8" w:rsidR="00621531" w:rsidRDefault="00621531" w:rsidP="00115B1B">
      <w:pPr>
        <w:rPr>
          <w:lang w:eastAsia="ja-JP"/>
        </w:rPr>
      </w:pPr>
      <w:r>
        <w:rPr>
          <w:lang w:eastAsia="ja-JP"/>
        </w:rPr>
        <w:t xml:space="preserve">For the </w:t>
      </w:r>
      <w:r w:rsidR="00907450">
        <w:rPr>
          <w:lang w:eastAsia="ja-JP"/>
        </w:rPr>
        <w:t xml:space="preserve">HARQ approach with </w:t>
      </w:r>
      <w:r>
        <w:rPr>
          <w:lang w:eastAsia="ja-JP"/>
        </w:rPr>
        <w:t>orthogonal retransmission</w:t>
      </w:r>
      <w:r w:rsidR="00907450">
        <w:rPr>
          <w:lang w:eastAsia="ja-JP"/>
        </w:rPr>
        <w:t>s</w:t>
      </w:r>
      <w:r>
        <w:rPr>
          <w:lang w:eastAsia="ja-JP"/>
        </w:rPr>
        <w:t xml:space="preserve"> where the retransmissions are coordinated among base stations to occupy orthogonal resources, we show that the capacity under the CSA metric with zero survival time is at least 1</w:t>
      </w:r>
      <w:r w:rsidR="003D63E2">
        <w:rPr>
          <w:lang w:eastAsia="ja-JP"/>
        </w:rPr>
        <w:t>5</w:t>
      </w:r>
      <w:r>
        <w:rPr>
          <w:lang w:eastAsia="ja-JP"/>
        </w:rPr>
        <w:t xml:space="preserve"> UE/cell. </w:t>
      </w:r>
      <w:bookmarkStart w:id="5" w:name="_In-sequence_SDU_delivery"/>
      <w:bookmarkEnd w:id="5"/>
      <w:r w:rsidR="004C067F">
        <w:rPr>
          <w:lang w:eastAsia="ja-JP"/>
        </w:rPr>
        <w:t xml:space="preserve"> </w:t>
      </w:r>
    </w:p>
    <w:p w14:paraId="6E363802" w14:textId="77777777" w:rsidR="00115B1B" w:rsidRPr="00CE0424" w:rsidRDefault="00115B1B" w:rsidP="00115B1B">
      <w:pPr>
        <w:pStyle w:val="Heading1"/>
        <w:pBdr>
          <w:top w:val="single" w:sz="12" w:space="0" w:color="auto"/>
        </w:pBdr>
      </w:pPr>
      <w:r w:rsidRPr="00CE0424">
        <w:t>References</w:t>
      </w:r>
    </w:p>
    <w:p w14:paraId="1CB546BC" w14:textId="1CF045DB" w:rsidR="00115B1B" w:rsidRDefault="00115B1B" w:rsidP="0030588D">
      <w:pPr>
        <w:pStyle w:val="Reference"/>
        <w:rPr>
          <w:szCs w:val="20"/>
        </w:rPr>
      </w:pPr>
      <w:bookmarkStart w:id="6" w:name="_Ref174151459"/>
      <w:bookmarkStart w:id="7" w:name="_Ref189809556"/>
      <w:r w:rsidRPr="00F45F4A">
        <w:rPr>
          <w:szCs w:val="20"/>
        </w:rPr>
        <w:t>“</w:t>
      </w:r>
      <w:r w:rsidR="00EB3FFA">
        <w:rPr>
          <w:sz w:val="22"/>
        </w:rPr>
        <w:t>Final proposals on URLLC features and simulation assumptions</w:t>
      </w:r>
      <w:r w:rsidR="00822770">
        <w:rPr>
          <w:sz w:val="22"/>
        </w:rPr>
        <w:t>,</w:t>
      </w:r>
      <w:r w:rsidR="00994597">
        <w:rPr>
          <w:szCs w:val="20"/>
        </w:rPr>
        <w:t>”</w:t>
      </w:r>
      <w:r w:rsidR="00487B39">
        <w:rPr>
          <w:szCs w:val="20"/>
        </w:rPr>
        <w:t xml:space="preserve"> Moderator</w:t>
      </w:r>
      <w:r w:rsidRPr="00F45F4A">
        <w:rPr>
          <w:szCs w:val="20"/>
        </w:rPr>
        <w:t xml:space="preserve"> </w:t>
      </w:r>
      <w:r w:rsidR="00487B39">
        <w:rPr>
          <w:szCs w:val="20"/>
        </w:rPr>
        <w:t>(</w:t>
      </w:r>
      <w:r w:rsidRPr="00F45F4A">
        <w:rPr>
          <w:szCs w:val="20"/>
        </w:rPr>
        <w:t>Ericsson</w:t>
      </w:r>
      <w:bookmarkEnd w:id="6"/>
      <w:bookmarkEnd w:id="7"/>
      <w:r w:rsidR="00487B39">
        <w:rPr>
          <w:szCs w:val="20"/>
        </w:rPr>
        <w:t>)</w:t>
      </w:r>
      <w:r w:rsidR="007745FF">
        <w:rPr>
          <w:szCs w:val="20"/>
        </w:rPr>
        <w:t>.</w:t>
      </w:r>
    </w:p>
    <w:p w14:paraId="7E58CABE" w14:textId="3116C694" w:rsidR="000A254D" w:rsidRDefault="00822770" w:rsidP="000E64B6">
      <w:pPr>
        <w:pStyle w:val="Reference"/>
        <w:rPr>
          <w:szCs w:val="20"/>
        </w:rPr>
      </w:pPr>
      <w:r>
        <w:t>“</w:t>
      </w:r>
      <w:r w:rsidR="00475050">
        <w:rPr>
          <w:sz w:val="22"/>
          <w:lang w:val="en-GB"/>
        </w:rPr>
        <w:t>Summary of discussions in Week 2,</w:t>
      </w:r>
      <w:r>
        <w:t xml:space="preserve">” </w:t>
      </w:r>
      <w:r>
        <w:rPr>
          <w:szCs w:val="20"/>
        </w:rPr>
        <w:t>Moderator</w:t>
      </w:r>
      <w:r w:rsidRPr="00F45F4A">
        <w:rPr>
          <w:szCs w:val="20"/>
        </w:rPr>
        <w:t xml:space="preserve"> </w:t>
      </w:r>
      <w:r>
        <w:rPr>
          <w:szCs w:val="20"/>
        </w:rPr>
        <w:t>(</w:t>
      </w:r>
      <w:r w:rsidRPr="00F45F4A">
        <w:rPr>
          <w:szCs w:val="20"/>
        </w:rPr>
        <w:t>Ericsson</w:t>
      </w:r>
      <w:r>
        <w:rPr>
          <w:szCs w:val="20"/>
        </w:rPr>
        <w:t>)</w:t>
      </w:r>
      <w:r w:rsidR="007745FF">
        <w:rPr>
          <w:szCs w:val="20"/>
        </w:rPr>
        <w:t>.</w:t>
      </w:r>
    </w:p>
    <w:p w14:paraId="51CCF754" w14:textId="36866D28" w:rsidR="00194CB1" w:rsidRDefault="00DE32BA" w:rsidP="00DE32BA">
      <w:pPr>
        <w:pStyle w:val="Reference"/>
        <w:rPr>
          <w:szCs w:val="20"/>
        </w:rPr>
      </w:pPr>
      <w:r>
        <w:t>“</w:t>
      </w:r>
      <w:r>
        <w:rPr>
          <w:sz w:val="22"/>
          <w:lang w:val="en-GB"/>
        </w:rPr>
        <w:t>Summary of discussions in Week 3,</w:t>
      </w:r>
      <w:r>
        <w:t xml:space="preserve">” </w:t>
      </w:r>
      <w:r>
        <w:rPr>
          <w:szCs w:val="20"/>
        </w:rPr>
        <w:t>Moderator</w:t>
      </w:r>
      <w:r w:rsidRPr="00F45F4A">
        <w:rPr>
          <w:szCs w:val="20"/>
        </w:rPr>
        <w:t xml:space="preserve"> </w:t>
      </w:r>
      <w:r>
        <w:rPr>
          <w:szCs w:val="20"/>
        </w:rPr>
        <w:t>(</w:t>
      </w:r>
      <w:r w:rsidRPr="00F45F4A">
        <w:rPr>
          <w:szCs w:val="20"/>
        </w:rPr>
        <w:t>Ericsson</w:t>
      </w:r>
      <w:r>
        <w:rPr>
          <w:szCs w:val="20"/>
        </w:rPr>
        <w:t>).</w:t>
      </w:r>
    </w:p>
    <w:p w14:paraId="6973246E" w14:textId="77777777" w:rsidR="00880940" w:rsidRPr="004C067F" w:rsidRDefault="00880940" w:rsidP="00880940">
      <w:pPr>
        <w:pStyle w:val="Reference"/>
      </w:pPr>
      <w:r w:rsidRPr="004C067F">
        <w:t>“Guidelines for evaluation of radio interface technologies for IMT-2020,” ITU-R M.2412-0, October 2017.</w:t>
      </w:r>
    </w:p>
    <w:p w14:paraId="39DD5383" w14:textId="47F7379A" w:rsidR="00963BBA" w:rsidRDefault="0001549E" w:rsidP="009B6316">
      <w:pPr>
        <w:pStyle w:val="Reference"/>
      </w:pPr>
      <w:r w:rsidRPr="004C067F">
        <w:t xml:space="preserve">“Technical Specification Group Radio Access Network; </w:t>
      </w:r>
      <w:r w:rsidRPr="004C067F">
        <w:rPr>
          <w:rFonts w:hint="eastAsia"/>
        </w:rPr>
        <w:t>Study</w:t>
      </w:r>
      <w:r w:rsidRPr="004C067F">
        <w:t xml:space="preserve"> on self-evaluation toward</w:t>
      </w:r>
      <w:r w:rsidRPr="004C067F">
        <w:rPr>
          <w:rFonts w:hint="eastAsia"/>
        </w:rPr>
        <w:t xml:space="preserve">s </w:t>
      </w:r>
      <w:r w:rsidRPr="004C067F">
        <w:t>IMT-2020 submission,” 3GPP TR 37.910, September 2019</w:t>
      </w:r>
    </w:p>
    <w:p w14:paraId="451C929E" w14:textId="528114C7" w:rsidR="00963BBA" w:rsidRPr="00CE0424" w:rsidRDefault="00963BBA" w:rsidP="00963BBA">
      <w:pPr>
        <w:pStyle w:val="Heading1"/>
        <w:pBdr>
          <w:top w:val="single" w:sz="12" w:space="0" w:color="auto"/>
        </w:pBdr>
      </w:pPr>
      <w:r>
        <w:lastRenderedPageBreak/>
        <w:t>Appendix</w:t>
      </w:r>
    </w:p>
    <w:p w14:paraId="095331FC" w14:textId="52737F8A" w:rsidR="00963BBA" w:rsidRDefault="00963BBA" w:rsidP="00963BBA">
      <w:pPr>
        <w:pStyle w:val="Reference"/>
        <w:numPr>
          <w:ilvl w:val="0"/>
          <w:numId w:val="0"/>
        </w:numPr>
        <w:ind w:left="567" w:hanging="567"/>
      </w:pPr>
      <w:r w:rsidRPr="00963BBA">
        <w:rPr>
          <w:noProof/>
        </w:rPr>
        <w:drawing>
          <wp:inline distT="0" distB="0" distL="0" distR="0" wp14:anchorId="33F0B1DE" wp14:editId="5F7A7896">
            <wp:extent cx="5733005" cy="719443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44" cy="72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0745" w14:textId="28E22E65" w:rsidR="00963BBA" w:rsidRDefault="00963BBA" w:rsidP="00963BBA">
      <w:pPr>
        <w:pStyle w:val="Reference"/>
        <w:numPr>
          <w:ilvl w:val="0"/>
          <w:numId w:val="0"/>
        </w:numPr>
        <w:ind w:left="567" w:hanging="567"/>
      </w:pPr>
    </w:p>
    <w:p w14:paraId="2787D4BC" w14:textId="397EFE65" w:rsidR="00963BBA" w:rsidRPr="00994597" w:rsidRDefault="00963BBA" w:rsidP="00963BBA">
      <w:pPr>
        <w:pStyle w:val="Reference"/>
        <w:numPr>
          <w:ilvl w:val="0"/>
          <w:numId w:val="0"/>
        </w:numPr>
        <w:ind w:left="567" w:hanging="567"/>
        <w:rPr>
          <w:szCs w:val="20"/>
        </w:rPr>
      </w:pPr>
      <w:r w:rsidRPr="00963BBA">
        <w:rPr>
          <w:noProof/>
        </w:rPr>
        <w:lastRenderedPageBreak/>
        <w:drawing>
          <wp:inline distT="0" distB="0" distL="0" distR="0" wp14:anchorId="73A7A127" wp14:editId="266CDDA0">
            <wp:extent cx="577913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BBA" w:rsidRPr="0099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0C3C" w14:textId="77777777" w:rsidR="009175D2" w:rsidRDefault="009175D2" w:rsidP="00766734">
      <w:pPr>
        <w:spacing w:after="0"/>
      </w:pPr>
      <w:r>
        <w:separator/>
      </w:r>
    </w:p>
  </w:endnote>
  <w:endnote w:type="continuationSeparator" w:id="0">
    <w:p w14:paraId="50D1FED9" w14:textId="77777777" w:rsidR="009175D2" w:rsidRDefault="009175D2" w:rsidP="00766734">
      <w:pPr>
        <w:spacing w:after="0"/>
      </w:pPr>
      <w:r>
        <w:continuationSeparator/>
      </w:r>
    </w:p>
  </w:endnote>
  <w:endnote w:type="continuationNotice" w:id="1">
    <w:p w14:paraId="34611EA7" w14:textId="77777777" w:rsidR="009175D2" w:rsidRDefault="009175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DF9E" w14:textId="77777777" w:rsidR="009175D2" w:rsidRDefault="009175D2" w:rsidP="00766734">
      <w:pPr>
        <w:spacing w:after="0"/>
      </w:pPr>
      <w:r>
        <w:separator/>
      </w:r>
    </w:p>
  </w:footnote>
  <w:footnote w:type="continuationSeparator" w:id="0">
    <w:p w14:paraId="4C817212" w14:textId="77777777" w:rsidR="009175D2" w:rsidRDefault="009175D2" w:rsidP="00766734">
      <w:pPr>
        <w:spacing w:after="0"/>
      </w:pPr>
      <w:r>
        <w:continuationSeparator/>
      </w:r>
    </w:p>
  </w:footnote>
  <w:footnote w:type="continuationNotice" w:id="1">
    <w:p w14:paraId="6D2811FF" w14:textId="77777777" w:rsidR="009175D2" w:rsidRDefault="009175D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06A9F4A"/>
    <w:lvl w:ilvl="0">
      <w:start w:val="1"/>
      <w:numFmt w:val="decimal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color w:val="auto"/>
        <w:u w:val="none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3B3DAD"/>
    <w:multiLevelType w:val="hybridMultilevel"/>
    <w:tmpl w:val="98544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1B7F1F"/>
    <w:multiLevelType w:val="hybridMultilevel"/>
    <w:tmpl w:val="A1B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FC9"/>
    <w:multiLevelType w:val="hybridMultilevel"/>
    <w:tmpl w:val="EC1C8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6F1E"/>
    <w:multiLevelType w:val="hybridMultilevel"/>
    <w:tmpl w:val="67CE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1868"/>
    <w:multiLevelType w:val="multilevel"/>
    <w:tmpl w:val="C5ACF5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3C3C84"/>
    <w:multiLevelType w:val="hybridMultilevel"/>
    <w:tmpl w:val="9BB03D84"/>
    <w:lvl w:ilvl="0" w:tplc="3B58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6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2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5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8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B84B6E"/>
    <w:multiLevelType w:val="hybridMultilevel"/>
    <w:tmpl w:val="F8E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351D"/>
    <w:multiLevelType w:val="hybridMultilevel"/>
    <w:tmpl w:val="9F96AEF2"/>
    <w:lvl w:ilvl="0" w:tplc="FA72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2E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E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A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A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A51029"/>
    <w:multiLevelType w:val="hybridMultilevel"/>
    <w:tmpl w:val="33C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75EC"/>
    <w:multiLevelType w:val="hybridMultilevel"/>
    <w:tmpl w:val="40EE3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6E393B"/>
    <w:multiLevelType w:val="hybridMultilevel"/>
    <w:tmpl w:val="B6E608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43D83AE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D6FCA"/>
    <w:multiLevelType w:val="hybridMultilevel"/>
    <w:tmpl w:val="AAC857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55F92"/>
    <w:multiLevelType w:val="hybridMultilevel"/>
    <w:tmpl w:val="7C76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4"/>
    <w:rsid w:val="00002F96"/>
    <w:rsid w:val="0000313F"/>
    <w:rsid w:val="0000563E"/>
    <w:rsid w:val="00005727"/>
    <w:rsid w:val="00010D4C"/>
    <w:rsid w:val="000123D3"/>
    <w:rsid w:val="0001549E"/>
    <w:rsid w:val="00017F56"/>
    <w:rsid w:val="00021A17"/>
    <w:rsid w:val="00022333"/>
    <w:rsid w:val="0002644F"/>
    <w:rsid w:val="000264D1"/>
    <w:rsid w:val="00027A52"/>
    <w:rsid w:val="000322A6"/>
    <w:rsid w:val="0003393B"/>
    <w:rsid w:val="00033D57"/>
    <w:rsid w:val="000353ED"/>
    <w:rsid w:val="00037AAC"/>
    <w:rsid w:val="00040E53"/>
    <w:rsid w:val="000472E0"/>
    <w:rsid w:val="0004735F"/>
    <w:rsid w:val="00055702"/>
    <w:rsid w:val="0006073F"/>
    <w:rsid w:val="000608BF"/>
    <w:rsid w:val="00063AAA"/>
    <w:rsid w:val="00072049"/>
    <w:rsid w:val="00075139"/>
    <w:rsid w:val="00077E2B"/>
    <w:rsid w:val="0008446B"/>
    <w:rsid w:val="00093161"/>
    <w:rsid w:val="00094CCD"/>
    <w:rsid w:val="00097B41"/>
    <w:rsid w:val="000A0B31"/>
    <w:rsid w:val="000A146C"/>
    <w:rsid w:val="000A254D"/>
    <w:rsid w:val="000A2C16"/>
    <w:rsid w:val="000A2FDB"/>
    <w:rsid w:val="000A6DBB"/>
    <w:rsid w:val="000B2DFE"/>
    <w:rsid w:val="000B3F30"/>
    <w:rsid w:val="000C03C9"/>
    <w:rsid w:val="000C3718"/>
    <w:rsid w:val="000D0DB1"/>
    <w:rsid w:val="000D0FBA"/>
    <w:rsid w:val="000D5BB4"/>
    <w:rsid w:val="000D7670"/>
    <w:rsid w:val="000E127C"/>
    <w:rsid w:val="000E1B37"/>
    <w:rsid w:val="000E3AD6"/>
    <w:rsid w:val="000E4058"/>
    <w:rsid w:val="000E54A1"/>
    <w:rsid w:val="000E64B6"/>
    <w:rsid w:val="000E76BE"/>
    <w:rsid w:val="000F0E84"/>
    <w:rsid w:val="000F374F"/>
    <w:rsid w:val="000F4135"/>
    <w:rsid w:val="000F71EB"/>
    <w:rsid w:val="000F7B97"/>
    <w:rsid w:val="00101317"/>
    <w:rsid w:val="0010201F"/>
    <w:rsid w:val="00102D9A"/>
    <w:rsid w:val="001034A0"/>
    <w:rsid w:val="0010579E"/>
    <w:rsid w:val="00107CC3"/>
    <w:rsid w:val="001127E2"/>
    <w:rsid w:val="00113E91"/>
    <w:rsid w:val="00114348"/>
    <w:rsid w:val="00114B92"/>
    <w:rsid w:val="00115B1B"/>
    <w:rsid w:val="00120E7F"/>
    <w:rsid w:val="00123C2F"/>
    <w:rsid w:val="001259F0"/>
    <w:rsid w:val="00130DD5"/>
    <w:rsid w:val="0013453F"/>
    <w:rsid w:val="00134F55"/>
    <w:rsid w:val="00136A06"/>
    <w:rsid w:val="00140021"/>
    <w:rsid w:val="001447E6"/>
    <w:rsid w:val="00144980"/>
    <w:rsid w:val="00145A2F"/>
    <w:rsid w:val="00146A38"/>
    <w:rsid w:val="00154A65"/>
    <w:rsid w:val="001619BE"/>
    <w:rsid w:val="00161A3C"/>
    <w:rsid w:val="001627A6"/>
    <w:rsid w:val="00162A99"/>
    <w:rsid w:val="00164C3E"/>
    <w:rsid w:val="001653F6"/>
    <w:rsid w:val="00173C3C"/>
    <w:rsid w:val="00173F13"/>
    <w:rsid w:val="00175582"/>
    <w:rsid w:val="00182FCB"/>
    <w:rsid w:val="00184C11"/>
    <w:rsid w:val="00187800"/>
    <w:rsid w:val="00192A30"/>
    <w:rsid w:val="001941E6"/>
    <w:rsid w:val="00194715"/>
    <w:rsid w:val="00194CB1"/>
    <w:rsid w:val="00197AA3"/>
    <w:rsid w:val="001A0C7B"/>
    <w:rsid w:val="001C049E"/>
    <w:rsid w:val="001C0659"/>
    <w:rsid w:val="001C5B6A"/>
    <w:rsid w:val="001C719D"/>
    <w:rsid w:val="001C781E"/>
    <w:rsid w:val="001D0727"/>
    <w:rsid w:val="001D2679"/>
    <w:rsid w:val="001D273D"/>
    <w:rsid w:val="001D2BA1"/>
    <w:rsid w:val="001D6DB9"/>
    <w:rsid w:val="001E5AC9"/>
    <w:rsid w:val="001E6E90"/>
    <w:rsid w:val="001F4807"/>
    <w:rsid w:val="001F7B64"/>
    <w:rsid w:val="00202893"/>
    <w:rsid w:val="00204B5A"/>
    <w:rsid w:val="00206D53"/>
    <w:rsid w:val="002104C0"/>
    <w:rsid w:val="002121F7"/>
    <w:rsid w:val="002213E3"/>
    <w:rsid w:val="00221D1B"/>
    <w:rsid w:val="002232B6"/>
    <w:rsid w:val="002236E0"/>
    <w:rsid w:val="00231586"/>
    <w:rsid w:val="00231D83"/>
    <w:rsid w:val="00236DB8"/>
    <w:rsid w:val="00243187"/>
    <w:rsid w:val="00243307"/>
    <w:rsid w:val="002464B7"/>
    <w:rsid w:val="002475B9"/>
    <w:rsid w:val="002509FD"/>
    <w:rsid w:val="00254E69"/>
    <w:rsid w:val="00263CA4"/>
    <w:rsid w:val="0026489B"/>
    <w:rsid w:val="00272D91"/>
    <w:rsid w:val="002753C0"/>
    <w:rsid w:val="00275FE0"/>
    <w:rsid w:val="00276935"/>
    <w:rsid w:val="002772A5"/>
    <w:rsid w:val="002772D3"/>
    <w:rsid w:val="00283315"/>
    <w:rsid w:val="002904DF"/>
    <w:rsid w:val="00292C8A"/>
    <w:rsid w:val="002A04B6"/>
    <w:rsid w:val="002A55A5"/>
    <w:rsid w:val="002A5AA8"/>
    <w:rsid w:val="002B0196"/>
    <w:rsid w:val="002B0A98"/>
    <w:rsid w:val="002B0BBA"/>
    <w:rsid w:val="002B0D2A"/>
    <w:rsid w:val="002B720A"/>
    <w:rsid w:val="002B7961"/>
    <w:rsid w:val="002C7830"/>
    <w:rsid w:val="002D2A40"/>
    <w:rsid w:val="002D58FF"/>
    <w:rsid w:val="002E0253"/>
    <w:rsid w:val="002E0E0E"/>
    <w:rsid w:val="002E1F93"/>
    <w:rsid w:val="002E4630"/>
    <w:rsid w:val="002E548D"/>
    <w:rsid w:val="002E7A02"/>
    <w:rsid w:val="002F08DD"/>
    <w:rsid w:val="002F1948"/>
    <w:rsid w:val="002F31F0"/>
    <w:rsid w:val="002F43D8"/>
    <w:rsid w:val="003013C0"/>
    <w:rsid w:val="00304EF3"/>
    <w:rsid w:val="003052ED"/>
    <w:rsid w:val="00305660"/>
    <w:rsid w:val="003056F9"/>
    <w:rsid w:val="0030588D"/>
    <w:rsid w:val="0030702F"/>
    <w:rsid w:val="00307B94"/>
    <w:rsid w:val="0031362E"/>
    <w:rsid w:val="003168C0"/>
    <w:rsid w:val="00316B42"/>
    <w:rsid w:val="00316E43"/>
    <w:rsid w:val="003217E6"/>
    <w:rsid w:val="003245F8"/>
    <w:rsid w:val="003336D9"/>
    <w:rsid w:val="00336895"/>
    <w:rsid w:val="00336F40"/>
    <w:rsid w:val="003409A2"/>
    <w:rsid w:val="003448DF"/>
    <w:rsid w:val="00344F3B"/>
    <w:rsid w:val="00347CFA"/>
    <w:rsid w:val="00353080"/>
    <w:rsid w:val="003629DD"/>
    <w:rsid w:val="00373D2D"/>
    <w:rsid w:val="00375DC7"/>
    <w:rsid w:val="00377E7B"/>
    <w:rsid w:val="00380C9F"/>
    <w:rsid w:val="003826DE"/>
    <w:rsid w:val="00386176"/>
    <w:rsid w:val="00392809"/>
    <w:rsid w:val="00394ED7"/>
    <w:rsid w:val="003A721C"/>
    <w:rsid w:val="003B1811"/>
    <w:rsid w:val="003B457E"/>
    <w:rsid w:val="003B6AC7"/>
    <w:rsid w:val="003B6FDD"/>
    <w:rsid w:val="003C3DFF"/>
    <w:rsid w:val="003C3FAA"/>
    <w:rsid w:val="003D1234"/>
    <w:rsid w:val="003D3A98"/>
    <w:rsid w:val="003D6064"/>
    <w:rsid w:val="003D6114"/>
    <w:rsid w:val="003D63E2"/>
    <w:rsid w:val="003D6508"/>
    <w:rsid w:val="003E537A"/>
    <w:rsid w:val="003E5A06"/>
    <w:rsid w:val="003F163D"/>
    <w:rsid w:val="003F3C27"/>
    <w:rsid w:val="003F4D70"/>
    <w:rsid w:val="003F5A78"/>
    <w:rsid w:val="004002F4"/>
    <w:rsid w:val="004071C5"/>
    <w:rsid w:val="00412FAF"/>
    <w:rsid w:val="00417404"/>
    <w:rsid w:val="00425274"/>
    <w:rsid w:val="00427C4E"/>
    <w:rsid w:val="00431B61"/>
    <w:rsid w:val="00432FE7"/>
    <w:rsid w:val="00434A5E"/>
    <w:rsid w:val="00443129"/>
    <w:rsid w:val="00445E96"/>
    <w:rsid w:val="00446264"/>
    <w:rsid w:val="00446E40"/>
    <w:rsid w:val="0045050D"/>
    <w:rsid w:val="00455538"/>
    <w:rsid w:val="00455B1E"/>
    <w:rsid w:val="00456C2E"/>
    <w:rsid w:val="00456E1C"/>
    <w:rsid w:val="0045702C"/>
    <w:rsid w:val="00465127"/>
    <w:rsid w:val="00467494"/>
    <w:rsid w:val="004740F2"/>
    <w:rsid w:val="00475050"/>
    <w:rsid w:val="00481B81"/>
    <w:rsid w:val="0048323B"/>
    <w:rsid w:val="00485D0B"/>
    <w:rsid w:val="004870EC"/>
    <w:rsid w:val="00487B39"/>
    <w:rsid w:val="00492297"/>
    <w:rsid w:val="004965E2"/>
    <w:rsid w:val="00496A40"/>
    <w:rsid w:val="004978D4"/>
    <w:rsid w:val="004A078D"/>
    <w:rsid w:val="004A3629"/>
    <w:rsid w:val="004A46D5"/>
    <w:rsid w:val="004A7FF9"/>
    <w:rsid w:val="004B1D27"/>
    <w:rsid w:val="004B1F26"/>
    <w:rsid w:val="004B4B40"/>
    <w:rsid w:val="004B6511"/>
    <w:rsid w:val="004C067F"/>
    <w:rsid w:val="004C0A5E"/>
    <w:rsid w:val="004C71F3"/>
    <w:rsid w:val="004C762A"/>
    <w:rsid w:val="004D054B"/>
    <w:rsid w:val="004D0984"/>
    <w:rsid w:val="004D2FE1"/>
    <w:rsid w:val="004D5D98"/>
    <w:rsid w:val="004E0E5C"/>
    <w:rsid w:val="004E238E"/>
    <w:rsid w:val="004E5A81"/>
    <w:rsid w:val="004F0A67"/>
    <w:rsid w:val="004F2287"/>
    <w:rsid w:val="004F7BE3"/>
    <w:rsid w:val="00501921"/>
    <w:rsid w:val="00503414"/>
    <w:rsid w:val="00511A57"/>
    <w:rsid w:val="00513BB4"/>
    <w:rsid w:val="00514104"/>
    <w:rsid w:val="005150F7"/>
    <w:rsid w:val="00517646"/>
    <w:rsid w:val="00522290"/>
    <w:rsid w:val="00523802"/>
    <w:rsid w:val="0053065D"/>
    <w:rsid w:val="00532DB6"/>
    <w:rsid w:val="00534AFB"/>
    <w:rsid w:val="00536AD1"/>
    <w:rsid w:val="00537273"/>
    <w:rsid w:val="00541CAA"/>
    <w:rsid w:val="00544EFC"/>
    <w:rsid w:val="005458F3"/>
    <w:rsid w:val="00561413"/>
    <w:rsid w:val="00563993"/>
    <w:rsid w:val="00563A03"/>
    <w:rsid w:val="00563D4F"/>
    <w:rsid w:val="00563D7A"/>
    <w:rsid w:val="0056449B"/>
    <w:rsid w:val="00570EFE"/>
    <w:rsid w:val="00571DB3"/>
    <w:rsid w:val="00573DD8"/>
    <w:rsid w:val="00575B50"/>
    <w:rsid w:val="00577700"/>
    <w:rsid w:val="00580B91"/>
    <w:rsid w:val="00591925"/>
    <w:rsid w:val="00595A2F"/>
    <w:rsid w:val="00596531"/>
    <w:rsid w:val="005966FF"/>
    <w:rsid w:val="005A05C8"/>
    <w:rsid w:val="005A176A"/>
    <w:rsid w:val="005A2510"/>
    <w:rsid w:val="005A3636"/>
    <w:rsid w:val="005A5C1C"/>
    <w:rsid w:val="005A7DF8"/>
    <w:rsid w:val="005B2D8E"/>
    <w:rsid w:val="005B31AD"/>
    <w:rsid w:val="005B64B2"/>
    <w:rsid w:val="005B7262"/>
    <w:rsid w:val="005C086A"/>
    <w:rsid w:val="005C09C4"/>
    <w:rsid w:val="005C2F46"/>
    <w:rsid w:val="005C42FA"/>
    <w:rsid w:val="005C5094"/>
    <w:rsid w:val="005C6486"/>
    <w:rsid w:val="005E0B34"/>
    <w:rsid w:val="005E2EE9"/>
    <w:rsid w:val="005E4BE8"/>
    <w:rsid w:val="005E4BF8"/>
    <w:rsid w:val="005E5576"/>
    <w:rsid w:val="005E6CA8"/>
    <w:rsid w:val="005F1C41"/>
    <w:rsid w:val="005F5193"/>
    <w:rsid w:val="005F5360"/>
    <w:rsid w:val="0060058E"/>
    <w:rsid w:val="00605DB0"/>
    <w:rsid w:val="00606DA8"/>
    <w:rsid w:val="00607603"/>
    <w:rsid w:val="00607E11"/>
    <w:rsid w:val="006106F1"/>
    <w:rsid w:val="00612103"/>
    <w:rsid w:val="0061217E"/>
    <w:rsid w:val="0061247B"/>
    <w:rsid w:val="00620926"/>
    <w:rsid w:val="00621531"/>
    <w:rsid w:val="00622596"/>
    <w:rsid w:val="00625074"/>
    <w:rsid w:val="00625948"/>
    <w:rsid w:val="0063340F"/>
    <w:rsid w:val="00637AB6"/>
    <w:rsid w:val="00644A49"/>
    <w:rsid w:val="00646352"/>
    <w:rsid w:val="00650B86"/>
    <w:rsid w:val="00652512"/>
    <w:rsid w:val="0065252C"/>
    <w:rsid w:val="006530EA"/>
    <w:rsid w:val="0065482E"/>
    <w:rsid w:val="00656B0F"/>
    <w:rsid w:val="00657F49"/>
    <w:rsid w:val="00660982"/>
    <w:rsid w:val="0066233F"/>
    <w:rsid w:val="00670326"/>
    <w:rsid w:val="006736A4"/>
    <w:rsid w:val="00683AB9"/>
    <w:rsid w:val="006853A8"/>
    <w:rsid w:val="00685952"/>
    <w:rsid w:val="006859B8"/>
    <w:rsid w:val="006877DA"/>
    <w:rsid w:val="006907C2"/>
    <w:rsid w:val="00692676"/>
    <w:rsid w:val="00693439"/>
    <w:rsid w:val="0069497E"/>
    <w:rsid w:val="00697EC4"/>
    <w:rsid w:val="006A1886"/>
    <w:rsid w:val="006A375D"/>
    <w:rsid w:val="006A4DE6"/>
    <w:rsid w:val="006B0187"/>
    <w:rsid w:val="006B12F6"/>
    <w:rsid w:val="006B4DB8"/>
    <w:rsid w:val="006B548F"/>
    <w:rsid w:val="006C11F2"/>
    <w:rsid w:val="006C2742"/>
    <w:rsid w:val="006C7DC6"/>
    <w:rsid w:val="006D43F5"/>
    <w:rsid w:val="006E58EB"/>
    <w:rsid w:val="006E6506"/>
    <w:rsid w:val="006F0D36"/>
    <w:rsid w:val="006F1146"/>
    <w:rsid w:val="006F2253"/>
    <w:rsid w:val="00703B4D"/>
    <w:rsid w:val="007060D9"/>
    <w:rsid w:val="00711C78"/>
    <w:rsid w:val="00712019"/>
    <w:rsid w:val="007147C5"/>
    <w:rsid w:val="007155E3"/>
    <w:rsid w:val="0071561B"/>
    <w:rsid w:val="007158A9"/>
    <w:rsid w:val="00716DDC"/>
    <w:rsid w:val="007215EF"/>
    <w:rsid w:val="0072393D"/>
    <w:rsid w:val="00725F5A"/>
    <w:rsid w:val="007260D4"/>
    <w:rsid w:val="00726629"/>
    <w:rsid w:val="00730FF2"/>
    <w:rsid w:val="007313DE"/>
    <w:rsid w:val="00734EDD"/>
    <w:rsid w:val="007374EB"/>
    <w:rsid w:val="007379CE"/>
    <w:rsid w:val="007400E5"/>
    <w:rsid w:val="0074193D"/>
    <w:rsid w:val="00741BB4"/>
    <w:rsid w:val="00742CED"/>
    <w:rsid w:val="00745D11"/>
    <w:rsid w:val="007500C5"/>
    <w:rsid w:val="0075136D"/>
    <w:rsid w:val="007530FB"/>
    <w:rsid w:val="00754297"/>
    <w:rsid w:val="007562A5"/>
    <w:rsid w:val="00756B7B"/>
    <w:rsid w:val="00757805"/>
    <w:rsid w:val="00765CF9"/>
    <w:rsid w:val="00766734"/>
    <w:rsid w:val="007671B1"/>
    <w:rsid w:val="00767247"/>
    <w:rsid w:val="00771D87"/>
    <w:rsid w:val="007745FF"/>
    <w:rsid w:val="00777501"/>
    <w:rsid w:val="0078158E"/>
    <w:rsid w:val="007817FB"/>
    <w:rsid w:val="007848FE"/>
    <w:rsid w:val="007863B9"/>
    <w:rsid w:val="00790637"/>
    <w:rsid w:val="00791DD4"/>
    <w:rsid w:val="0079216D"/>
    <w:rsid w:val="0079711D"/>
    <w:rsid w:val="007974E8"/>
    <w:rsid w:val="007A32F3"/>
    <w:rsid w:val="007A45B2"/>
    <w:rsid w:val="007A7620"/>
    <w:rsid w:val="007B081B"/>
    <w:rsid w:val="007B0AB8"/>
    <w:rsid w:val="007B10DE"/>
    <w:rsid w:val="007C10D9"/>
    <w:rsid w:val="007D0F5D"/>
    <w:rsid w:val="007D13B1"/>
    <w:rsid w:val="007D1A26"/>
    <w:rsid w:val="007D4F86"/>
    <w:rsid w:val="007E23E2"/>
    <w:rsid w:val="007E671A"/>
    <w:rsid w:val="007F1979"/>
    <w:rsid w:val="007F5A3F"/>
    <w:rsid w:val="00814C5E"/>
    <w:rsid w:val="0081569A"/>
    <w:rsid w:val="00816C41"/>
    <w:rsid w:val="00822770"/>
    <w:rsid w:val="008232C6"/>
    <w:rsid w:val="00823BFC"/>
    <w:rsid w:val="00826117"/>
    <w:rsid w:val="008326D7"/>
    <w:rsid w:val="00833F0B"/>
    <w:rsid w:val="00836806"/>
    <w:rsid w:val="00836993"/>
    <w:rsid w:val="008424ED"/>
    <w:rsid w:val="00846EAF"/>
    <w:rsid w:val="00847D16"/>
    <w:rsid w:val="00850201"/>
    <w:rsid w:val="00851128"/>
    <w:rsid w:val="008538A8"/>
    <w:rsid w:val="00856848"/>
    <w:rsid w:val="00857191"/>
    <w:rsid w:val="00863675"/>
    <w:rsid w:val="00865FE3"/>
    <w:rsid w:val="0086613C"/>
    <w:rsid w:val="0086639A"/>
    <w:rsid w:val="0087189C"/>
    <w:rsid w:val="008753AB"/>
    <w:rsid w:val="00876190"/>
    <w:rsid w:val="00880940"/>
    <w:rsid w:val="008812F6"/>
    <w:rsid w:val="00881A71"/>
    <w:rsid w:val="00882E2A"/>
    <w:rsid w:val="008835FF"/>
    <w:rsid w:val="00883820"/>
    <w:rsid w:val="00885493"/>
    <w:rsid w:val="0089195F"/>
    <w:rsid w:val="00893318"/>
    <w:rsid w:val="00893A0E"/>
    <w:rsid w:val="0089561B"/>
    <w:rsid w:val="00897365"/>
    <w:rsid w:val="0089738A"/>
    <w:rsid w:val="008A064D"/>
    <w:rsid w:val="008B40F2"/>
    <w:rsid w:val="008B489F"/>
    <w:rsid w:val="008B70C2"/>
    <w:rsid w:val="008C44F3"/>
    <w:rsid w:val="008C64B0"/>
    <w:rsid w:val="008C6CFC"/>
    <w:rsid w:val="008C6EF8"/>
    <w:rsid w:val="008D18EC"/>
    <w:rsid w:val="008D5019"/>
    <w:rsid w:val="008D5A51"/>
    <w:rsid w:val="008D5CBD"/>
    <w:rsid w:val="008D7390"/>
    <w:rsid w:val="008E3211"/>
    <w:rsid w:val="008E56D0"/>
    <w:rsid w:val="008E58A1"/>
    <w:rsid w:val="008E63CC"/>
    <w:rsid w:val="008E7FD2"/>
    <w:rsid w:val="008F6721"/>
    <w:rsid w:val="00902A6F"/>
    <w:rsid w:val="00903E1C"/>
    <w:rsid w:val="00905DFA"/>
    <w:rsid w:val="00907450"/>
    <w:rsid w:val="00911B2C"/>
    <w:rsid w:val="00914469"/>
    <w:rsid w:val="009160F3"/>
    <w:rsid w:val="009175D2"/>
    <w:rsid w:val="00917EBE"/>
    <w:rsid w:val="00920EC0"/>
    <w:rsid w:val="00921A8C"/>
    <w:rsid w:val="00923957"/>
    <w:rsid w:val="009247C5"/>
    <w:rsid w:val="0092523E"/>
    <w:rsid w:val="0093421A"/>
    <w:rsid w:val="0094008A"/>
    <w:rsid w:val="00940F3B"/>
    <w:rsid w:val="00941FEA"/>
    <w:rsid w:val="009454FA"/>
    <w:rsid w:val="00950752"/>
    <w:rsid w:val="009527A3"/>
    <w:rsid w:val="00955876"/>
    <w:rsid w:val="0095616C"/>
    <w:rsid w:val="00956CFD"/>
    <w:rsid w:val="00960D34"/>
    <w:rsid w:val="00963BBA"/>
    <w:rsid w:val="00963E26"/>
    <w:rsid w:val="00964174"/>
    <w:rsid w:val="009657AB"/>
    <w:rsid w:val="00967018"/>
    <w:rsid w:val="009700C3"/>
    <w:rsid w:val="00972211"/>
    <w:rsid w:val="0097448E"/>
    <w:rsid w:val="009754CE"/>
    <w:rsid w:val="0097636E"/>
    <w:rsid w:val="00976D77"/>
    <w:rsid w:val="009776ED"/>
    <w:rsid w:val="00977D18"/>
    <w:rsid w:val="00981A01"/>
    <w:rsid w:val="0098653A"/>
    <w:rsid w:val="0098781B"/>
    <w:rsid w:val="00990137"/>
    <w:rsid w:val="009914E2"/>
    <w:rsid w:val="00992E11"/>
    <w:rsid w:val="00994502"/>
    <w:rsid w:val="00994597"/>
    <w:rsid w:val="009A22B5"/>
    <w:rsid w:val="009A25C9"/>
    <w:rsid w:val="009A2630"/>
    <w:rsid w:val="009A6E4E"/>
    <w:rsid w:val="009A7141"/>
    <w:rsid w:val="009B0780"/>
    <w:rsid w:val="009B45FA"/>
    <w:rsid w:val="009B6316"/>
    <w:rsid w:val="009B7CAE"/>
    <w:rsid w:val="009C0F08"/>
    <w:rsid w:val="009D0FC6"/>
    <w:rsid w:val="009D3601"/>
    <w:rsid w:val="009D6334"/>
    <w:rsid w:val="009D653E"/>
    <w:rsid w:val="009D7C68"/>
    <w:rsid w:val="009E052F"/>
    <w:rsid w:val="009E0C83"/>
    <w:rsid w:val="009E36CC"/>
    <w:rsid w:val="009E5872"/>
    <w:rsid w:val="009F01F5"/>
    <w:rsid w:val="009F7C28"/>
    <w:rsid w:val="00A00AFD"/>
    <w:rsid w:val="00A0586F"/>
    <w:rsid w:val="00A065D0"/>
    <w:rsid w:val="00A07F3E"/>
    <w:rsid w:val="00A11B5C"/>
    <w:rsid w:val="00A123B8"/>
    <w:rsid w:val="00A12551"/>
    <w:rsid w:val="00A12E5B"/>
    <w:rsid w:val="00A13405"/>
    <w:rsid w:val="00A23499"/>
    <w:rsid w:val="00A256D1"/>
    <w:rsid w:val="00A27528"/>
    <w:rsid w:val="00A3211F"/>
    <w:rsid w:val="00A33E08"/>
    <w:rsid w:val="00A34120"/>
    <w:rsid w:val="00A37308"/>
    <w:rsid w:val="00A41340"/>
    <w:rsid w:val="00A4403C"/>
    <w:rsid w:val="00A44AD1"/>
    <w:rsid w:val="00A5072B"/>
    <w:rsid w:val="00A5153C"/>
    <w:rsid w:val="00A55DA1"/>
    <w:rsid w:val="00A61C7F"/>
    <w:rsid w:val="00A642F0"/>
    <w:rsid w:val="00A675B1"/>
    <w:rsid w:val="00A702F4"/>
    <w:rsid w:val="00A7193D"/>
    <w:rsid w:val="00A7444F"/>
    <w:rsid w:val="00A74FEB"/>
    <w:rsid w:val="00A82F39"/>
    <w:rsid w:val="00A83C64"/>
    <w:rsid w:val="00A83F08"/>
    <w:rsid w:val="00A84195"/>
    <w:rsid w:val="00A845DA"/>
    <w:rsid w:val="00A930C3"/>
    <w:rsid w:val="00A9600A"/>
    <w:rsid w:val="00A964DA"/>
    <w:rsid w:val="00A968C7"/>
    <w:rsid w:val="00AA6D80"/>
    <w:rsid w:val="00AB16C0"/>
    <w:rsid w:val="00AB1932"/>
    <w:rsid w:val="00AB1A4D"/>
    <w:rsid w:val="00AB3729"/>
    <w:rsid w:val="00AB6BC3"/>
    <w:rsid w:val="00AB7644"/>
    <w:rsid w:val="00AC025B"/>
    <w:rsid w:val="00AC19E8"/>
    <w:rsid w:val="00AC22E2"/>
    <w:rsid w:val="00AC2CDC"/>
    <w:rsid w:val="00AC796A"/>
    <w:rsid w:val="00AD09E0"/>
    <w:rsid w:val="00AD0AAC"/>
    <w:rsid w:val="00AD2541"/>
    <w:rsid w:val="00AD2D28"/>
    <w:rsid w:val="00AE2172"/>
    <w:rsid w:val="00AE44C7"/>
    <w:rsid w:val="00AE5F05"/>
    <w:rsid w:val="00AF12F9"/>
    <w:rsid w:val="00AF3752"/>
    <w:rsid w:val="00AF4170"/>
    <w:rsid w:val="00AF4510"/>
    <w:rsid w:val="00AF4EA2"/>
    <w:rsid w:val="00AF75E7"/>
    <w:rsid w:val="00B01201"/>
    <w:rsid w:val="00B0340B"/>
    <w:rsid w:val="00B049A4"/>
    <w:rsid w:val="00B1434C"/>
    <w:rsid w:val="00B161DB"/>
    <w:rsid w:val="00B17650"/>
    <w:rsid w:val="00B20CEA"/>
    <w:rsid w:val="00B309ED"/>
    <w:rsid w:val="00B32D65"/>
    <w:rsid w:val="00B34E6E"/>
    <w:rsid w:val="00B34ECF"/>
    <w:rsid w:val="00B413F7"/>
    <w:rsid w:val="00B415F1"/>
    <w:rsid w:val="00B43312"/>
    <w:rsid w:val="00B44343"/>
    <w:rsid w:val="00B45D38"/>
    <w:rsid w:val="00B45F43"/>
    <w:rsid w:val="00B474AF"/>
    <w:rsid w:val="00B5585D"/>
    <w:rsid w:val="00B55A6F"/>
    <w:rsid w:val="00B67FAC"/>
    <w:rsid w:val="00B71189"/>
    <w:rsid w:val="00B72396"/>
    <w:rsid w:val="00B72917"/>
    <w:rsid w:val="00B73AF0"/>
    <w:rsid w:val="00B74AF3"/>
    <w:rsid w:val="00B774E9"/>
    <w:rsid w:val="00B8119C"/>
    <w:rsid w:val="00B836EF"/>
    <w:rsid w:val="00B84981"/>
    <w:rsid w:val="00B8569C"/>
    <w:rsid w:val="00B85BC6"/>
    <w:rsid w:val="00B87C6F"/>
    <w:rsid w:val="00B912B4"/>
    <w:rsid w:val="00B94318"/>
    <w:rsid w:val="00B97244"/>
    <w:rsid w:val="00BA1788"/>
    <w:rsid w:val="00BA34F3"/>
    <w:rsid w:val="00BA3685"/>
    <w:rsid w:val="00BA3DAC"/>
    <w:rsid w:val="00BA5042"/>
    <w:rsid w:val="00BA5654"/>
    <w:rsid w:val="00BB0351"/>
    <w:rsid w:val="00BB33C1"/>
    <w:rsid w:val="00BB3839"/>
    <w:rsid w:val="00BB3D26"/>
    <w:rsid w:val="00BB4E05"/>
    <w:rsid w:val="00BB534C"/>
    <w:rsid w:val="00BB74C4"/>
    <w:rsid w:val="00BB76AE"/>
    <w:rsid w:val="00BC3C5E"/>
    <w:rsid w:val="00BC5406"/>
    <w:rsid w:val="00BC5B48"/>
    <w:rsid w:val="00BD24B8"/>
    <w:rsid w:val="00BD49B1"/>
    <w:rsid w:val="00BD63D3"/>
    <w:rsid w:val="00BE03C2"/>
    <w:rsid w:val="00BE0454"/>
    <w:rsid w:val="00BE0CD6"/>
    <w:rsid w:val="00BE1313"/>
    <w:rsid w:val="00BE22D9"/>
    <w:rsid w:val="00BE2D37"/>
    <w:rsid w:val="00BE5743"/>
    <w:rsid w:val="00BE7396"/>
    <w:rsid w:val="00BF2624"/>
    <w:rsid w:val="00BF5B07"/>
    <w:rsid w:val="00BF72F0"/>
    <w:rsid w:val="00BF73E1"/>
    <w:rsid w:val="00C02B8C"/>
    <w:rsid w:val="00C036B6"/>
    <w:rsid w:val="00C12097"/>
    <w:rsid w:val="00C12CC5"/>
    <w:rsid w:val="00C15892"/>
    <w:rsid w:val="00C229A2"/>
    <w:rsid w:val="00C2538D"/>
    <w:rsid w:val="00C26602"/>
    <w:rsid w:val="00C3002F"/>
    <w:rsid w:val="00C30C53"/>
    <w:rsid w:val="00C329A3"/>
    <w:rsid w:val="00C40CA6"/>
    <w:rsid w:val="00C41082"/>
    <w:rsid w:val="00C467E8"/>
    <w:rsid w:val="00C51D11"/>
    <w:rsid w:val="00C53A28"/>
    <w:rsid w:val="00C54923"/>
    <w:rsid w:val="00C57B49"/>
    <w:rsid w:val="00C57FA8"/>
    <w:rsid w:val="00C60BD4"/>
    <w:rsid w:val="00C61365"/>
    <w:rsid w:val="00C61475"/>
    <w:rsid w:val="00C64387"/>
    <w:rsid w:val="00C6453C"/>
    <w:rsid w:val="00C724A6"/>
    <w:rsid w:val="00C75737"/>
    <w:rsid w:val="00C76D8C"/>
    <w:rsid w:val="00C84702"/>
    <w:rsid w:val="00C8541E"/>
    <w:rsid w:val="00C861CE"/>
    <w:rsid w:val="00C864F1"/>
    <w:rsid w:val="00C923AD"/>
    <w:rsid w:val="00C92B90"/>
    <w:rsid w:val="00C93E4D"/>
    <w:rsid w:val="00C94D2A"/>
    <w:rsid w:val="00C94EF9"/>
    <w:rsid w:val="00C952B7"/>
    <w:rsid w:val="00C96014"/>
    <w:rsid w:val="00C96448"/>
    <w:rsid w:val="00C97818"/>
    <w:rsid w:val="00CA06A6"/>
    <w:rsid w:val="00CA51DA"/>
    <w:rsid w:val="00CA6AC6"/>
    <w:rsid w:val="00CB0C6E"/>
    <w:rsid w:val="00CB1674"/>
    <w:rsid w:val="00CB1B43"/>
    <w:rsid w:val="00CB6280"/>
    <w:rsid w:val="00CB70BC"/>
    <w:rsid w:val="00CC1B49"/>
    <w:rsid w:val="00CC2307"/>
    <w:rsid w:val="00CC34F1"/>
    <w:rsid w:val="00CC4663"/>
    <w:rsid w:val="00CC494D"/>
    <w:rsid w:val="00CC5523"/>
    <w:rsid w:val="00CC66D5"/>
    <w:rsid w:val="00CD173C"/>
    <w:rsid w:val="00CD1C1F"/>
    <w:rsid w:val="00CD1D23"/>
    <w:rsid w:val="00CD4C74"/>
    <w:rsid w:val="00CE25CC"/>
    <w:rsid w:val="00CE486C"/>
    <w:rsid w:val="00CF1387"/>
    <w:rsid w:val="00D012A4"/>
    <w:rsid w:val="00D01A79"/>
    <w:rsid w:val="00D040BA"/>
    <w:rsid w:val="00D20BE6"/>
    <w:rsid w:val="00D24E24"/>
    <w:rsid w:val="00D24E5B"/>
    <w:rsid w:val="00D407D9"/>
    <w:rsid w:val="00D43112"/>
    <w:rsid w:val="00D43833"/>
    <w:rsid w:val="00D4660C"/>
    <w:rsid w:val="00D524BA"/>
    <w:rsid w:val="00D53861"/>
    <w:rsid w:val="00D60B11"/>
    <w:rsid w:val="00D618C8"/>
    <w:rsid w:val="00D651D7"/>
    <w:rsid w:val="00D707BF"/>
    <w:rsid w:val="00D7357B"/>
    <w:rsid w:val="00D74D56"/>
    <w:rsid w:val="00D82832"/>
    <w:rsid w:val="00D83CBA"/>
    <w:rsid w:val="00D84240"/>
    <w:rsid w:val="00D849F6"/>
    <w:rsid w:val="00D85278"/>
    <w:rsid w:val="00D856FB"/>
    <w:rsid w:val="00D87474"/>
    <w:rsid w:val="00D87725"/>
    <w:rsid w:val="00D93DC8"/>
    <w:rsid w:val="00DA0FAE"/>
    <w:rsid w:val="00DA1FEF"/>
    <w:rsid w:val="00DA3181"/>
    <w:rsid w:val="00DA61BC"/>
    <w:rsid w:val="00DA6E24"/>
    <w:rsid w:val="00DB4B20"/>
    <w:rsid w:val="00DB589A"/>
    <w:rsid w:val="00DC0C2A"/>
    <w:rsid w:val="00DC203A"/>
    <w:rsid w:val="00DC2F20"/>
    <w:rsid w:val="00DC39DF"/>
    <w:rsid w:val="00DC782C"/>
    <w:rsid w:val="00DD15E7"/>
    <w:rsid w:val="00DD39C0"/>
    <w:rsid w:val="00DD60F7"/>
    <w:rsid w:val="00DE011D"/>
    <w:rsid w:val="00DE32BA"/>
    <w:rsid w:val="00DE4C8F"/>
    <w:rsid w:val="00DF004F"/>
    <w:rsid w:val="00DF2019"/>
    <w:rsid w:val="00DF7F20"/>
    <w:rsid w:val="00E048B1"/>
    <w:rsid w:val="00E07DB4"/>
    <w:rsid w:val="00E1542A"/>
    <w:rsid w:val="00E15732"/>
    <w:rsid w:val="00E16918"/>
    <w:rsid w:val="00E17F21"/>
    <w:rsid w:val="00E213AD"/>
    <w:rsid w:val="00E2178C"/>
    <w:rsid w:val="00E24E00"/>
    <w:rsid w:val="00E268C1"/>
    <w:rsid w:val="00E32A2E"/>
    <w:rsid w:val="00E33184"/>
    <w:rsid w:val="00E37042"/>
    <w:rsid w:val="00E420C7"/>
    <w:rsid w:val="00E435AA"/>
    <w:rsid w:val="00E5061E"/>
    <w:rsid w:val="00E51F4F"/>
    <w:rsid w:val="00E5236D"/>
    <w:rsid w:val="00E52DD0"/>
    <w:rsid w:val="00E56EDB"/>
    <w:rsid w:val="00E57B6F"/>
    <w:rsid w:val="00E6033F"/>
    <w:rsid w:val="00E60CE5"/>
    <w:rsid w:val="00E62392"/>
    <w:rsid w:val="00E63A5F"/>
    <w:rsid w:val="00E645FC"/>
    <w:rsid w:val="00E64C92"/>
    <w:rsid w:val="00E65C71"/>
    <w:rsid w:val="00E751BB"/>
    <w:rsid w:val="00E75383"/>
    <w:rsid w:val="00E7609A"/>
    <w:rsid w:val="00E77BBD"/>
    <w:rsid w:val="00E84C59"/>
    <w:rsid w:val="00E87FC1"/>
    <w:rsid w:val="00E941FE"/>
    <w:rsid w:val="00EA0B6F"/>
    <w:rsid w:val="00EA0EF4"/>
    <w:rsid w:val="00EA217D"/>
    <w:rsid w:val="00EA2E5B"/>
    <w:rsid w:val="00EA7D92"/>
    <w:rsid w:val="00EB0BD0"/>
    <w:rsid w:val="00EB2AC0"/>
    <w:rsid w:val="00EB3FFA"/>
    <w:rsid w:val="00EC1D2F"/>
    <w:rsid w:val="00EC245F"/>
    <w:rsid w:val="00EC50F5"/>
    <w:rsid w:val="00EC58B0"/>
    <w:rsid w:val="00EC77DB"/>
    <w:rsid w:val="00ED083D"/>
    <w:rsid w:val="00ED1906"/>
    <w:rsid w:val="00ED1F19"/>
    <w:rsid w:val="00ED524B"/>
    <w:rsid w:val="00ED63C5"/>
    <w:rsid w:val="00ED6638"/>
    <w:rsid w:val="00ED7D55"/>
    <w:rsid w:val="00EE2F52"/>
    <w:rsid w:val="00EE3777"/>
    <w:rsid w:val="00EE3A95"/>
    <w:rsid w:val="00EE534F"/>
    <w:rsid w:val="00EE537A"/>
    <w:rsid w:val="00EE60DC"/>
    <w:rsid w:val="00EF0463"/>
    <w:rsid w:val="00EF28DB"/>
    <w:rsid w:val="00EF296D"/>
    <w:rsid w:val="00EF35E0"/>
    <w:rsid w:val="00EF420F"/>
    <w:rsid w:val="00EF7AE2"/>
    <w:rsid w:val="00F01573"/>
    <w:rsid w:val="00F02850"/>
    <w:rsid w:val="00F04FD2"/>
    <w:rsid w:val="00F05CAC"/>
    <w:rsid w:val="00F06237"/>
    <w:rsid w:val="00F06590"/>
    <w:rsid w:val="00F0721C"/>
    <w:rsid w:val="00F1340A"/>
    <w:rsid w:val="00F135CA"/>
    <w:rsid w:val="00F17139"/>
    <w:rsid w:val="00F173D5"/>
    <w:rsid w:val="00F219F2"/>
    <w:rsid w:val="00F245ED"/>
    <w:rsid w:val="00F270E6"/>
    <w:rsid w:val="00F27384"/>
    <w:rsid w:val="00F32C34"/>
    <w:rsid w:val="00F341DA"/>
    <w:rsid w:val="00F345EF"/>
    <w:rsid w:val="00F3473B"/>
    <w:rsid w:val="00F36967"/>
    <w:rsid w:val="00F435EC"/>
    <w:rsid w:val="00F442F0"/>
    <w:rsid w:val="00F45C50"/>
    <w:rsid w:val="00F475C3"/>
    <w:rsid w:val="00F51204"/>
    <w:rsid w:val="00F51E08"/>
    <w:rsid w:val="00F523C8"/>
    <w:rsid w:val="00F55A4F"/>
    <w:rsid w:val="00F55AB9"/>
    <w:rsid w:val="00F56E03"/>
    <w:rsid w:val="00F63EBA"/>
    <w:rsid w:val="00F63F24"/>
    <w:rsid w:val="00F70426"/>
    <w:rsid w:val="00F71B8C"/>
    <w:rsid w:val="00F73A6E"/>
    <w:rsid w:val="00F75367"/>
    <w:rsid w:val="00F814DB"/>
    <w:rsid w:val="00F85A01"/>
    <w:rsid w:val="00F85CC2"/>
    <w:rsid w:val="00F93C69"/>
    <w:rsid w:val="00F97E6F"/>
    <w:rsid w:val="00FA54E8"/>
    <w:rsid w:val="00FA6130"/>
    <w:rsid w:val="00FA6163"/>
    <w:rsid w:val="00FA616B"/>
    <w:rsid w:val="00FB19EB"/>
    <w:rsid w:val="00FB373F"/>
    <w:rsid w:val="00FB4373"/>
    <w:rsid w:val="00FC39FD"/>
    <w:rsid w:val="00FC3B7B"/>
    <w:rsid w:val="00FC3B91"/>
    <w:rsid w:val="00FC7DBC"/>
    <w:rsid w:val="00FD0C48"/>
    <w:rsid w:val="00FD0FE3"/>
    <w:rsid w:val="00FD78F1"/>
    <w:rsid w:val="00FE0F50"/>
    <w:rsid w:val="00FE28AA"/>
    <w:rsid w:val="00FE5069"/>
    <w:rsid w:val="00FF2D7C"/>
    <w:rsid w:val="00FF338E"/>
    <w:rsid w:val="00FF3F6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40882"/>
  <w15:chartTrackingRefBased/>
  <w15:docId w15:val="{B9A652F5-E904-4934-AF09-9738F57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01"/>
    <w:pP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Times New Roman" w:eastAsia="SimSun" w:hAnsi="Times New Roman" w:cs="Times New Roman"/>
      <w:szCs w:val="20"/>
      <w:lang w:val="en-GB"/>
    </w:rPr>
  </w:style>
  <w:style w:type="paragraph" w:styleId="Heading1">
    <w:name w:val="heading 1"/>
    <w:aliases w:val="H1,h1,Heading 1 3GPP"/>
    <w:next w:val="Normal"/>
    <w:link w:val="Heading1Char"/>
    <w:qFormat/>
    <w:rsid w:val="0076673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76673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76673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6673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6673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66734"/>
    <w:pPr>
      <w:keepNext/>
      <w:keepLines/>
      <w:numPr>
        <w:ilvl w:val="5"/>
        <w:numId w:val="1"/>
      </w:numPr>
      <w:spacing w:before="120"/>
      <w:jc w:val="left"/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link w:val="Heading7Char"/>
    <w:qFormat/>
    <w:rsid w:val="00766734"/>
    <w:pPr>
      <w:keepNext/>
      <w:keepLines/>
      <w:numPr>
        <w:ilvl w:val="6"/>
        <w:numId w:val="1"/>
      </w:numPr>
      <w:spacing w:before="120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Heading1"/>
    <w:next w:val="Normal"/>
    <w:link w:val="Heading8Char"/>
    <w:qFormat/>
    <w:rsid w:val="0076673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673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766734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766734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eading 3 3GPP Char"/>
    <w:basedOn w:val="DefaultParagraphFont"/>
    <w:link w:val="Heading3"/>
    <w:rsid w:val="00766734"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66734"/>
    <w:rPr>
      <w:rFonts w:ascii="Arial" w:eastAsia="SimSun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66734"/>
    <w:rPr>
      <w:rFonts w:ascii="Arial" w:eastAsia="SimSu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66734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66734"/>
    <w:rPr>
      <w:rFonts w:ascii="Arial" w:eastAsia="SimSu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66734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66734"/>
    <w:rPr>
      <w:rFonts w:ascii="Arial" w:eastAsia="SimSun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667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b/>
      <w:noProof/>
      <w:sz w:val="18"/>
      <w:szCs w:val="2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766734"/>
    <w:rPr>
      <w:rFonts w:ascii="Arial" w:eastAsia="SimSun" w:hAnsi="Arial" w:cs="Times New Roman"/>
      <w:b/>
      <w:noProof/>
      <w:sz w:val="18"/>
      <w:szCs w:val="20"/>
    </w:rPr>
  </w:style>
  <w:style w:type="character" w:styleId="Hyperlink">
    <w:name w:val="Hyperlink"/>
    <w:uiPriority w:val="99"/>
    <w:qFormat/>
    <w:rsid w:val="00766734"/>
    <w:rPr>
      <w:color w:val="0000FF"/>
      <w:u w:val="single"/>
    </w:rPr>
  </w:style>
  <w:style w:type="paragraph" w:styleId="ListParagraph">
    <w:name w:val="List Paragraph"/>
    <w:aliases w:val="- Bullets,목록 단락,リスト段落,列出段落,?? ??,?????,????"/>
    <w:basedOn w:val="Normal"/>
    <w:link w:val="ListParagraphChar"/>
    <w:uiPriority w:val="34"/>
    <w:qFormat/>
    <w:rsid w:val="00766734"/>
    <w:pPr>
      <w:overflowPunct/>
      <w:autoSpaceDE/>
      <w:autoSpaceDN/>
      <w:adjustRightInd/>
      <w:spacing w:after="0"/>
      <w:ind w:left="720"/>
      <w:contextualSpacing/>
      <w:textAlignment w:val="auto"/>
    </w:pPr>
    <w:rPr>
      <w:szCs w:val="24"/>
      <w:lang w:val="fi-FI" w:eastAsia="zh-CN"/>
    </w:rPr>
  </w:style>
  <w:style w:type="table" w:styleId="TableGrid">
    <w:name w:val="Table Grid"/>
    <w:basedOn w:val="TableNormal"/>
    <w:uiPriority w:val="59"/>
    <w:rsid w:val="00766734"/>
    <w:pPr>
      <w:spacing w:after="0" w:line="240" w:lineRule="auto"/>
    </w:pPr>
    <w:rPr>
      <w:rFonts w:ascii="CG Times (WN)" w:eastAsia="SimSu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목록 단락 Char,リスト段落 Char,列出段落 Char,?? ?? Char,????? Char,???? Char"/>
    <w:link w:val="ListParagraph"/>
    <w:uiPriority w:val="34"/>
    <w:qFormat/>
    <w:locked/>
    <w:rsid w:val="00766734"/>
    <w:rPr>
      <w:rFonts w:ascii="Times New Roman" w:eastAsia="SimSun" w:hAnsi="Times New Roman" w:cs="Times New Roman"/>
      <w:szCs w:val="24"/>
      <w:lang w:val="fi-FI" w:eastAsia="zh-CN"/>
    </w:rPr>
  </w:style>
  <w:style w:type="paragraph" w:styleId="BodyText">
    <w:name w:val="Body Text"/>
    <w:link w:val="BodyTextChar"/>
    <w:rsid w:val="007500C5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00C5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qFormat/>
    <w:rsid w:val="00A74FEB"/>
    <w:rPr>
      <w:b/>
      <w:bCs/>
    </w:rPr>
  </w:style>
  <w:style w:type="paragraph" w:customStyle="1" w:styleId="Reference">
    <w:name w:val="Reference"/>
    <w:basedOn w:val="BodyText"/>
    <w:rsid w:val="00115B1B"/>
    <w:pPr>
      <w:numPr>
        <w:numId w:val="14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spacing w:before="0" w:after="120" w:line="259" w:lineRule="auto"/>
      <w:jc w:val="both"/>
    </w:pPr>
    <w:rPr>
      <w:rFonts w:eastAsiaTheme="minorHAnsi" w:cstheme="minorBidi"/>
      <w:sz w:val="20"/>
      <w:szCs w:val="22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22596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702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2F4"/>
    <w:rPr>
      <w:rFonts w:ascii="Times New Roman" w:eastAsia="SimSun" w:hAnsi="Times New Roman" w:cs="Times New Roman"/>
      <w:szCs w:val="20"/>
      <w:lang w:val="en-GB"/>
    </w:rPr>
  </w:style>
  <w:style w:type="paragraph" w:customStyle="1" w:styleId="Default">
    <w:name w:val="Default"/>
    <w:rsid w:val="007817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ZT">
    <w:name w:val="ZT"/>
    <w:rsid w:val="00994597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DC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9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4eea7b-52db-4162-980b-b352f1b580a3">3EQ6UJ4K66FU-116443906-39864</_dlc_DocId>
    <_dlc_DocIdUrl xmlns="df4eea7b-52db-4162-980b-b352f1b580a3">
      <Url>https://projects.qualcomm.com/sites/meridian/_layouts/15/DocIdRedir.aspx?ID=3EQ6UJ4K66FU-116443906-39864</Url>
      <Description>3EQ6UJ4K66FU-116443906-39864</Description>
    </_dlc_DocIdUrl>
  </documentManagement>
</p:properties>
</file>

<file path=customXml/itemProps1.xml><?xml version="1.0" encoding="utf-8"?>
<ds:datastoreItem xmlns:ds="http://schemas.openxmlformats.org/officeDocument/2006/customXml" ds:itemID="{B249FAAF-5B7B-487B-9F75-440BB3675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43EF6-B92F-4C63-9723-33CE93DE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30795-9C0B-46AB-80CD-3FF267DC9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06992A-8A3A-4A25-8171-18716664B86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f4eea7b-52db-4162-980b-b352f1b580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Fong</dc:creator>
  <cp:keywords/>
  <dc:description/>
  <cp:lastModifiedBy>Silas Fong</cp:lastModifiedBy>
  <cp:revision>3</cp:revision>
  <dcterms:created xsi:type="dcterms:W3CDTF">2021-03-08T22:00:00Z</dcterms:created>
  <dcterms:modified xsi:type="dcterms:W3CDTF">2021-03-08T22:02:00Z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0x010100B85C6574B4423147967AFA97304B0FFB</vt:lpwstr>
  </property>
  <property fmtid="{D5CDD505-2E9C-101B-9397-08002B2CF9AE}" pid="3" name="_dlc_DocIdItemGuid">
    <vt:lpwstr>faed947f-24c0-4328-8c59-67c57c228252</vt:lpwstr>
  </property>
</Properties>
</file>