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Header"/>
        <w:tabs>
          <w:tab w:val="right" w:pos="9639"/>
        </w:tabs>
        <w:rPr>
          <w:bCs/>
          <w:noProof w:val="0"/>
          <w:sz w:val="24"/>
          <w:szCs w:val="24"/>
        </w:rPr>
      </w:pPr>
      <w:r>
        <w:rPr>
          <w:bCs/>
          <w:noProof w:val="0"/>
          <w:sz w:val="24"/>
          <w:szCs w:val="24"/>
        </w:rPr>
        <w:t>3GPP TSG RAN Meeting #84</w:t>
      </w:r>
      <w:r>
        <w:rPr>
          <w:bCs/>
          <w:noProof w:val="0"/>
          <w:sz w:val="24"/>
          <w:szCs w:val="24"/>
        </w:rPr>
        <w:tab/>
        <w:t>RP-191434</w:t>
      </w:r>
    </w:p>
    <w:p>
      <w:pPr>
        <w:pStyle w:val="Header"/>
        <w:tabs>
          <w:tab w:val="right" w:pos="9639"/>
        </w:tabs>
        <w:rPr>
          <w:bCs/>
          <w:noProof w:val="0"/>
          <w:sz w:val="24"/>
          <w:szCs w:val="24"/>
        </w:rPr>
      </w:pPr>
      <w:r>
        <w:rPr>
          <w:bCs/>
          <w:noProof w:val="0"/>
          <w:sz w:val="24"/>
          <w:szCs w:val="24"/>
        </w:rPr>
        <w:t>Newport Beach, USA, June 3-6, 2019</w:t>
      </w:r>
      <w:r>
        <w:rPr>
          <w:bCs/>
          <w:noProof w:val="0"/>
          <w:sz w:val="24"/>
          <w:szCs w:val="24"/>
        </w:rPr>
        <w:tab/>
      </w:r>
      <w:r>
        <w:rPr>
          <w:bCs/>
          <w:noProof w:val="0"/>
          <w:sz w:val="24"/>
          <w:szCs w:val="24"/>
        </w:rPr>
        <w:tab/>
      </w:r>
    </w:p>
    <w:p>
      <w:pPr>
        <w:pStyle w:val="Header"/>
        <w:rPr>
          <w:bCs/>
          <w:noProof w:val="0"/>
          <w:sz w:val="24"/>
          <w:lang w:val="en-GB" w:eastAsia="ja-JP"/>
        </w:rPr>
      </w:pPr>
    </w:p>
    <w:p>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Pr>
          <w:rFonts w:cs="Arial"/>
          <w:b/>
          <w:bCs/>
          <w:sz w:val="24"/>
          <w:szCs w:val="24"/>
        </w:rPr>
        <w:t>9.3.3</w:t>
      </w:r>
    </w:p>
    <w:p>
      <w:pPr>
        <w:tabs>
          <w:tab w:val="left" w:pos="1985"/>
        </w:tabs>
        <w:spacing w:after="120"/>
        <w:ind w:left="1985" w:hanging="1985"/>
        <w:rPr>
          <w:rFonts w:ascii="Arial" w:hAnsi="Arial" w:cs="Arial"/>
          <w:b/>
          <w:bCs/>
          <w:sz w:val="24"/>
          <w:szCs w:val="24"/>
          <w:lang w:val="en-US"/>
        </w:rPr>
      </w:pPr>
      <w:r>
        <w:rPr>
          <w:rFonts w:ascii="Arial" w:hAnsi="Arial" w:cs="Arial"/>
          <w:b/>
          <w:bCs/>
          <w:sz w:val="24"/>
          <w:szCs w:val="24"/>
        </w:rPr>
        <w:t xml:space="preserve">Source: </w:t>
      </w:r>
      <w:r>
        <w:rPr>
          <w:rFonts w:ascii="Arial" w:hAnsi="Arial" w:cs="Arial"/>
          <w:b/>
          <w:bCs/>
          <w:sz w:val="24"/>
        </w:rPr>
        <w:tab/>
      </w:r>
      <w:r>
        <w:rPr>
          <w:rFonts w:ascii="Arial" w:hAnsi="Arial" w:cs="Arial"/>
          <w:b/>
          <w:bCs/>
          <w:sz w:val="24"/>
          <w:szCs w:val="24"/>
        </w:rPr>
        <w:t>Nokia, Nokia Shanghai Bell</w:t>
      </w:r>
    </w:p>
    <w:p>
      <w:pPr>
        <w:ind w:left="1985" w:hanging="1985"/>
        <w:rPr>
          <w:rFonts w:ascii="Arial" w:hAnsi="Arial" w:cs="Arial"/>
          <w:b/>
          <w:bCs/>
          <w:sz w:val="24"/>
          <w:szCs w:val="24"/>
        </w:rPr>
      </w:pPr>
      <w:r>
        <w:rPr>
          <w:rFonts w:ascii="Arial" w:hAnsi="Arial" w:cs="Arial"/>
          <w:b/>
          <w:bCs/>
          <w:sz w:val="24"/>
          <w:szCs w:val="24"/>
        </w:rPr>
        <w:t xml:space="preserve">Title: </w:t>
      </w:r>
      <w:r>
        <w:rPr>
          <w:rFonts w:ascii="Arial" w:hAnsi="Arial" w:cs="Arial"/>
          <w:b/>
          <w:bCs/>
          <w:sz w:val="24"/>
        </w:rPr>
        <w:tab/>
      </w:r>
      <w:r>
        <w:rPr>
          <w:rFonts w:ascii="Arial" w:hAnsi="Arial" w:cs="Arial"/>
          <w:b/>
          <w:bCs/>
          <w:sz w:val="24"/>
          <w:szCs w:val="24"/>
        </w:rPr>
        <w:t xml:space="preserve">Comments on Use Cases and Deployment Scenarios sections of draft TP to TR38.807 </w:t>
      </w:r>
    </w:p>
    <w:p>
      <w:pPr>
        <w:rPr>
          <w:rFonts w:ascii="Arial" w:hAnsi="Arial" w:cs="Arial"/>
          <w:b/>
          <w:bCs/>
          <w:sz w:val="24"/>
          <w:szCs w:val="24"/>
        </w:rPr>
      </w:pPr>
      <w:r>
        <w:rPr>
          <w:rFonts w:ascii="Arial" w:hAnsi="Arial" w:cs="Arial"/>
          <w:b/>
          <w:bCs/>
          <w:sz w:val="24"/>
          <w:szCs w:val="24"/>
        </w:rPr>
        <w:t xml:space="preserve">Document for: </w:t>
      </w:r>
      <w:r>
        <w:rPr>
          <w:rFonts w:ascii="Arial" w:hAnsi="Arial" w:cs="Arial"/>
          <w:b/>
          <w:bCs/>
          <w:sz w:val="24"/>
        </w:rPr>
        <w:tab/>
      </w:r>
      <w:r>
        <w:rPr>
          <w:rFonts w:ascii="Arial" w:hAnsi="Arial" w:cs="Arial"/>
          <w:b/>
          <w:bCs/>
          <w:sz w:val="24"/>
          <w:szCs w:val="24"/>
        </w:rPr>
        <w:t>Discussion and Decision</w:t>
      </w:r>
    </w:p>
    <w:p>
      <w:pPr>
        <w:pStyle w:val="Heading1"/>
      </w:pPr>
      <w:bookmarkStart w:id="0" w:name="_Ref531021995"/>
      <w:r>
        <w:t>Introduction</w:t>
      </w:r>
      <w:bookmarkEnd w:id="0"/>
    </w:p>
    <w:p>
      <w:pPr>
        <w:rPr>
          <w:sz w:val="24"/>
          <w:szCs w:val="24"/>
          <w:lang w:val="en-US"/>
        </w:rPr>
      </w:pPr>
      <w:r>
        <w:rPr>
          <w:sz w:val="24"/>
          <w:szCs w:val="24"/>
        </w:rPr>
        <w:t xml:space="preserve">This document provides comments and proposed corrections to the draft TP to TR38.807 section 5 </w:t>
      </w:r>
      <w:r>
        <w:rPr>
          <w:sz w:val="24"/>
          <w:szCs w:val="24"/>
        </w:rPr>
        <w:fldChar w:fldCharType="begin"/>
      </w:r>
      <w:r>
        <w:rPr>
          <w:sz w:val="24"/>
          <w:szCs w:val="24"/>
        </w:rPr>
        <w:instrText xml:space="preserve"> REF _Ref9843240 \r \h  \* MERGEFORMAT </w:instrText>
      </w:r>
      <w:r>
        <w:rPr>
          <w:sz w:val="24"/>
          <w:szCs w:val="24"/>
        </w:rPr>
      </w:r>
      <w:r>
        <w:rPr>
          <w:sz w:val="24"/>
          <w:szCs w:val="24"/>
        </w:rPr>
        <w:fldChar w:fldCharType="separate"/>
      </w:r>
      <w:r>
        <w:rPr>
          <w:sz w:val="24"/>
          <w:szCs w:val="24"/>
        </w:rPr>
        <w:t>[1]</w:t>
      </w:r>
      <w:r>
        <w:rPr>
          <w:sz w:val="24"/>
          <w:szCs w:val="24"/>
        </w:rPr>
        <w:fldChar w:fldCharType="end"/>
      </w:r>
      <w:r>
        <w:rPr>
          <w:sz w:val="24"/>
          <w:szCs w:val="24"/>
        </w:rPr>
        <w:t xml:space="preserve"> prepared in RAN#83. This document provides comments for section 5.2.1 Indoor hotspots, 5.2.2 Dense urban, 5.2.3 Urban macro, 5.2.4 Urban macro and 5.2.5 Rural.  In general, the comments propose that bands such as 71-76, 81-86 and 90-114.25 GHz, which are expected to be licensed, may be used for mobile applications.</w:t>
      </w:r>
    </w:p>
    <w:p>
      <w:pPr>
        <w:pStyle w:val="Heading1"/>
        <w:rPr>
          <w:lang w:val="en-US"/>
        </w:rPr>
      </w:pPr>
      <w:r>
        <w:rPr>
          <w:lang w:val="en-US"/>
        </w:rPr>
        <w:t>Comments and corrections</w:t>
      </w:r>
    </w:p>
    <w:p>
      <w:pPr>
        <w:rPr>
          <w:sz w:val="24"/>
          <w:szCs w:val="24"/>
          <w:lang w:val="en-US"/>
        </w:rPr>
      </w:pPr>
      <w:r>
        <w:rPr>
          <w:sz w:val="24"/>
          <w:szCs w:val="24"/>
          <w:lang w:val="en-US"/>
        </w:rPr>
        <w:t>The following comments and corrections are proposed:</w:t>
      </w:r>
    </w:p>
    <w:p>
      <w:pPr>
        <w:pStyle w:val="ListParagraph"/>
        <w:numPr>
          <w:ilvl w:val="0"/>
          <w:numId w:val="27"/>
        </w:numPr>
        <w:rPr>
          <w:lang w:val="en-US"/>
        </w:rPr>
      </w:pPr>
      <w:r>
        <w:rPr>
          <w:lang w:val="en-US"/>
        </w:rPr>
        <w:t>Section 5.2.1 Indoor hotspot</w:t>
      </w:r>
    </w:p>
    <w:p>
      <w:pPr>
        <w:pStyle w:val="ListParagraph"/>
        <w:numPr>
          <w:ilvl w:val="1"/>
          <w:numId w:val="27"/>
        </w:numPr>
        <w:rPr>
          <w:lang w:val="en-US"/>
        </w:rPr>
      </w:pPr>
      <w:r>
        <w:rPr>
          <w:lang w:val="en-US"/>
        </w:rPr>
        <w:t xml:space="preserve">Indoor hotspots should not be limited to unlicensed bands. Mission critical factory automation may require the guaranteed absence of interference such that no rogue devices may enter and disrupt factory operation, hence licensed bands being appropriate. </w:t>
      </w:r>
    </w:p>
    <w:p>
      <w:pPr>
        <w:pStyle w:val="ListParagraph"/>
        <w:numPr>
          <w:ilvl w:val="1"/>
          <w:numId w:val="27"/>
        </w:numPr>
        <w:rPr>
          <w:lang w:val="en-US"/>
        </w:rPr>
      </w:pPr>
      <w:r>
        <w:rPr>
          <w:lang w:val="en-US"/>
        </w:rPr>
        <w:t>We therefore propose that frequencies around 71-76, 81-86 and 90-114.25 GHz should also be included both under carrier frequency and aggregated system bandwidth.</w:t>
      </w:r>
    </w:p>
    <w:p>
      <w:pPr>
        <w:pStyle w:val="ListParagraph"/>
        <w:numPr>
          <w:ilvl w:val="0"/>
          <w:numId w:val="27"/>
        </w:numPr>
        <w:rPr>
          <w:lang w:val="en-US"/>
        </w:rPr>
      </w:pPr>
      <w:r>
        <w:rPr>
          <w:lang w:val="en-US"/>
        </w:rPr>
        <w:t>Section 5.2.2  Dense urban</w:t>
      </w:r>
    </w:p>
    <w:p>
      <w:pPr>
        <w:pStyle w:val="ListParagraph"/>
        <w:numPr>
          <w:ilvl w:val="1"/>
          <w:numId w:val="27"/>
        </w:numPr>
        <w:rPr>
          <w:lang w:val="en-US"/>
        </w:rPr>
      </w:pPr>
      <w:r>
        <w:rPr>
          <w:lang w:val="en-US"/>
        </w:rPr>
        <w:t xml:space="preserve">Current text under carrier frequency limits licensed application: “For fixed UE/IABs, around 74 GHz or Around 84 GHz”.  </w:t>
      </w:r>
    </w:p>
    <w:p>
      <w:pPr>
        <w:pStyle w:val="ListParagraph"/>
        <w:numPr>
          <w:ilvl w:val="1"/>
          <w:numId w:val="27"/>
        </w:numPr>
        <w:rPr>
          <w:lang w:val="en-US"/>
        </w:rPr>
      </w:pPr>
      <w:r>
        <w:rPr>
          <w:lang w:val="en-US"/>
        </w:rPr>
        <w:t xml:space="preserve">We propose that 74 GHz and 84 GHz should also support mobile UEs.  </w:t>
      </w:r>
    </w:p>
    <w:p>
      <w:pPr>
        <w:pStyle w:val="ListParagraph"/>
        <w:numPr>
          <w:ilvl w:val="1"/>
          <w:numId w:val="27"/>
        </w:numPr>
        <w:rPr>
          <w:lang w:val="en-US"/>
        </w:rPr>
      </w:pPr>
      <w:r>
        <w:rPr>
          <w:lang w:val="en-US"/>
        </w:rPr>
        <w:t>We propose that 90 GHz – 114.25 GHz should also be included</w:t>
      </w:r>
    </w:p>
    <w:p>
      <w:pPr>
        <w:pStyle w:val="ListParagraph"/>
        <w:numPr>
          <w:ilvl w:val="1"/>
          <w:numId w:val="27"/>
        </w:numPr>
        <w:rPr>
          <w:lang w:val="en-US"/>
        </w:rPr>
      </w:pPr>
      <w:r>
        <w:rPr>
          <w:lang w:val="en-US"/>
        </w:rPr>
        <w:t xml:space="preserve">90 GHz to 114.25 GHz should also be added in the “Aggregated system bandwidth” row. </w:t>
      </w:r>
    </w:p>
    <w:p>
      <w:pPr>
        <w:pStyle w:val="ListParagraph"/>
        <w:numPr>
          <w:ilvl w:val="1"/>
          <w:numId w:val="27"/>
        </w:numPr>
        <w:rPr>
          <w:lang w:val="en-US"/>
        </w:rPr>
      </w:pPr>
      <w:r>
        <w:rPr>
          <w:lang w:val="en-US"/>
        </w:rPr>
        <w:t>Current text under aggregated system bandwidth “Around 84 GHz Up to 5GHz (FDD DL)” is unclear.  For fixed access in many jurisdictions, the 71-76 GHz and 81-86 GHz may operate as a full-duplex pair.   It is not clear whether the cited text proposes considering 71-76 GHz and 81-86 GHz as a full duplex pair for FDD operation, or whether 81-86 GHz is suggested as a DL extension to other NR bands.   If the latter, 71-76 GHz could be also considered for a downlink extension.  Both 74 GHz and 84 GHz could concievably be used to extend DL capacity, as point-to-point backhaul has little distinction between uplink and downlink..  To simplify things, we recommend to strike out the text “Around 84 GHz Up to 5GHz (FDD DL)” as we do not support full-duplex operation above 52.6 GHz.</w:t>
      </w:r>
    </w:p>
    <w:p>
      <w:pPr>
        <w:pStyle w:val="ListParagraph"/>
        <w:numPr>
          <w:ilvl w:val="0"/>
          <w:numId w:val="27"/>
        </w:numPr>
        <w:rPr>
          <w:lang w:val="en-US"/>
        </w:rPr>
      </w:pPr>
      <w:r>
        <w:rPr>
          <w:lang w:val="en-US"/>
        </w:rPr>
        <w:t>Section 5.2.3  Urban micro</w:t>
      </w:r>
    </w:p>
    <w:p>
      <w:pPr>
        <w:pStyle w:val="ListParagraph"/>
        <w:numPr>
          <w:ilvl w:val="1"/>
          <w:numId w:val="27"/>
        </w:numPr>
        <w:rPr>
          <w:lang w:val="en-US"/>
        </w:rPr>
      </w:pPr>
      <w:r>
        <w:rPr>
          <w:lang w:val="en-US"/>
        </w:rPr>
        <w:lastRenderedPageBreak/>
        <w:t xml:space="preserve">Current text under carrier frequency limits licensed application: “For fixed UE/IABs, around 74 GHz or Around 84 GHz”.  </w:t>
      </w:r>
    </w:p>
    <w:p>
      <w:pPr>
        <w:pStyle w:val="ListParagraph"/>
        <w:numPr>
          <w:ilvl w:val="1"/>
          <w:numId w:val="27"/>
        </w:numPr>
        <w:rPr>
          <w:lang w:val="en-US"/>
        </w:rPr>
      </w:pPr>
      <w:r>
        <w:rPr>
          <w:lang w:val="en-US"/>
        </w:rPr>
        <w:t xml:space="preserve">We propose that 74 GHz and 84 GHz should also support mobile UEs.  </w:t>
      </w:r>
    </w:p>
    <w:p>
      <w:pPr>
        <w:pStyle w:val="ListParagraph"/>
        <w:numPr>
          <w:ilvl w:val="1"/>
          <w:numId w:val="27"/>
        </w:numPr>
        <w:rPr>
          <w:lang w:val="en-US"/>
        </w:rPr>
      </w:pPr>
      <w:r>
        <w:rPr>
          <w:lang w:val="en-US"/>
        </w:rPr>
        <w:t>We propose that 90 GHz-114.25 GHz should also be included</w:t>
      </w:r>
    </w:p>
    <w:p>
      <w:pPr>
        <w:pStyle w:val="ListParagraph"/>
        <w:numPr>
          <w:ilvl w:val="1"/>
          <w:numId w:val="27"/>
        </w:numPr>
        <w:rPr>
          <w:lang w:val="en-US"/>
        </w:rPr>
      </w:pPr>
      <w:r>
        <w:rPr>
          <w:lang w:val="en-US"/>
        </w:rPr>
        <w:t>90 GHz to 114.25 GHz should also be added to the “Aggregated system bandwidth” row.</w:t>
      </w:r>
    </w:p>
    <w:p>
      <w:pPr>
        <w:pStyle w:val="ListParagraph"/>
        <w:numPr>
          <w:ilvl w:val="1"/>
          <w:numId w:val="27"/>
        </w:numPr>
        <w:rPr>
          <w:lang w:val="en-US"/>
        </w:rPr>
      </w:pPr>
      <w:r>
        <w:rPr>
          <w:lang w:val="en-US"/>
        </w:rPr>
        <w:t>Current text under aggregated system bandwidth “Around 84 GHz Up to 5GHz (FDD DL)” is too limiting.  Both 74 GHz and 84 GHz may be used to extend DL capacity and may be used as DL extension for NR bands.</w:t>
      </w:r>
    </w:p>
    <w:p>
      <w:pPr>
        <w:pStyle w:val="ListParagraph"/>
        <w:numPr>
          <w:ilvl w:val="0"/>
          <w:numId w:val="27"/>
        </w:numPr>
        <w:rPr>
          <w:lang w:val="en-US"/>
        </w:rPr>
      </w:pPr>
      <w:r>
        <w:rPr>
          <w:lang w:val="en-US"/>
        </w:rPr>
        <w:t>Section 5.2.4  Urban macro</w:t>
      </w:r>
    </w:p>
    <w:p>
      <w:pPr>
        <w:pStyle w:val="ListParagraph"/>
        <w:numPr>
          <w:ilvl w:val="1"/>
          <w:numId w:val="27"/>
        </w:numPr>
        <w:rPr>
          <w:lang w:val="en-US"/>
        </w:rPr>
      </w:pPr>
      <w:bookmarkStart w:id="1" w:name="_Hlk9844240"/>
      <w:r>
        <w:rPr>
          <w:lang w:val="en-US"/>
        </w:rPr>
        <w:t xml:space="preserve">Current text under carrier frequency limits licensed application: “For fixed UE/IABs, around 74 GHz or Around 84 GHz”.  </w:t>
      </w:r>
    </w:p>
    <w:bookmarkEnd w:id="1"/>
    <w:p>
      <w:pPr>
        <w:pStyle w:val="ListParagraph"/>
        <w:numPr>
          <w:ilvl w:val="1"/>
          <w:numId w:val="27"/>
        </w:numPr>
        <w:rPr>
          <w:lang w:val="en-US"/>
        </w:rPr>
      </w:pPr>
      <w:r>
        <w:rPr>
          <w:lang w:val="en-US"/>
        </w:rPr>
        <w:t xml:space="preserve">We propose that 74 GHz and 84 GHz should also support mobile UEs.  </w:t>
      </w:r>
    </w:p>
    <w:p>
      <w:pPr>
        <w:pStyle w:val="ListParagraph"/>
        <w:numPr>
          <w:ilvl w:val="1"/>
          <w:numId w:val="27"/>
        </w:numPr>
        <w:rPr>
          <w:lang w:val="en-US"/>
        </w:rPr>
      </w:pPr>
      <w:r>
        <w:rPr>
          <w:lang w:val="en-US"/>
        </w:rPr>
        <w:t>We propose that 90 GHz-116 GHz should also be included</w:t>
      </w:r>
    </w:p>
    <w:p>
      <w:pPr>
        <w:pStyle w:val="ListParagraph"/>
        <w:numPr>
          <w:ilvl w:val="1"/>
          <w:numId w:val="27"/>
        </w:numPr>
        <w:rPr>
          <w:lang w:val="en-US"/>
        </w:rPr>
      </w:pPr>
      <w:r>
        <w:rPr>
          <w:lang w:val="en-US"/>
        </w:rPr>
        <w:t>90 GHz to 114.25 GHz should also be added to the “Aggregated system bandwidth” row</w:t>
      </w:r>
    </w:p>
    <w:p>
      <w:pPr>
        <w:pStyle w:val="ListParagraph"/>
        <w:numPr>
          <w:ilvl w:val="1"/>
          <w:numId w:val="27"/>
        </w:numPr>
        <w:rPr>
          <w:lang w:val="en-US"/>
        </w:rPr>
      </w:pPr>
      <w:r>
        <w:rPr>
          <w:lang w:val="en-US"/>
        </w:rPr>
        <w:t>Current text under aggregated system bandwidth “Around 84 GHz Up to 5GHz (FDD DL)” is unclear (see similar comment on section 5.2.2). We recommend to simply strike out the text “Around 84 GHz Up to 5GHz (FDD DL)” as we do not support full-duplex operation above 52.6 GHz.</w:t>
      </w:r>
    </w:p>
    <w:p>
      <w:pPr>
        <w:pStyle w:val="ListParagraph"/>
        <w:numPr>
          <w:ilvl w:val="0"/>
          <w:numId w:val="27"/>
        </w:numPr>
        <w:rPr>
          <w:lang w:val="en-US"/>
        </w:rPr>
      </w:pPr>
      <w:r>
        <w:rPr>
          <w:lang w:val="en-US"/>
        </w:rPr>
        <w:t>Section 5.2.5 Rural</w:t>
      </w:r>
    </w:p>
    <w:p>
      <w:pPr>
        <w:pStyle w:val="ListParagraph"/>
        <w:numPr>
          <w:ilvl w:val="1"/>
          <w:numId w:val="27"/>
        </w:numPr>
        <w:rPr>
          <w:lang w:val="en-US"/>
        </w:rPr>
      </w:pPr>
      <w:r>
        <w:rPr>
          <w:lang w:val="en-US"/>
        </w:rPr>
        <w:t>Current text under carrier frequency limits licensed application: “For fixed UE/IABs, around 74 GHz or Around 84 GHz”.  While rural will be an exceptionally challenging environment, we should not make limitations on mobility prior to the RAN1 study item. Applications such as precision farming would benefit from mobility.</w:t>
      </w:r>
    </w:p>
    <w:p>
      <w:pPr>
        <w:pStyle w:val="ListParagraph"/>
        <w:numPr>
          <w:ilvl w:val="1"/>
          <w:numId w:val="27"/>
        </w:numPr>
        <w:rPr>
          <w:lang w:val="en-US"/>
        </w:rPr>
      </w:pPr>
      <w:r>
        <w:rPr>
          <w:lang w:val="en-US"/>
        </w:rPr>
        <w:t>Current text under aggregated system bandwidth “Around 84 GHz Up to 5GHz (FDD DL)” is too unclear (see similar comment on section 5.2.2). We recommend to simply strike out the text “Around 84 GHz Up to 5GHz (FDD DL)” as we do not support full-duplex operation above 52.6 GHz</w:t>
      </w:r>
      <w:bookmarkStart w:id="2" w:name="_GoBack"/>
      <w:bookmarkEnd w:id="2"/>
      <w:r>
        <w:rPr>
          <w:lang w:val="en-US"/>
        </w:rPr>
        <w:t xml:space="preserve"> .</w:t>
      </w:r>
    </w:p>
    <w:p>
      <w:pPr>
        <w:pStyle w:val="Heading1"/>
      </w:pPr>
      <w:r>
        <w:t>Summary</w:t>
      </w:r>
    </w:p>
    <w:p>
      <w:pPr>
        <w:rPr>
          <w:sz w:val="24"/>
          <w:szCs w:val="24"/>
          <w:lang w:val="en-US"/>
        </w:rPr>
      </w:pPr>
      <w:r>
        <w:rPr>
          <w:sz w:val="24"/>
          <w:szCs w:val="24"/>
        </w:rPr>
        <w:t xml:space="preserve">This document provides comments and proposed corrections to the draft TP to TR38.807 section 5 </w:t>
      </w:r>
      <w:r>
        <w:rPr>
          <w:sz w:val="24"/>
          <w:szCs w:val="24"/>
        </w:rPr>
        <w:fldChar w:fldCharType="begin"/>
      </w:r>
      <w:r>
        <w:rPr>
          <w:sz w:val="24"/>
          <w:szCs w:val="24"/>
        </w:rPr>
        <w:instrText xml:space="preserve"> REF _Ref9843240 \r \h  \* MERGEFORMAT </w:instrText>
      </w:r>
      <w:r>
        <w:rPr>
          <w:sz w:val="24"/>
          <w:szCs w:val="24"/>
        </w:rPr>
      </w:r>
      <w:r>
        <w:rPr>
          <w:sz w:val="24"/>
          <w:szCs w:val="24"/>
        </w:rPr>
        <w:fldChar w:fldCharType="separate"/>
      </w:r>
      <w:r>
        <w:rPr>
          <w:sz w:val="24"/>
          <w:szCs w:val="24"/>
        </w:rPr>
        <w:t>[1]</w:t>
      </w:r>
      <w:r>
        <w:rPr>
          <w:sz w:val="24"/>
          <w:szCs w:val="24"/>
        </w:rPr>
        <w:fldChar w:fldCharType="end"/>
      </w:r>
      <w:r>
        <w:rPr>
          <w:sz w:val="24"/>
          <w:szCs w:val="24"/>
        </w:rPr>
        <w:t xml:space="preserve"> prepared in RAN#83. In summary, we propose that the 71-76, 81-86 and 90-116 GHz bands should be considered for mobile applications. </w:t>
      </w:r>
    </w:p>
    <w:p>
      <w:pPr>
        <w:jc w:val="both"/>
        <w:rPr>
          <w:lang w:val="en-US"/>
        </w:rPr>
      </w:pPr>
    </w:p>
    <w:p>
      <w:pPr>
        <w:overflowPunct/>
        <w:autoSpaceDE/>
        <w:autoSpaceDN/>
        <w:adjustRightInd/>
        <w:spacing w:after="0"/>
        <w:textAlignment w:val="auto"/>
      </w:pPr>
      <w:r>
        <w:t xml:space="preserve"> </w:t>
      </w:r>
    </w:p>
    <w:p>
      <w:pPr>
        <w:pStyle w:val="Heading1"/>
        <w:numPr>
          <w:ilvl w:val="0"/>
          <w:numId w:val="0"/>
        </w:numPr>
      </w:pPr>
      <w:r>
        <w:t>References</w:t>
      </w:r>
    </w:p>
    <w:p>
      <w:pPr>
        <w:numPr>
          <w:ilvl w:val="0"/>
          <w:numId w:val="22"/>
        </w:numPr>
        <w:tabs>
          <w:tab w:val="num" w:pos="360"/>
        </w:tabs>
        <w:ind w:left="357" w:hanging="357"/>
        <w:rPr>
          <w:sz w:val="24"/>
          <w:szCs w:val="24"/>
        </w:rPr>
      </w:pPr>
      <w:bookmarkStart w:id="3" w:name="_Ref531024887"/>
      <w:bookmarkStart w:id="4" w:name="_Ref9843240"/>
      <w:r>
        <w:rPr>
          <w:sz w:val="24"/>
          <w:szCs w:val="24"/>
        </w:rPr>
        <w:t>RP-190698</w:t>
      </w:r>
      <w:r>
        <w:rPr>
          <w:sz w:val="24"/>
          <w:szCs w:val="24"/>
        </w:rPr>
        <w:tab/>
      </w:r>
      <w:bookmarkEnd w:id="3"/>
      <w:r>
        <w:rPr>
          <w:sz w:val="24"/>
          <w:szCs w:val="24"/>
        </w:rPr>
        <w:t>draft TP to TR38.807</w:t>
      </w:r>
      <w:bookmarkEnd w:id="4"/>
    </w:p>
    <w:p>
      <w:pPr>
        <w:rPr>
          <w:lang w:val="en-US"/>
        </w:rPr>
      </w:pPr>
    </w:p>
    <w:p>
      <w:pPr>
        <w:rPr>
          <w:lang w:val="en-US"/>
        </w:rPr>
      </w:pPr>
    </w:p>
    <w:p>
      <w:pPr>
        <w:rPr>
          <w:lang w:val="en-US"/>
        </w:rPr>
      </w:pPr>
    </w:p>
    <w:p>
      <w:pPr>
        <w:overflowPunct/>
        <w:autoSpaceDE/>
        <w:autoSpaceDN/>
        <w:adjustRightInd/>
        <w:spacing w:after="0"/>
        <w:textAlignment w:val="auto"/>
        <w:rPr>
          <w:lang w:val="en-US"/>
        </w:rPr>
      </w:pPr>
    </w:p>
    <w:sectPr>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 w:type="continuationNotice" w:id="1">
    <w:p>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5E01"/>
    <w:multiLevelType w:val="hybridMultilevel"/>
    <w:tmpl w:val="3878C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593A22"/>
    <w:multiLevelType w:val="hybridMultilevel"/>
    <w:tmpl w:val="80D6FD12"/>
    <w:lvl w:ilvl="0" w:tplc="040B000F">
      <w:start w:val="1"/>
      <w:numFmt w:val="decimal"/>
      <w:lvlText w:val="%1."/>
      <w:lvlJc w:val="left"/>
      <w:pPr>
        <w:ind w:left="360" w:hanging="360"/>
      </w:pPr>
    </w:lvl>
    <w:lvl w:ilvl="1" w:tplc="040B0001">
      <w:start w:val="1"/>
      <w:numFmt w:val="bullet"/>
      <w:lvlText w:val=""/>
      <w:lvlJc w:val="left"/>
      <w:pPr>
        <w:ind w:left="1080" w:hanging="360"/>
      </w:pPr>
      <w:rPr>
        <w:rFonts w:ascii="Symbol" w:hAnsi="Symbol" w:hint="default"/>
      </w:r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CEC32F7"/>
    <w:multiLevelType w:val="hybridMultilevel"/>
    <w:tmpl w:val="EFF8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A426DCE"/>
    <w:multiLevelType w:val="hybridMultilevel"/>
    <w:tmpl w:val="929C06D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6236C4"/>
    <w:multiLevelType w:val="hybridMultilevel"/>
    <w:tmpl w:val="BB183B42"/>
    <w:lvl w:ilvl="0" w:tplc="E236B16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F82B21"/>
    <w:multiLevelType w:val="hybridMultilevel"/>
    <w:tmpl w:val="7842014C"/>
    <w:lvl w:ilvl="0" w:tplc="2CE0F766">
      <w:start w:val="1"/>
      <w:numFmt w:val="bullet"/>
      <w:lvlText w:val="•"/>
      <w:lvlJc w:val="left"/>
      <w:pPr>
        <w:tabs>
          <w:tab w:val="num" w:pos="720"/>
        </w:tabs>
        <w:ind w:left="720" w:hanging="360"/>
      </w:pPr>
      <w:rPr>
        <w:rFonts w:ascii="Arial" w:hAnsi="Arial" w:hint="default"/>
      </w:rPr>
    </w:lvl>
    <w:lvl w:ilvl="1" w:tplc="900489EA" w:tentative="1">
      <w:start w:val="1"/>
      <w:numFmt w:val="bullet"/>
      <w:lvlText w:val="•"/>
      <w:lvlJc w:val="left"/>
      <w:pPr>
        <w:tabs>
          <w:tab w:val="num" w:pos="1440"/>
        </w:tabs>
        <w:ind w:left="1440" w:hanging="360"/>
      </w:pPr>
      <w:rPr>
        <w:rFonts w:ascii="Arial" w:hAnsi="Arial" w:hint="default"/>
      </w:rPr>
    </w:lvl>
    <w:lvl w:ilvl="2" w:tplc="39BAFB7C" w:tentative="1">
      <w:start w:val="1"/>
      <w:numFmt w:val="bullet"/>
      <w:lvlText w:val="•"/>
      <w:lvlJc w:val="left"/>
      <w:pPr>
        <w:tabs>
          <w:tab w:val="num" w:pos="2160"/>
        </w:tabs>
        <w:ind w:left="2160" w:hanging="360"/>
      </w:pPr>
      <w:rPr>
        <w:rFonts w:ascii="Arial" w:hAnsi="Arial" w:hint="default"/>
      </w:rPr>
    </w:lvl>
    <w:lvl w:ilvl="3" w:tplc="84787110" w:tentative="1">
      <w:start w:val="1"/>
      <w:numFmt w:val="bullet"/>
      <w:lvlText w:val="•"/>
      <w:lvlJc w:val="left"/>
      <w:pPr>
        <w:tabs>
          <w:tab w:val="num" w:pos="2880"/>
        </w:tabs>
        <w:ind w:left="2880" w:hanging="360"/>
      </w:pPr>
      <w:rPr>
        <w:rFonts w:ascii="Arial" w:hAnsi="Arial" w:hint="default"/>
      </w:rPr>
    </w:lvl>
    <w:lvl w:ilvl="4" w:tplc="0C545E4A" w:tentative="1">
      <w:start w:val="1"/>
      <w:numFmt w:val="bullet"/>
      <w:lvlText w:val="•"/>
      <w:lvlJc w:val="left"/>
      <w:pPr>
        <w:tabs>
          <w:tab w:val="num" w:pos="3600"/>
        </w:tabs>
        <w:ind w:left="3600" w:hanging="360"/>
      </w:pPr>
      <w:rPr>
        <w:rFonts w:ascii="Arial" w:hAnsi="Arial" w:hint="default"/>
      </w:rPr>
    </w:lvl>
    <w:lvl w:ilvl="5" w:tplc="ABC08DC4" w:tentative="1">
      <w:start w:val="1"/>
      <w:numFmt w:val="bullet"/>
      <w:lvlText w:val="•"/>
      <w:lvlJc w:val="left"/>
      <w:pPr>
        <w:tabs>
          <w:tab w:val="num" w:pos="4320"/>
        </w:tabs>
        <w:ind w:left="4320" w:hanging="360"/>
      </w:pPr>
      <w:rPr>
        <w:rFonts w:ascii="Arial" w:hAnsi="Arial" w:hint="default"/>
      </w:rPr>
    </w:lvl>
    <w:lvl w:ilvl="6" w:tplc="33A010DE" w:tentative="1">
      <w:start w:val="1"/>
      <w:numFmt w:val="bullet"/>
      <w:lvlText w:val="•"/>
      <w:lvlJc w:val="left"/>
      <w:pPr>
        <w:tabs>
          <w:tab w:val="num" w:pos="5040"/>
        </w:tabs>
        <w:ind w:left="5040" w:hanging="360"/>
      </w:pPr>
      <w:rPr>
        <w:rFonts w:ascii="Arial" w:hAnsi="Arial" w:hint="default"/>
      </w:rPr>
    </w:lvl>
    <w:lvl w:ilvl="7" w:tplc="60D8D7F4" w:tentative="1">
      <w:start w:val="1"/>
      <w:numFmt w:val="bullet"/>
      <w:lvlText w:val="•"/>
      <w:lvlJc w:val="left"/>
      <w:pPr>
        <w:tabs>
          <w:tab w:val="num" w:pos="5760"/>
        </w:tabs>
        <w:ind w:left="5760" w:hanging="360"/>
      </w:pPr>
      <w:rPr>
        <w:rFonts w:ascii="Arial" w:hAnsi="Arial" w:hint="default"/>
      </w:rPr>
    </w:lvl>
    <w:lvl w:ilvl="8" w:tplc="3900FF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8333ED"/>
    <w:multiLevelType w:val="multilevel"/>
    <w:tmpl w:val="84E827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5E7484F"/>
    <w:multiLevelType w:val="hybridMultilevel"/>
    <w:tmpl w:val="EE583302"/>
    <w:lvl w:ilvl="0" w:tplc="56C6752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3" w15:restartNumberingAfterBreak="0">
    <w:nsid w:val="65FC4F9A"/>
    <w:multiLevelType w:val="hybridMultilevel"/>
    <w:tmpl w:val="06DEB63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005794"/>
    <w:multiLevelType w:val="hybridMultilevel"/>
    <w:tmpl w:val="1B4A6DC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1"/>
  </w:num>
  <w:num w:numId="3">
    <w:abstractNumId w:val="1"/>
  </w:num>
  <w:num w:numId="4">
    <w:abstractNumId w:val="2"/>
  </w:num>
  <w:num w:numId="5">
    <w:abstractNumId w:val="12"/>
  </w:num>
  <w:num w:numId="6">
    <w:abstractNumId w:val="22"/>
  </w:num>
  <w:num w:numId="7">
    <w:abstractNumId w:val="16"/>
  </w:num>
  <w:num w:numId="8">
    <w:abstractNumId w:val="11"/>
  </w:num>
  <w:num w:numId="9">
    <w:abstractNumId w:val="24"/>
  </w:num>
  <w:num w:numId="10">
    <w:abstractNumId w:val="5"/>
  </w:num>
  <w:num w:numId="11">
    <w:abstractNumId w:val="17"/>
  </w:num>
  <w:num w:numId="12">
    <w:abstractNumId w:val="4"/>
  </w:num>
  <w:num w:numId="13">
    <w:abstractNumId w:val="10"/>
  </w:num>
  <w:num w:numId="14">
    <w:abstractNumId w:val="18"/>
  </w:num>
  <w:num w:numId="15">
    <w:abstractNumId w:val="10"/>
  </w:num>
  <w:num w:numId="16">
    <w:abstractNumId w:val="19"/>
  </w:num>
  <w:num w:numId="17">
    <w:abstractNumId w:val="8"/>
  </w:num>
  <w:num w:numId="18">
    <w:abstractNumId w:val="15"/>
  </w:num>
  <w:num w:numId="19">
    <w:abstractNumId w:val="7"/>
  </w:num>
  <w:num w:numId="20">
    <w:abstractNumId w:val="25"/>
  </w:num>
  <w:num w:numId="21">
    <w:abstractNumId w:val="0"/>
  </w:num>
  <w:num w:numId="22">
    <w:abstractNumId w:val="23"/>
  </w:num>
  <w:num w:numId="23">
    <w:abstractNumId w:val="14"/>
  </w:num>
  <w:num w:numId="24">
    <w:abstractNumId w:val="9"/>
    <w:lvlOverride w:ilvl="0">
      <w:startOverride w:val="1"/>
    </w:lvlOverride>
    <w:lvlOverride w:ilvl="1"/>
    <w:lvlOverride w:ilvl="2"/>
    <w:lvlOverride w:ilvl="3"/>
    <w:lvlOverride w:ilvl="4"/>
    <w:lvlOverride w:ilvl="5"/>
    <w:lvlOverride w:ilvl="6"/>
    <w:lvlOverride w:ilvl="7"/>
    <w:lvlOverride w:ilvl="8"/>
  </w:num>
  <w:num w:numId="25">
    <w:abstractNumId w:val="3"/>
  </w:num>
  <w:num w:numId="26">
    <w:abstractNumId w:val="20"/>
  </w:num>
  <w:num w:numId="2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CommentReference">
    <w:name w:val="annotation reference"/>
    <w:semiHidden/>
    <w:rPr>
      <w:sz w:val="16"/>
    </w:rPr>
  </w:style>
  <w:style w:type="paragraph" w:styleId="CommentText">
    <w:name w:val="annotation text"/>
    <w:basedOn w:val="Normal"/>
    <w:link w:val="CommentTextChar"/>
    <w:semiHidden/>
    <w:pPr>
      <w:overflowPunct/>
      <w:autoSpaceDE/>
      <w:autoSpaceDN/>
      <w:adjustRightInd/>
      <w:textAlignment w:val="auto"/>
    </w:pPr>
    <w:rPr>
      <w:rFonts w:eastAsia="MS Mincho"/>
    </w:rPr>
  </w:style>
  <w:style w:type="paragraph" w:styleId="BodyText2">
    <w:name w:val="Body Text 2"/>
    <w:basedOn w:val="Normal"/>
    <w:pPr>
      <w:overflowPunct/>
      <w:autoSpaceDE/>
      <w:autoSpaceDN/>
      <w:adjustRightInd/>
      <w:textAlignment w:val="auto"/>
    </w:pPr>
    <w:rPr>
      <w:rFonts w:eastAsia="MS Mincho"/>
      <w:color w:val="FFFF00"/>
      <w:lang w:eastAsia="ja-JP"/>
    </w:rPr>
  </w:style>
  <w:style w:type="paragraph" w:customStyle="1" w:styleId="00BodyText">
    <w:name w:val="00 BodyText"/>
    <w:basedOn w:val="Normal"/>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lang w:val="en-US"/>
    </w:rPr>
  </w:style>
  <w:style w:type="paragraph" w:customStyle="1" w:styleId="B6">
    <w:name w:val="B6"/>
    <w:basedOn w:val="B5"/>
  </w:style>
  <w:style w:type="paragraph" w:styleId="DocumentMap">
    <w:name w:val="Document Map"/>
    <w:basedOn w:val="Normal"/>
    <w:semiHidden/>
    <w:pPr>
      <w:shd w:val="clear" w:color="auto" w:fill="000080"/>
    </w:pPr>
    <w:rPr>
      <w:rFonts w:ascii="Tahoma" w:hAnsi="Tahoma" w:cs="Tahoma"/>
    </w:rPr>
  </w:style>
  <w:style w:type="paragraph" w:styleId="CommentSubject">
    <w:name w:val="annotation subject"/>
    <w:basedOn w:val="CommentText"/>
    <w:next w:val="CommentText"/>
    <w:semiHidden/>
    <w:pPr>
      <w:overflowPunct w:val="0"/>
      <w:autoSpaceDE w:val="0"/>
      <w:autoSpaceDN w:val="0"/>
      <w:adjustRightInd w:val="0"/>
      <w:textAlignment w:val="baseline"/>
    </w:pPr>
    <w:rPr>
      <w:rFonts w:eastAsia="Times New Roman"/>
      <w:b/>
      <w:bCs/>
    </w:rPr>
  </w:style>
  <w:style w:type="paragraph" w:styleId="BalloonText">
    <w:name w:val="Balloon Text"/>
    <w:basedOn w:val="Normal"/>
    <w:semiHidden/>
    <w:rPr>
      <w:rFonts w:ascii="Tahoma" w:hAnsi="Tahoma" w:cs="Tahoma"/>
      <w:sz w:val="16"/>
      <w:szCs w:val="16"/>
    </w:rPr>
  </w:style>
  <w:style w:type="character" w:styleId="Hyperlink">
    <w:name w:val="Hyperlink"/>
    <w:uiPriority w:val="99"/>
    <w:qFormat/>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styleId="Revision">
    <w:name w:val="Revision"/>
    <w:hidden/>
    <w:uiPriority w:val="99"/>
    <w:semiHidden/>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Pr>
      <w:rFonts w:ascii="Times New Roman" w:hAnsi="Times New Roman"/>
      <w:sz w:val="16"/>
      <w:lang w:val="en-GB"/>
    </w:rPr>
  </w:style>
  <w:style w:type="paragraph" w:customStyle="1" w:styleId="owapara">
    <w:name w:val="owapara"/>
    <w:basedOn w:val="Normal"/>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pPr>
      <w:spacing w:after="120"/>
    </w:pPr>
  </w:style>
  <w:style w:type="character" w:customStyle="1" w:styleId="BodyTextChar">
    <w:name w:val="Body Text Char"/>
    <w:link w:val="BodyText"/>
    <w:rPr>
      <w:rFonts w:ascii="Times New Roman" w:hAnsi="Times New Roman"/>
      <w:lang w:val="en-GB"/>
    </w:rPr>
  </w:style>
  <w:style w:type="character" w:customStyle="1" w:styleId="CommentTextChar">
    <w:name w:val="Comment Text Char"/>
    <w:link w:val="CommentText"/>
    <w:semiHidden/>
    <w:rPr>
      <w:rFonts w:ascii="Times New Roman" w:eastAsia="MS Mincho" w:hAnsi="Times New Roman"/>
      <w:lang w:val="en-GB"/>
    </w:rPr>
  </w:style>
  <w:style w:type="character" w:styleId="FollowedHyperlink">
    <w:name w:val="FollowedHyperlink"/>
    <w:semiHidden/>
    <w:unhideWhenUsed/>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Pr>
      <w:rFonts w:ascii="Arial" w:hAnsi="Arial"/>
      <w:b/>
      <w:noProof/>
      <w:sz w:val="18"/>
    </w:rPr>
  </w:style>
  <w:style w:type="character" w:customStyle="1" w:styleId="Heading1Char">
    <w:name w:val="Heading 1 Char"/>
    <w:aliases w:val="H1 Char,h1 Char,Heading 1 3GPP Char"/>
    <w:basedOn w:val="DefaultParagraphFont"/>
    <w:link w:val="Heading1"/>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Pr>
      <w:rFonts w:ascii="Arial" w:hAnsi="Arial"/>
      <w:sz w:val="32"/>
      <w:lang w:val="en-GB"/>
    </w:rPr>
  </w:style>
  <w:style w:type="table" w:styleId="PlainTable1">
    <w:name w:val="Plain Table 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Pr>
      <w:lang w:eastAsia="en-US"/>
    </w:rPr>
  </w:style>
  <w:style w:type="character" w:customStyle="1" w:styleId="THChar">
    <w:name w:val="TH Char"/>
    <w:link w:val="TH"/>
    <w:rPr>
      <w:rFonts w:ascii="Arial" w:hAnsi="Arial"/>
      <w:b/>
      <w:lang w:val="en-GB"/>
    </w:rPr>
  </w:style>
  <w:style w:type="character" w:customStyle="1" w:styleId="TACChar">
    <w:name w:val="TAC Char"/>
    <w:link w:val="TAC"/>
    <w:locked/>
    <w:rPr>
      <w:rFonts w:ascii="Arial" w:hAnsi="Arial"/>
      <w:sz w:val="18"/>
      <w:lang w:val="en-GB"/>
    </w:rPr>
  </w:style>
  <w:style w:type="character" w:customStyle="1" w:styleId="TAHCar">
    <w:name w:val="TAH Car"/>
    <w:link w:val="TAH"/>
    <w:rPr>
      <w:rFonts w:ascii="Arial" w:hAnsi="Arial"/>
      <w:b/>
      <w:sz w:val="18"/>
      <w:lang w:val="en-GB"/>
    </w:rPr>
  </w:style>
  <w:style w:type="paragraph" w:styleId="NoSpacing">
    <w:name w:val="No Spacing"/>
    <w:uiPriority w:val="1"/>
    <w:qFormat/>
    <w:rPr>
      <w:rFonts w:ascii="Arial" w:eastAsia="Times New Roman" w:hAnsi="Arial"/>
      <w:sz w:val="22"/>
      <w:lang w:val="en-GB"/>
    </w:rPr>
  </w:style>
  <w:style w:type="character" w:customStyle="1" w:styleId="TALCar">
    <w:name w:val="TAL Car"/>
    <w:link w:val="TAL"/>
    <w:rPr>
      <w:rFonts w:ascii="Arial" w:hAnsi="Arial"/>
      <w:sz w:val="18"/>
      <w:lang w:val="en-GB"/>
    </w:rPr>
  </w:style>
  <w:style w:type="paragraph" w:customStyle="1" w:styleId="psection-2">
    <w:name w:val="psection-2"/>
    <w:basedOn w:val="Normal"/>
    <w:pPr>
      <w:overflowPunct/>
      <w:autoSpaceDE/>
      <w:autoSpaceDN/>
      <w:adjustRightInd/>
      <w:spacing w:after="150"/>
      <w:ind w:left="240"/>
      <w:textAlignment w:val="auto"/>
    </w:pPr>
    <w:rPr>
      <w:rFonts w:eastAsia="Times New Roman"/>
      <w:sz w:val="24"/>
      <w:szCs w:val="24"/>
      <w:lang w:val="en-US"/>
    </w:rPr>
  </w:style>
  <w:style w:type="character" w:customStyle="1" w:styleId="enumxml1">
    <w:name w:val="enumxml1"/>
    <w:basedOn w:val="DefaultParagraphFont"/>
    <w:rPr>
      <w:b/>
      <w:bCs/>
    </w:rPr>
  </w:style>
  <w:style w:type="character" w:customStyle="1" w:styleId="su1">
    <w:name w:val="su1"/>
    <w:basedOn w:val="DefaultParagraphFont"/>
    <w:rPr>
      <w:vanish w:val="0"/>
      <w:webHidden w:val="0"/>
      <w:sz w:val="17"/>
      <w:szCs w:val="17"/>
      <w:vertAlign w:val="baseline"/>
      <w:specVanish w:val="0"/>
    </w:rPr>
  </w:style>
  <w:style w:type="character" w:styleId="UnresolvedMention">
    <w:name w:val="Unresolved Mention"/>
    <w:basedOn w:val="DefaultParagraphFont"/>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7432110">
      <w:bodyDiv w:val="1"/>
      <w:marLeft w:val="0"/>
      <w:marRight w:val="0"/>
      <w:marTop w:val="0"/>
      <w:marBottom w:val="0"/>
      <w:divBdr>
        <w:top w:val="none" w:sz="0" w:space="0" w:color="auto"/>
        <w:left w:val="none" w:sz="0" w:space="0" w:color="auto"/>
        <w:bottom w:val="none" w:sz="0" w:space="0" w:color="auto"/>
        <w:right w:val="none" w:sz="0" w:space="0" w:color="auto"/>
      </w:divBdr>
      <w:divsChild>
        <w:div w:id="1151873655">
          <w:marLeft w:val="878"/>
          <w:marRight w:val="0"/>
          <w:marTop w:val="86"/>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944255">
      <w:bodyDiv w:val="1"/>
      <w:marLeft w:val="0"/>
      <w:marRight w:val="0"/>
      <w:marTop w:val="0"/>
      <w:marBottom w:val="0"/>
      <w:divBdr>
        <w:top w:val="none" w:sz="0" w:space="0" w:color="auto"/>
        <w:left w:val="none" w:sz="0" w:space="0" w:color="auto"/>
        <w:bottom w:val="none" w:sz="0" w:space="0" w:color="auto"/>
        <w:right w:val="none" w:sz="0" w:space="0" w:color="auto"/>
      </w:divBdr>
      <w:divsChild>
        <w:div w:id="589126040">
          <w:marLeft w:val="490"/>
          <w:marRight w:val="0"/>
          <w:marTop w:val="0"/>
          <w:marBottom w:val="16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7145025">
      <w:bodyDiv w:val="1"/>
      <w:marLeft w:val="0"/>
      <w:marRight w:val="0"/>
      <w:marTop w:val="0"/>
      <w:marBottom w:val="0"/>
      <w:divBdr>
        <w:top w:val="none" w:sz="0" w:space="0" w:color="auto"/>
        <w:left w:val="none" w:sz="0" w:space="0" w:color="auto"/>
        <w:bottom w:val="none" w:sz="0" w:space="0" w:color="auto"/>
        <w:right w:val="none" w:sz="0" w:space="0" w:color="auto"/>
      </w:divBdr>
    </w:div>
    <w:div w:id="1101027965">
      <w:bodyDiv w:val="1"/>
      <w:marLeft w:val="0"/>
      <w:marRight w:val="0"/>
      <w:marTop w:val="0"/>
      <w:marBottom w:val="0"/>
      <w:divBdr>
        <w:top w:val="none" w:sz="0" w:space="0" w:color="auto"/>
        <w:left w:val="none" w:sz="0" w:space="0" w:color="auto"/>
        <w:bottom w:val="none" w:sz="0" w:space="0" w:color="auto"/>
        <w:right w:val="none" w:sz="0" w:space="0" w:color="auto"/>
      </w:divBdr>
      <w:divsChild>
        <w:div w:id="677586818">
          <w:marLeft w:val="490"/>
          <w:marRight w:val="0"/>
          <w:marTop w:val="0"/>
          <w:marBottom w:val="16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673985">
      <w:bodyDiv w:val="1"/>
      <w:marLeft w:val="0"/>
      <w:marRight w:val="0"/>
      <w:marTop w:val="0"/>
      <w:marBottom w:val="0"/>
      <w:divBdr>
        <w:top w:val="none" w:sz="0" w:space="0" w:color="auto"/>
        <w:left w:val="none" w:sz="0" w:space="0" w:color="auto"/>
        <w:bottom w:val="none" w:sz="0" w:space="0" w:color="auto"/>
        <w:right w:val="none" w:sz="0" w:space="0" w:color="auto"/>
      </w:divBdr>
      <w:divsChild>
        <w:div w:id="1799369637">
          <w:marLeft w:val="0"/>
          <w:marRight w:val="0"/>
          <w:marTop w:val="0"/>
          <w:marBottom w:val="0"/>
          <w:divBdr>
            <w:top w:val="none" w:sz="0" w:space="0" w:color="auto"/>
            <w:left w:val="none" w:sz="0" w:space="0" w:color="auto"/>
            <w:bottom w:val="none" w:sz="0" w:space="0" w:color="auto"/>
            <w:right w:val="none" w:sz="0" w:space="0" w:color="auto"/>
          </w:divBdr>
          <w:divsChild>
            <w:div w:id="590889297">
              <w:marLeft w:val="0"/>
              <w:marRight w:val="0"/>
              <w:marTop w:val="0"/>
              <w:marBottom w:val="0"/>
              <w:divBdr>
                <w:top w:val="none" w:sz="0" w:space="0" w:color="auto"/>
                <w:left w:val="none" w:sz="0" w:space="0" w:color="auto"/>
                <w:bottom w:val="none" w:sz="0" w:space="0" w:color="auto"/>
                <w:right w:val="none" w:sz="0" w:space="0" w:color="auto"/>
              </w:divBdr>
              <w:divsChild>
                <w:div w:id="281033283">
                  <w:marLeft w:val="0"/>
                  <w:marRight w:val="0"/>
                  <w:marTop w:val="0"/>
                  <w:marBottom w:val="0"/>
                  <w:divBdr>
                    <w:top w:val="none" w:sz="0" w:space="0" w:color="auto"/>
                    <w:left w:val="none" w:sz="0" w:space="0" w:color="auto"/>
                    <w:bottom w:val="none" w:sz="0" w:space="0" w:color="auto"/>
                    <w:right w:val="none" w:sz="0" w:space="0" w:color="auto"/>
                  </w:divBdr>
                  <w:divsChild>
                    <w:div w:id="441847863">
                      <w:marLeft w:val="0"/>
                      <w:marRight w:val="0"/>
                      <w:marTop w:val="0"/>
                      <w:marBottom w:val="0"/>
                      <w:divBdr>
                        <w:top w:val="none" w:sz="0" w:space="0" w:color="auto"/>
                        <w:left w:val="none" w:sz="0" w:space="0" w:color="auto"/>
                        <w:bottom w:val="none" w:sz="0" w:space="0" w:color="auto"/>
                        <w:right w:val="none" w:sz="0" w:space="0" w:color="auto"/>
                      </w:divBdr>
                      <w:divsChild>
                        <w:div w:id="570039899">
                          <w:marLeft w:val="0"/>
                          <w:marRight w:val="0"/>
                          <w:marTop w:val="0"/>
                          <w:marBottom w:val="0"/>
                          <w:divBdr>
                            <w:top w:val="none" w:sz="0" w:space="0" w:color="auto"/>
                            <w:left w:val="none" w:sz="0" w:space="0" w:color="auto"/>
                            <w:bottom w:val="none" w:sz="0" w:space="0" w:color="auto"/>
                            <w:right w:val="none" w:sz="0" w:space="0" w:color="auto"/>
                          </w:divBdr>
                          <w:divsChild>
                            <w:div w:id="1893153226">
                              <w:marLeft w:val="0"/>
                              <w:marRight w:val="0"/>
                              <w:marTop w:val="0"/>
                              <w:marBottom w:val="0"/>
                              <w:divBdr>
                                <w:top w:val="none" w:sz="0" w:space="0" w:color="auto"/>
                                <w:left w:val="none" w:sz="0" w:space="0" w:color="auto"/>
                                <w:bottom w:val="none" w:sz="0" w:space="0" w:color="auto"/>
                                <w:right w:val="none" w:sz="0" w:space="0" w:color="auto"/>
                              </w:divBdr>
                              <w:divsChild>
                                <w:div w:id="1961105843">
                                  <w:marLeft w:val="0"/>
                                  <w:marRight w:val="0"/>
                                  <w:marTop w:val="0"/>
                                  <w:marBottom w:val="0"/>
                                  <w:divBdr>
                                    <w:top w:val="none" w:sz="0" w:space="0" w:color="auto"/>
                                    <w:left w:val="none" w:sz="0" w:space="0" w:color="auto"/>
                                    <w:bottom w:val="none" w:sz="0" w:space="0" w:color="auto"/>
                                    <w:right w:val="none" w:sz="0" w:space="0" w:color="auto"/>
                                  </w:divBdr>
                                  <w:divsChild>
                                    <w:div w:id="2119057702">
                                      <w:marLeft w:val="0"/>
                                      <w:marRight w:val="0"/>
                                      <w:marTop w:val="0"/>
                                      <w:marBottom w:val="0"/>
                                      <w:divBdr>
                                        <w:top w:val="none" w:sz="0" w:space="0" w:color="auto"/>
                                        <w:left w:val="none" w:sz="0" w:space="0" w:color="auto"/>
                                        <w:bottom w:val="none" w:sz="0" w:space="0" w:color="auto"/>
                                        <w:right w:val="none" w:sz="0" w:space="0" w:color="auto"/>
                                      </w:divBdr>
                                      <w:divsChild>
                                        <w:div w:id="363093619">
                                          <w:marLeft w:val="0"/>
                                          <w:marRight w:val="0"/>
                                          <w:marTop w:val="0"/>
                                          <w:marBottom w:val="0"/>
                                          <w:divBdr>
                                            <w:top w:val="none" w:sz="0" w:space="0" w:color="auto"/>
                                            <w:left w:val="none" w:sz="0" w:space="0" w:color="auto"/>
                                            <w:bottom w:val="none" w:sz="0" w:space="0" w:color="auto"/>
                                            <w:right w:val="none" w:sz="0" w:space="0" w:color="auto"/>
                                          </w:divBdr>
                                          <w:divsChild>
                                            <w:div w:id="867260433">
                                              <w:marLeft w:val="0"/>
                                              <w:marRight w:val="0"/>
                                              <w:marTop w:val="0"/>
                                              <w:marBottom w:val="0"/>
                                              <w:divBdr>
                                                <w:top w:val="none" w:sz="0" w:space="0" w:color="auto"/>
                                                <w:left w:val="none" w:sz="0" w:space="0" w:color="auto"/>
                                                <w:bottom w:val="none" w:sz="0" w:space="0" w:color="auto"/>
                                                <w:right w:val="none" w:sz="0" w:space="0" w:color="auto"/>
                                              </w:divBdr>
                                              <w:divsChild>
                                                <w:div w:id="59533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405737">
      <w:bodyDiv w:val="1"/>
      <w:marLeft w:val="0"/>
      <w:marRight w:val="0"/>
      <w:marTop w:val="0"/>
      <w:marBottom w:val="0"/>
      <w:divBdr>
        <w:top w:val="none" w:sz="0" w:space="0" w:color="auto"/>
        <w:left w:val="none" w:sz="0" w:space="0" w:color="auto"/>
        <w:bottom w:val="none" w:sz="0" w:space="0" w:color="auto"/>
        <w:right w:val="none" w:sz="0" w:space="0" w:color="auto"/>
      </w:divBdr>
    </w:div>
    <w:div w:id="1263342949">
      <w:bodyDiv w:val="1"/>
      <w:marLeft w:val="0"/>
      <w:marRight w:val="0"/>
      <w:marTop w:val="0"/>
      <w:marBottom w:val="0"/>
      <w:divBdr>
        <w:top w:val="none" w:sz="0" w:space="0" w:color="auto"/>
        <w:left w:val="none" w:sz="0" w:space="0" w:color="auto"/>
        <w:bottom w:val="none" w:sz="0" w:space="0" w:color="auto"/>
        <w:right w:val="none" w:sz="0" w:space="0" w:color="auto"/>
      </w:divBdr>
      <w:divsChild>
        <w:div w:id="326446555">
          <w:marLeft w:val="878"/>
          <w:marRight w:val="0"/>
          <w:marTop w:val="86"/>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1803768">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8812399">
      <w:bodyDiv w:val="1"/>
      <w:marLeft w:val="0"/>
      <w:marRight w:val="0"/>
      <w:marTop w:val="0"/>
      <w:marBottom w:val="0"/>
      <w:divBdr>
        <w:top w:val="none" w:sz="0" w:space="0" w:color="auto"/>
        <w:left w:val="none" w:sz="0" w:space="0" w:color="auto"/>
        <w:bottom w:val="none" w:sz="0" w:space="0" w:color="auto"/>
        <w:right w:val="none" w:sz="0" w:space="0" w:color="auto"/>
      </w:divBdr>
      <w:divsChild>
        <w:div w:id="350035120">
          <w:marLeft w:val="490"/>
          <w:marRight w:val="0"/>
          <w:marTop w:val="0"/>
          <w:marBottom w:val="160"/>
          <w:divBdr>
            <w:top w:val="none" w:sz="0" w:space="0" w:color="auto"/>
            <w:left w:val="none" w:sz="0" w:space="0" w:color="auto"/>
            <w:bottom w:val="none" w:sz="0" w:space="0" w:color="auto"/>
            <w:right w:val="none" w:sz="0" w:space="0" w:color="auto"/>
          </w:divBdr>
        </w:div>
        <w:div w:id="1604456940">
          <w:marLeft w:val="965"/>
          <w:marRight w:val="0"/>
          <w:marTop w:val="0"/>
          <w:marBottom w:val="160"/>
          <w:divBdr>
            <w:top w:val="none" w:sz="0" w:space="0" w:color="auto"/>
            <w:left w:val="none" w:sz="0" w:space="0" w:color="auto"/>
            <w:bottom w:val="none" w:sz="0" w:space="0" w:color="auto"/>
            <w:right w:val="none" w:sz="0" w:space="0" w:color="auto"/>
          </w:divBdr>
        </w:div>
        <w:div w:id="861044397">
          <w:marLeft w:val="965"/>
          <w:marRight w:val="0"/>
          <w:marTop w:val="0"/>
          <w:marBottom w:val="160"/>
          <w:divBdr>
            <w:top w:val="none" w:sz="0" w:space="0" w:color="auto"/>
            <w:left w:val="none" w:sz="0" w:space="0" w:color="auto"/>
            <w:bottom w:val="none" w:sz="0" w:space="0" w:color="auto"/>
            <w:right w:val="none" w:sz="0" w:space="0" w:color="auto"/>
          </w:divBdr>
        </w:div>
        <w:div w:id="508065567">
          <w:marLeft w:val="965"/>
          <w:marRight w:val="0"/>
          <w:marTop w:val="0"/>
          <w:marBottom w:val="160"/>
          <w:divBdr>
            <w:top w:val="none" w:sz="0" w:space="0" w:color="auto"/>
            <w:left w:val="none" w:sz="0" w:space="0" w:color="auto"/>
            <w:bottom w:val="none" w:sz="0" w:space="0" w:color="auto"/>
            <w:right w:val="none" w:sz="0" w:space="0" w:color="auto"/>
          </w:divBdr>
        </w:div>
        <w:div w:id="989408278">
          <w:marLeft w:val="490"/>
          <w:marRight w:val="0"/>
          <w:marTop w:val="0"/>
          <w:marBottom w:val="16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749449">
      <w:bodyDiv w:val="1"/>
      <w:marLeft w:val="0"/>
      <w:marRight w:val="0"/>
      <w:marTop w:val="0"/>
      <w:marBottom w:val="0"/>
      <w:divBdr>
        <w:top w:val="none" w:sz="0" w:space="0" w:color="auto"/>
        <w:left w:val="none" w:sz="0" w:space="0" w:color="auto"/>
        <w:bottom w:val="none" w:sz="0" w:space="0" w:color="auto"/>
        <w:right w:val="none" w:sz="0" w:space="0" w:color="auto"/>
      </w:divBdr>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5AIRPNAIUNRU-1379959237-215</_dlc_DocId>
    <_dlc_DocIdUrl xmlns="71c5aaf6-e6ce-465b-b873-5148d2a4c105">
      <Url>https://nokia.sharepoint.com/sites/c5g/projects/phydesign/_layouts/15/DocIdRedir.aspx?ID=5AIRPNAIUNRU-1379959237-215</Url>
      <Description>5AIRPNAIUNRU-1379959237-215</Description>
    </_dlc_DocIdUrl>
    <HideFromDelve xmlns="71c5aaf6-e6ce-465b-b873-5148d2a4c105">false</HideFromDelve>
    <SharedWithUsers xmlns="3b34c8f0-1ef5-4d1e-bb66-517ce7fe7356">
      <UserInfo>
        <DisplayName>Cudak, Mark (Nokia - US/Naperville)</DisplayName>
        <AccountId>830</AccountId>
        <AccountType/>
      </UserInfo>
      <UserInfo>
        <DisplayName>Hulkkonen, Jari (Nokia - FI/Oulu)</DisplayName>
        <AccountId>553</AccountId>
        <AccountType/>
      </UserInfo>
      <UserInfo>
        <DisplayName>Tervo, Oskari (Nokia - FI/Oulu)</DisplayName>
        <AccountId>13738</AccountId>
        <AccountType/>
      </UserInfo>
      <UserInfo>
        <DisplayName>Hooli, Kari (Nokia - FI/Oulu)</DisplayName>
        <AccountId>780</AccountId>
        <AccountType/>
      </UserInfo>
      <UserInfo>
        <DisplayName>Kinnunen, Pasi Et. (Nokia - FI/Oulu)</DisplayName>
        <AccountId>862</AccountId>
        <AccountType/>
      </UserInfo>
      <UserInfo>
        <DisplayName>Tiirola, Esa (Nokia - FI/Oulu)</DisplayName>
        <AccountId>148</AccountId>
        <AccountType/>
      </UserInfo>
      <UserInfo>
        <DisplayName>Levanen, Toni A. (EXT - FI/Oulu)</DisplayName>
        <AccountId>812</AccountId>
        <AccountType/>
      </UserInfo>
      <UserInfo>
        <DisplayName>Talukdar, Anup (Nokia - US/Naperville)</DisplayName>
        <AccountId>845</AccountId>
        <AccountType/>
      </UserInfo>
      <UserInfo>
        <DisplayName>Ratasuk, Rapeepat (Nokia - US/Naperville)</DisplayName>
        <AccountId>318</AccountId>
        <AccountType/>
      </UserInfo>
      <UserInfo>
        <DisplayName>Vejlgaard, Benny (Nokia - DK/Aalborg)</DisplayName>
        <AccountId>15394</AccountId>
        <AccountType/>
      </UserInfo>
      <UserInfo>
        <DisplayName>Harrebek, Johannes (Nokia - DK/Aalborg)</DisplayName>
        <AccountId>17372</AccountId>
        <AccountType/>
      </UserInfo>
      <UserInfo>
        <DisplayName>Vook, Fred (Nokia - US/Naperville)</DisplayName>
        <AccountId>853</AccountId>
        <AccountType/>
      </UserInfo>
      <UserInfo>
        <DisplayName>Yuk, Youngsoo (Nokia - KR/Seoul)</DisplayName>
        <AccountId>388</AccountId>
        <AccountType/>
      </UserInfo>
      <UserInfo>
        <DisplayName>Baker, Matthew (Nokia - GB/Cambridge)</DisplayName>
        <AccountId>62</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0" ma:contentTypeDescription="Create a new document." ma:contentTypeScope="" ma:versionID="2ea027d7dc7be415d79dda5ee86c4608">
  <xsd:schema xmlns:xsd="http://www.w3.org/2001/XMLSchema" xmlns:xs="http://www.w3.org/2001/XMLSchema" xmlns:p="http://schemas.microsoft.com/office/2006/metadata/properties" xmlns:ns2="71c5aaf6-e6ce-465b-b873-5148d2a4c105" xmlns:ns3="d499e888-b648-4639-a12e-124bf1d657b9" xmlns:ns4="3b34c8f0-1ef5-4d1e-bb66-517ce7fe7356" targetNamespace="http://schemas.microsoft.com/office/2006/metadata/properties" ma:root="true" ma:fieldsID="935b2c139222639f34d2cd72fd146394" ns2:_="" ns3:_="" ns4:_="">
    <xsd:import namespace="71c5aaf6-e6ce-465b-b873-5148d2a4c105"/>
    <xsd:import namespace="d499e888-b648-4639-a12e-124bf1d657b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2006/documentManagement/types"/>
    <ds:schemaRef ds:uri="http://purl.org/dc/elements/1.1/"/>
    <ds:schemaRef ds:uri="http://purl.org/dc/terms/"/>
    <ds:schemaRef ds:uri="http://www.w3.org/XML/1998/namespace"/>
    <ds:schemaRef ds:uri="d499e888-b648-4639-a12e-124bf1d657b9"/>
    <ds:schemaRef ds:uri="http://purl.org/dc/dcmitype/"/>
    <ds:schemaRef ds:uri="http://schemas.microsoft.com/office/infopath/2007/PartnerControls"/>
    <ds:schemaRef ds:uri="http://schemas.openxmlformats.org/package/2006/metadata/core-propertie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C1028B5-6018-4CA2-AB99-B90991A8C3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499e888-b648-4639-a12e-124bf1d657b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2F6CBB-9EF6-437F-AFA3-A7368F028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676</Words>
  <Characters>3858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Baker, Matthew (Nokia - GB/Cambridge)</cp:lastModifiedBy>
  <cp:revision>2</cp:revision>
  <cp:lastPrinted>2016-06-20T11:35:00Z</cp:lastPrinted>
  <dcterms:created xsi:type="dcterms:W3CDTF">2019-06-02T13:23:00Z</dcterms:created>
  <dcterms:modified xsi:type="dcterms:W3CDTF">2019-06-02T13:23:00Z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5391c3f1-221b-4ccf-8670-bc58f712bd88</vt:lpwstr>
  </property>
  <property fmtid="{D5CDD505-2E9C-101B-9397-08002B2CF9AE}" pid="9" name="AuthorIds_UIVersion_1024">
    <vt:lpwstr>419</vt:lpwstr>
  </property>
  <property fmtid="{D5CDD505-2E9C-101B-9397-08002B2CF9AE}" pid="10" name="AuthorIds_UIVersion_6144">
    <vt:lpwstr>830</vt:lpwstr>
  </property>
  <property fmtid="{D5CDD505-2E9C-101B-9397-08002B2CF9AE}" pid="11" name="AuthorIds_UIVersion_11264">
    <vt:lpwstr>830</vt:lpwstr>
  </property>
</Properties>
</file>