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953CDA">
        <w:rPr>
          <w:rFonts w:cs="Arial"/>
          <w:bCs/>
          <w:i/>
          <w:noProof w:val="0"/>
          <w:sz w:val="28"/>
          <w:szCs w:val="28"/>
        </w:rPr>
        <w:t>05</w:t>
      </w:r>
      <w:bookmarkStart w:id="1" w:name="_GoBack"/>
      <w:bookmarkEnd w:id="1"/>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43.0</w:t>
            </w:r>
            <w:r w:rsidR="00560C8E">
              <w:rPr>
                <w:b/>
                <w:noProof/>
                <w:sz w:val="28"/>
              </w:rPr>
              <w:t>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3CDA" w:rsidP="00547111">
            <w:pPr>
              <w:pStyle w:val="CRCoverPage"/>
              <w:spacing w:after="0"/>
              <w:rPr>
                <w:noProof/>
              </w:rPr>
            </w:pPr>
            <w:r>
              <w:rPr>
                <w:b/>
                <w:noProof/>
                <w:sz w:val="28"/>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926812">
              <w:rPr>
                <w:b/>
                <w:noProof/>
                <w:sz w:val="28"/>
              </w:rPr>
              <w:t>4</w:t>
            </w:r>
            <w:r>
              <w:rPr>
                <w:b/>
                <w:noProof/>
                <w:sz w:val="28"/>
              </w:rPr>
              <w:t>.</w:t>
            </w:r>
            <w:r w:rsidR="0092681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2BB7">
            <w:pPr>
              <w:pStyle w:val="CRCoverPage"/>
              <w:spacing w:after="0"/>
              <w:ind w:left="100"/>
              <w:rPr>
                <w:noProof/>
              </w:rPr>
            </w:pPr>
            <w:bookmarkStart w:id="3" w:name="OLE_LINK2"/>
            <w:r>
              <w:t>A</w:t>
            </w:r>
            <w:r w:rsidR="00DC2F32">
              <w:t>pproximate CC5 coverage range</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29B3">
            <w:pPr>
              <w:pStyle w:val="CRCoverPage"/>
              <w:spacing w:after="0"/>
              <w:ind w:left="100"/>
              <w:rPr>
                <w:noProof/>
              </w:rPr>
            </w:pPr>
            <w:proofErr w:type="spellStart"/>
            <w:r w:rsidRPr="00DD7178">
              <w:t>CIoT_EC_GSM_radio_enh</w:t>
            </w:r>
            <w:proofErr w:type="spellEnd"/>
            <w:r w:rsidRPr="00DD717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4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926812">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C2F32" w:rsidTr="00547111">
        <w:tc>
          <w:tcPr>
            <w:tcW w:w="2694" w:type="dxa"/>
            <w:gridSpan w:val="2"/>
            <w:tcBorders>
              <w:top w:val="single" w:sz="4" w:space="0" w:color="auto"/>
              <w:left w:val="single" w:sz="4" w:space="0" w:color="auto"/>
            </w:tcBorders>
          </w:tcPr>
          <w:p w:rsidR="00DC2F32" w:rsidRDefault="00DC2F32" w:rsidP="00DC2F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2F32" w:rsidRDefault="00DC2F32" w:rsidP="00DC2F32">
            <w:pPr>
              <w:pStyle w:val="CRCoverPage"/>
              <w:spacing w:after="0"/>
              <w:ind w:left="100"/>
              <w:rPr>
                <w:noProof/>
              </w:rPr>
            </w:pPr>
            <w:r>
              <w:rPr>
                <w:noProof/>
              </w:rPr>
              <w:t xml:space="preserve">The approximate CC5 coverage range for uplink EC channels still needs finalization. </w:t>
            </w:r>
          </w:p>
        </w:tc>
      </w:tr>
      <w:tr w:rsidR="00DC2F32" w:rsidTr="00547111">
        <w:tc>
          <w:tcPr>
            <w:tcW w:w="2694" w:type="dxa"/>
            <w:gridSpan w:val="2"/>
            <w:tcBorders>
              <w:left w:val="single" w:sz="4" w:space="0" w:color="auto"/>
            </w:tcBorders>
          </w:tcPr>
          <w:p w:rsidR="00DC2F32" w:rsidRDefault="00DC2F32" w:rsidP="00DC2F32">
            <w:pPr>
              <w:pStyle w:val="CRCoverPage"/>
              <w:spacing w:after="0"/>
              <w:rPr>
                <w:b/>
                <w:i/>
                <w:noProof/>
                <w:sz w:val="8"/>
                <w:szCs w:val="8"/>
              </w:rPr>
            </w:pPr>
          </w:p>
        </w:tc>
        <w:tc>
          <w:tcPr>
            <w:tcW w:w="6946" w:type="dxa"/>
            <w:gridSpan w:val="9"/>
            <w:tcBorders>
              <w:right w:val="single" w:sz="4" w:space="0" w:color="auto"/>
            </w:tcBorders>
          </w:tcPr>
          <w:p w:rsidR="00DC2F32" w:rsidRDefault="00DC2F32" w:rsidP="00DC2F32">
            <w:pPr>
              <w:pStyle w:val="CRCoverPage"/>
              <w:spacing w:after="0"/>
              <w:rPr>
                <w:noProof/>
                <w:sz w:val="8"/>
                <w:szCs w:val="8"/>
              </w:rPr>
            </w:pPr>
          </w:p>
        </w:tc>
      </w:tr>
      <w:tr w:rsidR="00DC2F32" w:rsidTr="00547111">
        <w:tc>
          <w:tcPr>
            <w:tcW w:w="2694" w:type="dxa"/>
            <w:gridSpan w:val="2"/>
            <w:tcBorders>
              <w:left w:val="single" w:sz="4" w:space="0" w:color="auto"/>
            </w:tcBorders>
          </w:tcPr>
          <w:p w:rsidR="00DC2F32" w:rsidRDefault="00DC2F32" w:rsidP="00DC2F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2F32" w:rsidRDefault="00DC2F32" w:rsidP="00DC2F32">
            <w:pPr>
              <w:pStyle w:val="CRCoverPage"/>
              <w:spacing w:after="0"/>
              <w:ind w:left="100"/>
              <w:rPr>
                <w:noProof/>
              </w:rPr>
            </w:pPr>
            <w:r>
              <w:rPr>
                <w:noProof/>
              </w:rPr>
              <w:t xml:space="preserve">In subclause </w:t>
            </w:r>
            <w:r w:rsidRPr="00014801">
              <w:t>3.3.9.2.2</w:t>
            </w:r>
            <w:r>
              <w:rPr>
                <w:noProof/>
              </w:rPr>
              <w:t>, the TBD in Table 3.3.9.2-2 for the upper boundary of the approximate CC5 coverage range is replaced. From TS 45.005, a relative sensitivity gain of CC5 versus CC4 for EC-PACCH of about 3 dB, for EC-PDTCH MCS-1’ of 4 to 4.5 dB and for EC-RACH of 2.5 dB is derived. Thus, the upper boundary is defined as 23 dB.</w:t>
            </w:r>
          </w:p>
          <w:p w:rsidR="00DC2F32" w:rsidRDefault="00DC2F32" w:rsidP="00DC2F32">
            <w:pPr>
              <w:pStyle w:val="CRCoverPage"/>
              <w:spacing w:after="0"/>
              <w:ind w:left="100"/>
              <w:rPr>
                <w:noProof/>
              </w:rPr>
            </w:pPr>
          </w:p>
          <w:p w:rsidR="00DC2F32" w:rsidRDefault="00DC2F32" w:rsidP="00DC2F32">
            <w:pPr>
              <w:pStyle w:val="CRCoverPage"/>
              <w:spacing w:after="0"/>
              <w:ind w:left="100"/>
              <w:rPr>
                <w:noProof/>
              </w:rPr>
            </w:pPr>
            <w:r>
              <w:rPr>
                <w:noProof/>
              </w:rPr>
              <w:t xml:space="preserve">In subclause </w:t>
            </w:r>
            <w:r w:rsidRPr="002F7439">
              <w:rPr>
                <w:color w:val="000000"/>
              </w:rPr>
              <w:t>6.5.7.2.1</w:t>
            </w:r>
            <w:r>
              <w:rPr>
                <w:noProof/>
              </w:rPr>
              <w:t>, editorial corrections are made (square brackets are replaced by normal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38E1">
            <w:pPr>
              <w:pStyle w:val="CRCoverPage"/>
              <w:spacing w:after="0"/>
              <w:ind w:left="100"/>
              <w:rPr>
                <w:noProof/>
              </w:rPr>
            </w:pPr>
            <w:r w:rsidRPr="00014801">
              <w:t>3.3.9.2.2</w:t>
            </w:r>
            <w:r w:rsidR="00FE03BA">
              <w:rPr>
                <w:noProof/>
              </w:rPr>
              <w:t xml:space="preserve">, </w:t>
            </w:r>
            <w:r w:rsidRPr="002F7439">
              <w:rPr>
                <w:color w:val="000000"/>
              </w:rPr>
              <w:t>6.5.7.2.1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2F29B3">
        <w:tc>
          <w:tcPr>
            <w:tcW w:w="9629" w:type="dxa"/>
            <w:shd w:val="clear" w:color="auto" w:fill="FFFF0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2F29B3">
              <w:rPr>
                <w:rFonts w:ascii="Arial" w:hAnsi="Arial" w:cs="Arial"/>
                <w:b/>
                <w:sz w:val="24"/>
                <w:szCs w:val="24"/>
              </w:rPr>
              <w:t>For information only</w:t>
            </w:r>
          </w:p>
        </w:tc>
      </w:tr>
    </w:tbl>
    <w:p w:rsidR="00EE0AF7" w:rsidRDefault="00EE0AF7" w:rsidP="00EE0AF7"/>
    <w:p w:rsidR="002F29B3" w:rsidRDefault="002F29B3" w:rsidP="002F29B3">
      <w:pPr>
        <w:pStyle w:val="Heading4"/>
      </w:pPr>
      <w:bookmarkStart w:id="5" w:name="_Toc18949630"/>
      <w:r>
        <w:t>3.3.9.2</w:t>
      </w:r>
      <w:r>
        <w:tab/>
        <w:t>Extended coverage</w:t>
      </w:r>
      <w:bookmarkEnd w:id="5"/>
    </w:p>
    <w:p w:rsidR="002F29B3" w:rsidRDefault="002F29B3" w:rsidP="002F29B3">
      <w:pPr>
        <w:pStyle w:val="Heading5"/>
      </w:pPr>
      <w:bookmarkStart w:id="6" w:name="_Toc18949631"/>
      <w:r>
        <w:t>3.3.9.2.1</w:t>
      </w:r>
      <w:r>
        <w:tab/>
        <w:t>General</w:t>
      </w:r>
      <w:bookmarkEnd w:id="6"/>
    </w:p>
    <w:p w:rsidR="002F29B3" w:rsidRDefault="002F29B3" w:rsidP="002F29B3">
      <w:r>
        <w:t>EC-GSM-IoT MS is able to operate in extended coverage in both uplink and downlink, which is defined as improved MS and BTS sensitivity and interference performance. The feature has been designed to improve coverage by 20 dB and also the interference level by 20 dB compared to GPRS/EGPRS.</w:t>
      </w:r>
    </w:p>
    <w:p w:rsidR="002F29B3" w:rsidRDefault="002F29B3" w:rsidP="002F29B3">
      <w:r>
        <w:t>A predefined number of logical channel specific blind physical layer transmissions is used to support a certain level of 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3.3.9.2-1), denoted as CC1, CC2, CC3 and CC4 respectively. In case of significant coverage extension,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Also the FCCH channel is considered to be operable in the extended coverage range aimed for by EC-GSM-IoT, and is hence used for synchronization purposes.</w:t>
      </w:r>
    </w:p>
    <w:p w:rsidR="002F29B3" w:rsidRDefault="002F29B3" w:rsidP="002F29B3">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p>
    <w:p w:rsidR="002F29B3" w:rsidRDefault="002F29B3" w:rsidP="002F29B3">
      <w:pPr>
        <w:spacing w:after="120"/>
      </w:pPr>
      <w:r>
        <w:t xml:space="preserve">Blind physical layer transmissions on the EC-PDTCH and EC-PACCH channels are mapped on to either 2 consecutive PDCH resources or 4 consecutive PDCH resources according to broadcast information in EC SI. </w:t>
      </w:r>
      <w:r>
        <w:rPr>
          <w:lang w:val="en-US"/>
        </w:rPr>
        <w:t xml:space="preserve">The use of 2 PDCH resources is foreseen for </w:t>
      </w:r>
      <w:r>
        <w:t>resource constrained situations, e.g. the base station operates with limited resources due to a low number of TRX or with a limited set of PDCH resources in the PS domain.</w:t>
      </w:r>
    </w:p>
    <w:p w:rsidR="002F29B3" w:rsidRDefault="002F29B3" w:rsidP="002F29B3">
      <w:pPr>
        <w:pStyle w:val="TH"/>
      </w:pPr>
      <w:r>
        <w:t>Table 3.3.9.2-1.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2F29B3" w:rsidRP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H"/>
            </w:pPr>
            <w:r>
              <w:t>Coverage class</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H"/>
            </w:pPr>
            <w:r>
              <w:t>Approximate extended coverage level compared to GPRS/EGPRS [dB]</w:t>
            </w:r>
            <w:r>
              <w:rPr>
                <w:vertAlign w:val="superscript"/>
              </w:rPr>
              <w:t>1</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CC1</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0-6</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CC2</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6-12</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CC3</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12-15</w:t>
            </w:r>
          </w:p>
        </w:tc>
      </w:tr>
      <w:tr w:rsidR="002F29B3" w:rsidTr="002F29B3">
        <w:tc>
          <w:tcPr>
            <w:tcW w:w="1985"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CC4</w:t>
            </w:r>
          </w:p>
        </w:tc>
        <w:tc>
          <w:tcPr>
            <w:tcW w:w="3118" w:type="dxa"/>
            <w:tcBorders>
              <w:top w:val="single" w:sz="4" w:space="0" w:color="auto"/>
              <w:left w:val="single" w:sz="4" w:space="0" w:color="auto"/>
              <w:bottom w:val="single" w:sz="4" w:space="0" w:color="auto"/>
              <w:right w:val="single" w:sz="4" w:space="0" w:color="auto"/>
            </w:tcBorders>
            <w:hideMark/>
          </w:tcPr>
          <w:p w:rsidR="002F29B3" w:rsidRDefault="002F29B3">
            <w:pPr>
              <w:pStyle w:val="TAC"/>
            </w:pPr>
            <w:r>
              <w:t>15-20</w:t>
            </w:r>
          </w:p>
        </w:tc>
      </w:tr>
      <w:tr w:rsidR="002F29B3" w:rsidRPr="002F29B3" w:rsidTr="002F29B3">
        <w:tc>
          <w:tcPr>
            <w:tcW w:w="5103" w:type="dxa"/>
            <w:gridSpan w:val="2"/>
            <w:tcBorders>
              <w:top w:val="single" w:sz="4" w:space="0" w:color="auto"/>
              <w:left w:val="single" w:sz="4" w:space="0" w:color="auto"/>
              <w:bottom w:val="single" w:sz="4" w:space="0" w:color="auto"/>
              <w:right w:val="single" w:sz="4" w:space="0" w:color="auto"/>
            </w:tcBorders>
            <w:hideMark/>
          </w:tcPr>
          <w:p w:rsidR="002F29B3" w:rsidRDefault="002F29B3">
            <w:pPr>
              <w:pStyle w:val="TAC"/>
              <w:jc w:val="left"/>
            </w:pPr>
            <w:r>
              <w:t>NOTE: The values apply for the same maximum output power (33dBm ) of an EC-GSM-IoT MS and a GPRS/EGPRS MS.</w:t>
            </w:r>
          </w:p>
        </w:tc>
      </w:tr>
    </w:tbl>
    <w:p w:rsidR="002F29B3" w:rsidRDefault="002F29B3" w:rsidP="002F29B3">
      <w:pPr>
        <w:pStyle w:val="FP"/>
      </w:pPr>
    </w:p>
    <w:p w:rsidR="002F29B3" w:rsidRDefault="002F29B3" w:rsidP="002F29B3">
      <w:r>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rsidR="002F29B3" w:rsidRDefault="002F29B3" w:rsidP="002F29B3">
      <w:r>
        <w:t xml:space="preserve">It is mandatory for the EC-GSM-IoT capable MS to support all defined Coverage Classes for all EC-channels. The network shall support at least CC1 and CC4. Support for blind physical layer transmissions over 2 consecutive PDCH resources is mandatory for the EC-GSM-IoT capable MS and optional for a network </w:t>
      </w:r>
      <w:r>
        <w:rPr>
          <w:lang w:val="en-US"/>
        </w:rPr>
        <w:t>that supports EC-GSM-IoT.</w:t>
      </w:r>
    </w:p>
    <w:p w:rsidR="002F29B3" w:rsidRDefault="002F29B3" w:rsidP="002F29B3">
      <w:r>
        <w:t>The set of coverage classes supported on EC-CCCH is broadcasted in System Information (EC SI).</w:t>
      </w:r>
    </w:p>
    <w:p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 M</w:t>
            </w:r>
            <w:r w:rsidRPr="000E6A5B">
              <w:rPr>
                <w:rFonts w:ascii="Arial" w:hAnsi="Arial" w:cs="Arial"/>
                <w:b/>
                <w:sz w:val="24"/>
                <w:szCs w:val="24"/>
              </w:rPr>
              <w:t>odification</w:t>
            </w:r>
          </w:p>
        </w:tc>
      </w:tr>
    </w:tbl>
    <w:p w:rsidR="002F29B3" w:rsidRDefault="002F29B3" w:rsidP="002F29B3"/>
    <w:p w:rsidR="002F29B3" w:rsidRDefault="002F29B3" w:rsidP="00EE0AF7"/>
    <w:p w:rsidR="00926812" w:rsidRDefault="00926812" w:rsidP="00926812">
      <w:pPr>
        <w:pStyle w:val="Heading5"/>
      </w:pPr>
      <w:bookmarkStart w:id="7" w:name="_Toc18949632"/>
      <w:bookmarkStart w:id="8" w:name="_Toc492807262"/>
      <w:r>
        <w:lastRenderedPageBreak/>
        <w:t>3.3.9.2.2</w:t>
      </w:r>
      <w:r>
        <w:tab/>
        <w:t>Extended coverage improvement for MS with low output power</w:t>
      </w:r>
      <w:bookmarkEnd w:id="7"/>
    </w:p>
    <w:p w:rsidR="00926812" w:rsidRDefault="00926812" w:rsidP="00926812">
      <w:r>
        <w:t>An EC-GSM-IoT MS of power class 6 (see 3GPP TS 45.005 [14]) in addition to the Coverage Classes CC1 to CC4 shall support a Coverage Class CC5 for its uplink logical channels, which is suited to operate in further extended coverage beyond the coverage condition covered by CC4. The uplink logical channels in CC5 coverage condition use predefined number of blind physical layer transmissions, where a fixed predefined number of blind physical layer transmissions is applied per logical channel.</w:t>
      </w:r>
    </w:p>
    <w:p w:rsidR="00926812" w:rsidRDefault="00926812" w:rsidP="00926812">
      <w:r>
        <w:t>In addition to blind physical layer transmissions, dedicated uplink logical channels (EC-PDTCH, EC-PACCH) using CC5 use modified header encoding and burst interleaving schemes (see 3GPP TS 45.002 [11]) to achieve the approximate coverage level shown in Table 3.3.9.2-2. The EC-RACH logical channel uses the Extended Synchronization Access Burst format or Extended Dual slot Access burst format (see 3GPP TS 45.002 [11]) for CC5 operation to achieve the required coverage extension. The burst format of EC-RACH logical channel to be used for CC5 operation is broadcasted in System Information (EC SI).</w:t>
      </w:r>
    </w:p>
    <w:p w:rsidR="00926812" w:rsidRDefault="00926812" w:rsidP="00926812">
      <w:pPr>
        <w:pStyle w:val="TH"/>
      </w:pPr>
      <w:r>
        <w:t>Table 3.3.9.2-2: Approximate coverage level for Coverage Class 5 (Uplink only)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926812" w:rsidRPr="00926812" w:rsidTr="00926812">
        <w:tc>
          <w:tcPr>
            <w:tcW w:w="1985" w:type="dxa"/>
            <w:tcBorders>
              <w:top w:val="single" w:sz="4" w:space="0" w:color="auto"/>
              <w:left w:val="single" w:sz="4" w:space="0" w:color="auto"/>
              <w:bottom w:val="single" w:sz="4" w:space="0" w:color="auto"/>
              <w:right w:val="single" w:sz="4" w:space="0" w:color="auto"/>
            </w:tcBorders>
            <w:hideMark/>
          </w:tcPr>
          <w:p w:rsidR="00926812" w:rsidRDefault="00926812">
            <w:pPr>
              <w:pStyle w:val="TAH"/>
            </w:pPr>
            <w:r>
              <w:t>Coverage class</w:t>
            </w:r>
          </w:p>
        </w:tc>
        <w:tc>
          <w:tcPr>
            <w:tcW w:w="3118" w:type="dxa"/>
            <w:tcBorders>
              <w:top w:val="single" w:sz="4" w:space="0" w:color="auto"/>
              <w:left w:val="single" w:sz="4" w:space="0" w:color="auto"/>
              <w:bottom w:val="single" w:sz="4" w:space="0" w:color="auto"/>
              <w:right w:val="single" w:sz="4" w:space="0" w:color="auto"/>
            </w:tcBorders>
            <w:hideMark/>
          </w:tcPr>
          <w:p w:rsidR="00926812" w:rsidRDefault="00926812">
            <w:pPr>
              <w:pStyle w:val="TAH"/>
            </w:pPr>
            <w:r>
              <w:t>Approximate extended coverage level compared to GPRS/EGPRS [dB]</w:t>
            </w:r>
            <w:r>
              <w:rPr>
                <w:vertAlign w:val="superscript"/>
              </w:rPr>
              <w:t>1</w:t>
            </w:r>
          </w:p>
        </w:tc>
      </w:tr>
      <w:tr w:rsidR="00926812" w:rsidTr="00926812">
        <w:tc>
          <w:tcPr>
            <w:tcW w:w="1985" w:type="dxa"/>
            <w:tcBorders>
              <w:top w:val="single" w:sz="4" w:space="0" w:color="auto"/>
              <w:left w:val="single" w:sz="4" w:space="0" w:color="auto"/>
              <w:bottom w:val="single" w:sz="4" w:space="0" w:color="auto"/>
              <w:right w:val="single" w:sz="4" w:space="0" w:color="auto"/>
            </w:tcBorders>
            <w:hideMark/>
          </w:tcPr>
          <w:p w:rsidR="00926812" w:rsidRDefault="00926812">
            <w:pPr>
              <w:pStyle w:val="TAC"/>
            </w:pPr>
            <w:r>
              <w:t>CC5</w:t>
            </w:r>
          </w:p>
        </w:tc>
        <w:tc>
          <w:tcPr>
            <w:tcW w:w="3118" w:type="dxa"/>
            <w:tcBorders>
              <w:top w:val="single" w:sz="4" w:space="0" w:color="auto"/>
              <w:left w:val="single" w:sz="4" w:space="0" w:color="auto"/>
              <w:bottom w:val="single" w:sz="4" w:space="0" w:color="auto"/>
              <w:right w:val="single" w:sz="4" w:space="0" w:color="auto"/>
            </w:tcBorders>
            <w:hideMark/>
          </w:tcPr>
          <w:p w:rsidR="00926812" w:rsidRDefault="00926812">
            <w:pPr>
              <w:pStyle w:val="TAC"/>
            </w:pPr>
            <w:del w:id="9" w:author="Nokia" w:date="2020-01-22T13:14:00Z">
              <w:r w:rsidDel="002F29B3">
                <w:delText>[</w:delText>
              </w:r>
            </w:del>
            <w:r>
              <w:t>20-</w:t>
            </w:r>
            <w:ins w:id="10" w:author="Nokia" w:date="2020-01-22T13:12:00Z">
              <w:r w:rsidR="002F29B3">
                <w:t>23</w:t>
              </w:r>
            </w:ins>
            <w:del w:id="11" w:author="Nokia" w:date="2020-01-22T13:12:00Z">
              <w:r w:rsidDel="002F29B3">
                <w:delText>TBD</w:delText>
              </w:r>
            </w:del>
            <w:del w:id="12" w:author="Nokia" w:date="2020-01-22T13:14:00Z">
              <w:r w:rsidDel="002F29B3">
                <w:delText>]</w:delText>
              </w:r>
            </w:del>
          </w:p>
        </w:tc>
      </w:tr>
      <w:tr w:rsidR="00926812" w:rsidRPr="00926812" w:rsidTr="00926812">
        <w:tc>
          <w:tcPr>
            <w:tcW w:w="5103" w:type="dxa"/>
            <w:gridSpan w:val="2"/>
            <w:tcBorders>
              <w:top w:val="single" w:sz="4" w:space="0" w:color="auto"/>
              <w:left w:val="single" w:sz="4" w:space="0" w:color="auto"/>
              <w:bottom w:val="single" w:sz="4" w:space="0" w:color="auto"/>
              <w:right w:val="single" w:sz="4" w:space="0" w:color="auto"/>
            </w:tcBorders>
            <w:hideMark/>
          </w:tcPr>
          <w:p w:rsidR="00926812" w:rsidRDefault="00926812">
            <w:pPr>
              <w:pStyle w:val="TAC"/>
              <w:tabs>
                <w:tab w:val="left" w:pos="913"/>
              </w:tabs>
              <w:jc w:val="left"/>
            </w:pPr>
            <w:r>
              <w:t>NOTE</w:t>
            </w:r>
            <w:r>
              <w:rPr>
                <w:vertAlign w:val="superscript"/>
              </w:rPr>
              <w:t>1</w:t>
            </w:r>
            <w:r>
              <w:t>: The value applies for the same maximum output power (23dBm) of an EC-GSM-IoT MS and a GPRS/EGPRS MS.</w:t>
            </w:r>
          </w:p>
        </w:tc>
      </w:tr>
    </w:tbl>
    <w:p w:rsidR="00926812" w:rsidRDefault="00926812" w:rsidP="00926812">
      <w:pPr>
        <w:pStyle w:val="FP"/>
      </w:pPr>
    </w:p>
    <w:p w:rsidR="00926812" w:rsidRDefault="00926812" w:rsidP="00926812">
      <w:r>
        <w:t>The support of CC5 is optional for the network and the support for CC5 on uplink logical channels (EC-RACH, EC-PDTCH/U and EC-PACCH/U) is broadcasted in System Information (EC SI).</w:t>
      </w:r>
    </w:p>
    <w:bookmarkEnd w:id="8"/>
    <w:p w:rsidR="00EE0AF7" w:rsidRDefault="00EE0AF7"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5735F8" w:rsidRDefault="005735F8" w:rsidP="005735F8">
      <w:pPr>
        <w:pStyle w:val="Heading5"/>
        <w:rPr>
          <w:color w:val="000000"/>
        </w:rPr>
      </w:pPr>
      <w:bookmarkStart w:id="13" w:name="_Toc18949734"/>
      <w:r>
        <w:rPr>
          <w:color w:val="000000"/>
        </w:rPr>
        <w:t>6.5.7.2.1</w:t>
      </w:r>
      <w:r>
        <w:rPr>
          <w:color w:val="000000"/>
        </w:rPr>
        <w:tab/>
        <w:t xml:space="preserve">Mapping on the </w:t>
      </w:r>
      <w:proofErr w:type="spellStart"/>
      <w:r>
        <w:rPr>
          <w:color w:val="000000"/>
        </w:rPr>
        <w:t>multiframe</w:t>
      </w:r>
      <w:proofErr w:type="spellEnd"/>
      <w:r>
        <w:rPr>
          <w:color w:val="000000"/>
        </w:rPr>
        <w:t xml:space="preserve"> structure</w:t>
      </w:r>
      <w:bookmarkEnd w:id="13"/>
    </w:p>
    <w:p w:rsidR="005735F8" w:rsidRDefault="005735F8" w:rsidP="005735F8">
      <w:pPr>
        <w:rPr>
          <w:color w:val="000000"/>
        </w:rPr>
      </w:pPr>
      <w:r>
        <w:rPr>
          <w:color w:val="000000"/>
        </w:rPr>
        <w:t>Figure 19 shows the mapping of the uplink access bursts and downlink TA-messages on groups of eight 52-multiframes:</w:t>
      </w:r>
    </w:p>
    <w:p w:rsidR="005735F8" w:rsidRDefault="005735F8" w:rsidP="005735F8">
      <w:pPr>
        <w:pStyle w:val="B1"/>
        <w:rPr>
          <w:color w:val="000000"/>
        </w:rPr>
      </w:pPr>
      <w:r>
        <w:rPr>
          <w:color w:val="000000"/>
        </w:rPr>
        <w:t>-</w:t>
      </w:r>
      <w:r>
        <w:rPr>
          <w:color w:val="000000"/>
        </w:rPr>
        <w:tab/>
        <w:t>the TAI value shows the position where a slot is reserved for a MS to send an access burst (e.g. T1 means 52-multiframe number n and idle slot number 2). TAI value defines the used PTCCH sub-channel.</w:t>
      </w:r>
    </w:p>
    <w:p w:rsidR="005735F8" w:rsidRDefault="005735F8" w:rsidP="005735F8">
      <w:pPr>
        <w:pStyle w:val="B1"/>
        <w:rPr>
          <w:color w:val="000000"/>
        </w:rPr>
      </w:pPr>
      <w:r>
        <w:rPr>
          <w:color w:val="000000"/>
        </w:rPr>
        <w:t>-</w:t>
      </w:r>
      <w:r>
        <w:rPr>
          <w:color w:val="000000"/>
        </w:rPr>
        <w:tab/>
        <w:t xml:space="preserve">every second PDCH </w:t>
      </w:r>
      <w:proofErr w:type="spellStart"/>
      <w:r>
        <w:rPr>
          <w:color w:val="000000"/>
        </w:rPr>
        <w:t>multiframe</w:t>
      </w:r>
      <w:proofErr w:type="spellEnd"/>
      <w:r>
        <w:rPr>
          <w:color w:val="000000"/>
        </w:rPr>
        <w:t xml:space="preserve"> starts a downlink TA-message.</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88"/>
        <w:rPr>
          <w:color w:val="000000"/>
          <w:u w:val="single"/>
        </w:rPr>
      </w:pPr>
      <w:r>
        <w:rPr>
          <w:color w:val="000000"/>
          <w:u w:val="single"/>
        </w:rPr>
        <w:lastRenderedPageBreak/>
        <w:t>52-multiframe number n:</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TAI=0</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7"/>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7"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0</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1</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3</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r>
      <w:proofErr w:type="spellStart"/>
      <w:r>
        <w:rPr>
          <w:color w:val="000000"/>
          <w:lang w:val="sv-SE"/>
        </w:rPr>
        <w:t>TA_message</w:t>
      </w:r>
      <w:proofErr w:type="spellEnd"/>
      <w:r>
        <w:rPr>
          <w:color w:val="000000"/>
          <w:lang w:val="sv-SE"/>
        </w:rPr>
        <w:t xml:space="preserve"> 1</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1</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ind w:right="-288"/>
        <w:rPr>
          <w:color w:val="000000"/>
          <w:u w:val="single"/>
        </w:rPr>
      </w:pPr>
      <w:r>
        <w:rPr>
          <w:color w:val="000000"/>
          <w:u w:val="single"/>
        </w:rPr>
        <w:t>52-multiframe number n + 1:</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TAI=2</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TAI=3</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5</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6</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7</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1</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1</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ind w:right="-288"/>
        <w:rPr>
          <w:color w:val="000000"/>
          <w:u w:val="single"/>
        </w:rPr>
      </w:pPr>
      <w:r>
        <w:rPr>
          <w:color w:val="000000"/>
          <w:u w:val="single"/>
        </w:rPr>
        <w:t>52-multiframe number n + 2:</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TAI=4</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TAI=5</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8</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9</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11</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ind w:right="-288"/>
        <w:rPr>
          <w:color w:val="000000"/>
          <w:u w:val="single"/>
        </w:rPr>
      </w:pPr>
      <w:r>
        <w:rPr>
          <w:color w:val="000000"/>
          <w:u w:val="single"/>
        </w:rPr>
        <w:t>52-multiframe number n + 3:</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TAI=6</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TAI=7</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370"/>
        <w:gridCol w:w="660"/>
        <w:gridCol w:w="660"/>
        <w:gridCol w:w="660"/>
        <w:gridCol w:w="288"/>
        <w:gridCol w:w="641"/>
        <w:gridCol w:w="641"/>
        <w:gridCol w:w="641"/>
        <w:gridCol w:w="273"/>
        <w:gridCol w:w="606"/>
        <w:gridCol w:w="606"/>
        <w:gridCol w:w="606"/>
        <w:gridCol w:w="38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370"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12</w:t>
            </w:r>
          </w:p>
        </w:tc>
        <w:tc>
          <w:tcPr>
            <w:tcW w:w="66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6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6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88"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13</w:t>
            </w:r>
          </w:p>
        </w:tc>
        <w:tc>
          <w:tcPr>
            <w:tcW w:w="641"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41"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41"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73"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14</w:t>
            </w:r>
          </w:p>
        </w:tc>
        <w:tc>
          <w:tcPr>
            <w:tcW w:w="60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0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0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15</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2</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+ 4:</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TAI=8</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TAI=9</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hd w:val="pct30" w:color="auto" w:fill="auto"/>
              <w:spacing w:before="40" w:after="40"/>
              <w:jc w:val="center"/>
              <w:rPr>
                <w:color w:val="000000"/>
                <w:sz w:val="16"/>
              </w:rPr>
            </w:pPr>
            <w:r>
              <w:rPr>
                <w:color w:val="000000"/>
                <w:sz w:val="16"/>
              </w:rPr>
              <w:t>16</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17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18</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19</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+ 5:</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TAI=10</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TAI=11</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20</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21</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22</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23</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3</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+ 6:</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TAI=12</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TAI=13</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46"/>
        <w:gridCol w:w="662"/>
        <w:gridCol w:w="662"/>
        <w:gridCol w:w="662"/>
        <w:gridCol w:w="282"/>
        <w:gridCol w:w="626"/>
        <w:gridCol w:w="626"/>
        <w:gridCol w:w="626"/>
        <w:gridCol w:w="390"/>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4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25</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62"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82"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26</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26"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9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27</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after="40"/>
        <w:ind w:right="-288"/>
        <w:rPr>
          <w:color w:val="000000"/>
          <w:u w:val="single"/>
        </w:rPr>
      </w:pPr>
      <w:r>
        <w:rPr>
          <w:color w:val="000000"/>
          <w:u w:val="single"/>
        </w:rPr>
        <w:t>52-multiframe number n + 7:</w:t>
      </w:r>
    </w:p>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120" w:after="40"/>
        <w:ind w:right="-291"/>
        <w:rPr>
          <w:color w:val="000000"/>
          <w:lang w:val="en-US"/>
        </w:rPr>
      </w:pPr>
      <w:r>
        <w:rPr>
          <w:color w:val="000000"/>
          <w:lang w:val="en-US"/>
        </w:rPr>
        <w:t>uplink</w:t>
      </w:r>
      <w:r>
        <w:rPr>
          <w:color w:val="000000"/>
          <w:lang w:val="en-US"/>
        </w:rPr>
        <w:tab/>
      </w:r>
      <w:r>
        <w:rPr>
          <w:color w:val="000000"/>
          <w:lang w:val="en-US"/>
        </w:rPr>
        <w:tab/>
      </w:r>
      <w:r>
        <w:rPr>
          <w:color w:val="000000"/>
          <w:lang w:val="en-US"/>
        </w:rPr>
        <w:tab/>
        <w:t>TAI=14</w:t>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r>
      <w:r>
        <w:rPr>
          <w:color w:val="000000"/>
          <w:lang w:val="en-US"/>
        </w:rPr>
        <w:tab/>
        <w:t>TAI=15</w:t>
      </w:r>
    </w:p>
    <w:tbl>
      <w:tblPr>
        <w:tblW w:w="0" w:type="auto"/>
        <w:tblInd w:w="15" w:type="dxa"/>
        <w:tblLayout w:type="fixed"/>
        <w:tblCellMar>
          <w:left w:w="0" w:type="dxa"/>
          <w:right w:w="0" w:type="dxa"/>
        </w:tblCellMar>
        <w:tblLook w:val="04A0" w:firstRow="1" w:lastRow="0" w:firstColumn="1" w:lastColumn="0" w:noHBand="0" w:noVBand="1"/>
      </w:tblPr>
      <w:tblGrid>
        <w:gridCol w:w="680"/>
        <w:gridCol w:w="680"/>
        <w:gridCol w:w="680"/>
        <w:gridCol w:w="228"/>
        <w:gridCol w:w="674"/>
        <w:gridCol w:w="674"/>
        <w:gridCol w:w="674"/>
        <w:gridCol w:w="294"/>
        <w:gridCol w:w="655"/>
        <w:gridCol w:w="655"/>
        <w:gridCol w:w="655"/>
        <w:gridCol w:w="279"/>
        <w:gridCol w:w="619"/>
        <w:gridCol w:w="619"/>
        <w:gridCol w:w="619"/>
        <w:gridCol w:w="388"/>
      </w:tblGrid>
      <w:tr w:rsidR="005735F8" w:rsidTr="005735F8">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B0</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w:t>
            </w:r>
          </w:p>
        </w:tc>
        <w:tc>
          <w:tcPr>
            <w:tcW w:w="680"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B2</w:t>
            </w:r>
          </w:p>
        </w:tc>
        <w:tc>
          <w:tcPr>
            <w:tcW w:w="228"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28</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B3</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B4</w:t>
            </w:r>
          </w:p>
        </w:tc>
        <w:tc>
          <w:tcPr>
            <w:tcW w:w="67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B5</w:t>
            </w:r>
          </w:p>
        </w:tc>
        <w:tc>
          <w:tcPr>
            <w:tcW w:w="294"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29</w:t>
            </w:r>
          </w:p>
        </w:tc>
        <w:tc>
          <w:tcPr>
            <w:tcW w:w="655"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B6</w:t>
            </w:r>
          </w:p>
        </w:tc>
        <w:tc>
          <w:tcPr>
            <w:tcW w:w="655"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B7</w:t>
            </w:r>
          </w:p>
        </w:tc>
        <w:tc>
          <w:tcPr>
            <w:tcW w:w="655"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B8</w:t>
            </w:r>
          </w:p>
        </w:tc>
        <w:tc>
          <w:tcPr>
            <w:tcW w:w="279" w:type="dxa"/>
            <w:tcBorders>
              <w:top w:val="single" w:sz="12" w:space="0" w:color="auto"/>
              <w:left w:val="single" w:sz="12" w:space="0" w:color="auto"/>
              <w:bottom w:val="single" w:sz="12" w:space="0" w:color="auto"/>
              <w:right w:val="single" w:sz="12" w:space="0" w:color="auto"/>
            </w:tcBorders>
            <w:shd w:val="pct30" w:color="auto" w:fill="auto"/>
            <w:hideMark/>
          </w:tcPr>
          <w:p w:rsidR="005735F8" w:rsidRDefault="005735F8">
            <w:pPr>
              <w:pStyle w:val="BodyText"/>
              <w:keepNext/>
              <w:spacing w:before="40" w:after="40"/>
              <w:jc w:val="center"/>
              <w:rPr>
                <w:color w:val="000000"/>
                <w:sz w:val="16"/>
              </w:rPr>
            </w:pPr>
            <w:r>
              <w:rPr>
                <w:color w:val="000000"/>
                <w:sz w:val="16"/>
              </w:rPr>
              <w:t>30</w:t>
            </w:r>
          </w:p>
        </w:tc>
        <w:tc>
          <w:tcPr>
            <w:tcW w:w="619"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B9</w:t>
            </w:r>
          </w:p>
        </w:tc>
        <w:tc>
          <w:tcPr>
            <w:tcW w:w="619"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B10</w:t>
            </w:r>
          </w:p>
        </w:tc>
        <w:tc>
          <w:tcPr>
            <w:tcW w:w="619"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rPr>
            </w:pPr>
            <w:r>
              <w:rPr>
                <w:color w:val="000000"/>
                <w:sz w:val="16"/>
              </w:rPr>
              <w:t>B11</w:t>
            </w:r>
          </w:p>
        </w:tc>
        <w:tc>
          <w:tcPr>
            <w:tcW w:w="388" w:type="dxa"/>
            <w:tcBorders>
              <w:top w:val="single" w:sz="12" w:space="0" w:color="auto"/>
              <w:left w:val="single" w:sz="12" w:space="0" w:color="auto"/>
              <w:bottom w:val="single" w:sz="12" w:space="0" w:color="auto"/>
              <w:right w:val="single" w:sz="12" w:space="0" w:color="auto"/>
            </w:tcBorders>
            <w:hideMark/>
          </w:tcPr>
          <w:p w:rsidR="005735F8" w:rsidRDefault="005735F8">
            <w:pPr>
              <w:pStyle w:val="BodyText"/>
              <w:keepNext/>
              <w:spacing w:before="40" w:after="40"/>
              <w:jc w:val="center"/>
              <w:rPr>
                <w:color w:val="000000"/>
                <w:sz w:val="16"/>
                <w:lang w:val="fr-FR"/>
              </w:rPr>
            </w:pPr>
            <w:r>
              <w:rPr>
                <w:color w:val="000000"/>
                <w:sz w:val="16"/>
                <w:lang w:val="fr-FR"/>
              </w:rPr>
              <w:t>31</w:t>
            </w:r>
          </w:p>
        </w:tc>
      </w:tr>
    </w:tbl>
    <w:p w:rsidR="005735F8" w:rsidRDefault="005735F8" w:rsidP="005735F8">
      <w:pPr>
        <w:pStyle w:val="BodyText"/>
        <w:keepNext/>
        <w:tabs>
          <w:tab w:val="left" w:pos="680"/>
          <w:tab w:val="left" w:pos="1360"/>
          <w:tab w:val="left" w:pos="2040"/>
          <w:tab w:val="left" w:pos="2210"/>
          <w:tab w:val="left" w:pos="2890"/>
          <w:tab w:val="left" w:pos="3570"/>
          <w:tab w:val="left" w:pos="4250"/>
          <w:tab w:val="left" w:pos="4420"/>
          <w:tab w:val="left" w:pos="5100"/>
          <w:tab w:val="left" w:pos="5780"/>
          <w:tab w:val="left" w:pos="6460"/>
          <w:tab w:val="left" w:pos="6630"/>
          <w:tab w:val="left" w:pos="7310"/>
          <w:tab w:val="left" w:pos="7990"/>
        </w:tabs>
        <w:spacing w:before="40"/>
        <w:ind w:right="-291"/>
        <w:rPr>
          <w:color w:val="000000"/>
          <w:lang w:val="sv-SE"/>
        </w:rPr>
      </w:pPr>
      <w:proofErr w:type="spellStart"/>
      <w:r>
        <w:rPr>
          <w:color w:val="000000"/>
          <w:lang w:val="sv-SE"/>
        </w:rPr>
        <w:t>downlink</w:t>
      </w:r>
      <w:proofErr w:type="spellEnd"/>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r>
        <w:rPr>
          <w:color w:val="000000"/>
          <w:lang w:val="sv-SE"/>
        </w:rPr>
        <w:tab/>
      </w:r>
      <w:r>
        <w:rPr>
          <w:color w:val="000000"/>
          <w:lang w:val="sv-SE"/>
        </w:rPr>
        <w:tab/>
      </w:r>
      <w:r>
        <w:rPr>
          <w:color w:val="000000"/>
          <w:lang w:val="sv-SE"/>
        </w:rPr>
        <w:tab/>
      </w:r>
      <w:r>
        <w:rPr>
          <w:color w:val="000000"/>
          <w:lang w:val="sv-SE"/>
        </w:rPr>
        <w:tab/>
      </w:r>
      <w:r>
        <w:rPr>
          <w:color w:val="000000"/>
          <w:lang w:val="sv-SE"/>
        </w:rPr>
        <w:tab/>
      </w:r>
      <w:r>
        <w:rPr>
          <w:color w:val="000000"/>
          <w:lang w:val="sv-SE"/>
        </w:rPr>
        <w:tab/>
        <w:t xml:space="preserve">TA </w:t>
      </w:r>
      <w:proofErr w:type="spellStart"/>
      <w:r>
        <w:rPr>
          <w:color w:val="000000"/>
          <w:lang w:val="sv-SE"/>
        </w:rPr>
        <w:t>message</w:t>
      </w:r>
      <w:proofErr w:type="spellEnd"/>
      <w:r>
        <w:rPr>
          <w:color w:val="000000"/>
          <w:lang w:val="sv-SE"/>
        </w:rPr>
        <w:t xml:space="preserve"> 4</w:t>
      </w:r>
    </w:p>
    <w:p w:rsidR="005735F8" w:rsidRDefault="005735F8" w:rsidP="005735F8">
      <w:pPr>
        <w:pStyle w:val="FP"/>
        <w:keepNext/>
        <w:rPr>
          <w:color w:val="000000"/>
          <w:lang w:val="sv-SE"/>
        </w:rPr>
      </w:pPr>
    </w:p>
    <w:p w:rsidR="005735F8" w:rsidRDefault="005735F8" w:rsidP="005735F8">
      <w:pPr>
        <w:pStyle w:val="FP"/>
        <w:keepNext/>
        <w:rPr>
          <w:color w:val="000000"/>
        </w:rPr>
      </w:pPr>
      <w:r>
        <w:rPr>
          <w:color w:val="000000"/>
        </w:rPr>
        <w:t>B0 - B11 = Radio blocks</w:t>
      </w:r>
    </w:p>
    <w:p w:rsidR="005735F8" w:rsidRDefault="005735F8" w:rsidP="005735F8">
      <w:pPr>
        <w:pStyle w:val="FP"/>
        <w:keepNext/>
        <w:rPr>
          <w:color w:val="000000"/>
        </w:rPr>
      </w:pPr>
      <w:r>
        <w:rPr>
          <w:color w:val="000000"/>
        </w:rPr>
        <w:t xml:space="preserve">Idle frames are numbered from 1 to 31 </w:t>
      </w:r>
      <w:ins w:id="14" w:author="Nokia" w:date="2020-01-22T13:10:00Z">
        <w:r>
          <w:rPr>
            <w:color w:val="000000"/>
          </w:rPr>
          <w:t>(</w:t>
        </w:r>
      </w:ins>
      <w:del w:id="15" w:author="Nokia" w:date="2020-01-22T13:10:00Z">
        <w:r w:rsidDel="005735F8">
          <w:rPr>
            <w:color w:val="000000"/>
          </w:rPr>
          <w:delText>[</w:delText>
        </w:r>
      </w:del>
      <w:r>
        <w:rPr>
          <w:color w:val="000000"/>
        </w:rPr>
        <w:t>odd numbers</w:t>
      </w:r>
      <w:ins w:id="16" w:author="Nokia" w:date="2020-01-22T13:10:00Z">
        <w:r>
          <w:rPr>
            <w:color w:val="000000"/>
          </w:rPr>
          <w:t>)</w:t>
        </w:r>
      </w:ins>
      <w:del w:id="17" w:author="Nokia" w:date="2020-01-22T13:10:00Z">
        <w:r w:rsidDel="005735F8">
          <w:rPr>
            <w:color w:val="000000"/>
          </w:rPr>
          <w:delText>]</w:delText>
        </w:r>
      </w:del>
    </w:p>
    <w:p w:rsidR="005735F8" w:rsidRDefault="005735F8" w:rsidP="005735F8">
      <w:pPr>
        <w:pStyle w:val="FP"/>
        <w:keepNext/>
        <w:rPr>
          <w:color w:val="000000"/>
        </w:rPr>
      </w:pPr>
      <w:r>
        <w:rPr>
          <w:color w:val="000000"/>
        </w:rPr>
        <w:t xml:space="preserve">PTCCH frames are numbered from 0 to 30 </w:t>
      </w:r>
      <w:ins w:id="18" w:author="Nokia" w:date="2020-01-22T13:10:00Z">
        <w:r>
          <w:rPr>
            <w:color w:val="000000"/>
          </w:rPr>
          <w:t>(</w:t>
        </w:r>
      </w:ins>
      <w:del w:id="19" w:author="Nokia" w:date="2020-01-22T13:10:00Z">
        <w:r w:rsidDel="005735F8">
          <w:rPr>
            <w:color w:val="000000"/>
          </w:rPr>
          <w:delText>[</w:delText>
        </w:r>
      </w:del>
      <w:r>
        <w:rPr>
          <w:color w:val="000000"/>
        </w:rPr>
        <w:t>even numbers</w:t>
      </w:r>
      <w:ins w:id="20" w:author="Nokia" w:date="2020-01-22T13:10:00Z">
        <w:r>
          <w:rPr>
            <w:color w:val="000000"/>
          </w:rPr>
          <w:t>)</w:t>
        </w:r>
      </w:ins>
      <w:del w:id="21" w:author="Nokia" w:date="2020-01-22T13:10:00Z">
        <w:r w:rsidDel="005735F8">
          <w:rPr>
            <w:color w:val="000000"/>
          </w:rPr>
          <w:delText>]</w:delText>
        </w:r>
      </w:del>
    </w:p>
    <w:p w:rsidR="005735F8" w:rsidRDefault="005735F8" w:rsidP="005735F8">
      <w:pPr>
        <w:pStyle w:val="FP"/>
        <w:keepNext/>
        <w:rPr>
          <w:color w:val="000000"/>
        </w:rPr>
      </w:pPr>
    </w:p>
    <w:p w:rsidR="005735F8" w:rsidRDefault="005735F8" w:rsidP="005735F8">
      <w:pPr>
        <w:pStyle w:val="TF"/>
        <w:rPr>
          <w:color w:val="000000"/>
        </w:rPr>
      </w:pPr>
      <w:bookmarkStart w:id="22" w:name="_Ref379083318"/>
      <w:r>
        <w:rPr>
          <w:color w:val="000000"/>
        </w:rPr>
        <w:t xml:space="preserve">Figure </w:t>
      </w:r>
      <w:bookmarkEnd w:id="22"/>
      <w:r>
        <w:rPr>
          <w:color w:val="000000"/>
        </w:rPr>
        <w:t>19: Mapping of the uplink access bursts and downlink timing advance signalling messages (the figure applies also for the reduced TTI since the same 52-multiframe allocation of PTCCH and idle frames applies also for the reduced TTI configuration)</w:t>
      </w:r>
    </w:p>
    <w:p w:rsidR="005735F8" w:rsidRDefault="005735F8" w:rsidP="005735F8">
      <w:pPr>
        <w:keepNext/>
        <w:keepLines/>
        <w:rPr>
          <w:color w:val="000000"/>
        </w:rPr>
      </w:pPr>
      <w:r>
        <w:rPr>
          <w:color w:val="000000"/>
        </w:rPr>
        <w:lastRenderedPageBreak/>
        <w:t>The BTS shall update the timing advance values in the next TA-message following the access burst. To illustrate this, an MS that transmits an access burst in frames numbered 0, 2, 4, or 6 receives its updated timing advance value in TA message 2. This MS can also find this updated timing advance value in subsequent TA messages 3, 4, and 1, but only has to read these if TA message 2 was not received correctly.</w:t>
      </w:r>
    </w:p>
    <w:p w:rsidR="005735F8" w:rsidRDefault="005735F8" w:rsidP="005735F8">
      <w:pPr>
        <w:rPr>
          <w:color w:val="000000"/>
        </w:rPr>
      </w:pPr>
      <w:r>
        <w:rPr>
          <w:color w:val="000000"/>
        </w:rPr>
        <w:t>An MS entering the Transfer state shall ignore the TA-messages until the MS has sent its first access burst. This is to avoid the use of timing advance values, derived from access bursts sent by the MS that previously used the same TAI.</w:t>
      </w: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F6C" w:rsidRDefault="001D5F6C">
      <w:r>
        <w:separator/>
      </w:r>
    </w:p>
  </w:endnote>
  <w:endnote w:type="continuationSeparator" w:id="0">
    <w:p w:rsidR="001D5F6C" w:rsidRDefault="001D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F6C" w:rsidRDefault="001D5F6C">
      <w:r>
        <w:separator/>
      </w:r>
    </w:p>
  </w:footnote>
  <w:footnote w:type="continuationSeparator" w:id="0">
    <w:p w:rsidR="001D5F6C" w:rsidRDefault="001D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5F6C"/>
    <w:rsid w:val="001E41F3"/>
    <w:rsid w:val="0026004D"/>
    <w:rsid w:val="002640DD"/>
    <w:rsid w:val="00275D12"/>
    <w:rsid w:val="00284FEB"/>
    <w:rsid w:val="002860C4"/>
    <w:rsid w:val="002B5741"/>
    <w:rsid w:val="002F29B3"/>
    <w:rsid w:val="00305409"/>
    <w:rsid w:val="003609EF"/>
    <w:rsid w:val="0036231A"/>
    <w:rsid w:val="00374DD4"/>
    <w:rsid w:val="003E19A2"/>
    <w:rsid w:val="003E1A36"/>
    <w:rsid w:val="00410371"/>
    <w:rsid w:val="004242F1"/>
    <w:rsid w:val="004738E1"/>
    <w:rsid w:val="004B75B7"/>
    <w:rsid w:val="0051580D"/>
    <w:rsid w:val="00547111"/>
    <w:rsid w:val="00560C8E"/>
    <w:rsid w:val="005735F8"/>
    <w:rsid w:val="00592D74"/>
    <w:rsid w:val="005E2C44"/>
    <w:rsid w:val="00621188"/>
    <w:rsid w:val="006257ED"/>
    <w:rsid w:val="00695808"/>
    <w:rsid w:val="006B46FB"/>
    <w:rsid w:val="006E21FB"/>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F341E"/>
    <w:rsid w:val="008F686C"/>
    <w:rsid w:val="009148DE"/>
    <w:rsid w:val="00926812"/>
    <w:rsid w:val="00941E30"/>
    <w:rsid w:val="00953CD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50255"/>
    <w:rsid w:val="00D66520"/>
    <w:rsid w:val="00DC2F32"/>
    <w:rsid w:val="00DE0BB8"/>
    <w:rsid w:val="00DE34CF"/>
    <w:rsid w:val="00E13F3D"/>
    <w:rsid w:val="00E34898"/>
    <w:rsid w:val="00E50752"/>
    <w:rsid w:val="00EB09B7"/>
    <w:rsid w:val="00EE0AF7"/>
    <w:rsid w:val="00EE7D7C"/>
    <w:rsid w:val="00F25D98"/>
    <w:rsid w:val="00F300FB"/>
    <w:rsid w:val="00FB2BB7"/>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898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E94B7-6E42-43D0-9911-9240843C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1352</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2020-01-22T08:23:00Z</dcterms:created>
  <dcterms:modified xsi:type="dcterms:W3CDTF">2020-01-24T13:37:00Z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