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B12" w:rsidRDefault="009E7B12">
      <w:pPr>
        <w:tabs>
          <w:tab w:val="right" w:pos="9638"/>
        </w:tabs>
        <w:rPr>
          <w:rFonts w:ascii="Arial" w:hAnsi="Arial" w:cs="Arial"/>
          <w:b/>
          <w:bCs/>
          <w:sz w:val="24"/>
        </w:rPr>
      </w:pPr>
    </w:p>
    <w:p w:rsidR="009E7B12" w:rsidRPr="009016FE" w:rsidRDefault="009E7B12" w:rsidP="009E7B12">
      <w:pPr>
        <w:pStyle w:val="CRCoverPage"/>
        <w:tabs>
          <w:tab w:val="left" w:pos="7655"/>
        </w:tabs>
        <w:spacing w:after="0"/>
        <w:outlineLvl w:val="0"/>
        <w:rPr>
          <w:b/>
          <w:noProof/>
          <w:sz w:val="24"/>
        </w:rPr>
      </w:pPr>
      <w:r w:rsidRPr="009016FE">
        <w:rPr>
          <w:b/>
          <w:noProof/>
          <w:sz w:val="24"/>
        </w:rPr>
        <w:t xml:space="preserve">3GPP TSG </w:t>
      </w:r>
      <w:r>
        <w:rPr>
          <w:b/>
          <w:noProof/>
          <w:sz w:val="24"/>
        </w:rPr>
        <w:t>RAN WG6</w:t>
      </w:r>
      <w:r w:rsidRPr="009016FE">
        <w:rPr>
          <w:b/>
          <w:noProof/>
          <w:sz w:val="24"/>
        </w:rPr>
        <w:t xml:space="preserve"> Meeting </w:t>
      </w:r>
      <w:r>
        <w:rPr>
          <w:b/>
          <w:noProof/>
          <w:sz w:val="24"/>
        </w:rPr>
        <w:t>#02</w:t>
      </w:r>
      <w:r w:rsidRPr="009016FE">
        <w:rPr>
          <w:b/>
          <w:noProof/>
          <w:sz w:val="24"/>
        </w:rPr>
        <w:tab/>
        <w:t xml:space="preserve">TDoc </w:t>
      </w:r>
      <w:r>
        <w:rPr>
          <w:b/>
          <w:noProof/>
          <w:sz w:val="24"/>
        </w:rPr>
        <w:t>R6-160200</w:t>
      </w:r>
    </w:p>
    <w:p w:rsidR="009E7B12" w:rsidRDefault="009E7B12" w:rsidP="009E7B12">
      <w:pPr>
        <w:tabs>
          <w:tab w:val="left" w:pos="7797"/>
        </w:tabs>
        <w:rPr>
          <w:rFonts w:ascii="Arial" w:hAnsi="Arial" w:cs="Arial"/>
        </w:rPr>
      </w:pPr>
      <w:r>
        <w:rPr>
          <w:rFonts w:ascii="Arial" w:hAnsi="Arial"/>
          <w:b/>
          <w:noProof/>
          <w:sz w:val="24"/>
        </w:rPr>
        <w:t xml:space="preserve">Reno, Nevada, USA, 14-18 November </w:t>
      </w:r>
      <w:r w:rsidRPr="00C82985">
        <w:rPr>
          <w:rFonts w:ascii="Arial" w:hAnsi="Arial"/>
          <w:b/>
          <w:noProof/>
          <w:sz w:val="24"/>
        </w:rPr>
        <w:t>2016</w:t>
      </w:r>
      <w:r>
        <w:rPr>
          <w:rFonts w:ascii="Arial" w:hAnsi="Arial"/>
          <w:b/>
          <w:noProof/>
          <w:sz w:val="24"/>
        </w:rPr>
        <w:tab/>
        <w:t>Agenda Item: 5</w:t>
      </w:r>
    </w:p>
    <w:p w:rsidR="009E7B12" w:rsidRDefault="009E7B12">
      <w:pPr>
        <w:tabs>
          <w:tab w:val="right" w:pos="9638"/>
        </w:tabs>
        <w:rPr>
          <w:rFonts w:ascii="Arial" w:hAnsi="Arial" w:cs="Arial"/>
          <w:b/>
          <w:bCs/>
          <w:sz w:val="24"/>
        </w:rPr>
      </w:pPr>
    </w:p>
    <w:p w:rsidR="006809BD" w:rsidRPr="009E7B12" w:rsidRDefault="006809BD">
      <w:pPr>
        <w:tabs>
          <w:tab w:val="right" w:pos="9638"/>
        </w:tabs>
        <w:rPr>
          <w:rFonts w:ascii="Arial" w:hAnsi="Arial" w:cs="Arial"/>
          <w:bCs/>
        </w:rPr>
      </w:pPr>
      <w:r w:rsidRPr="009E7B12">
        <w:rPr>
          <w:rFonts w:ascii="Arial" w:hAnsi="Arial" w:cs="Arial"/>
          <w:bCs/>
        </w:rPr>
        <w:t>SA WG2 Meeting #117</w:t>
      </w:r>
      <w:r w:rsidRPr="009E7B12">
        <w:rPr>
          <w:rFonts w:ascii="Arial" w:hAnsi="Arial" w:cs="Arial"/>
          <w:bCs/>
        </w:rPr>
        <w:tab/>
        <w:t>S2-16</w:t>
      </w:r>
      <w:r w:rsidR="002B6916" w:rsidRPr="009E7B12">
        <w:rPr>
          <w:rFonts w:ascii="Arial" w:hAnsi="Arial" w:cs="Arial"/>
          <w:bCs/>
        </w:rPr>
        <w:t>6286</w:t>
      </w:r>
    </w:p>
    <w:p w:rsidR="006809BD" w:rsidRPr="009E7B12" w:rsidRDefault="006809BD">
      <w:pPr>
        <w:pBdr>
          <w:bottom w:val="single" w:sz="6" w:space="0" w:color="auto"/>
        </w:pBdr>
        <w:tabs>
          <w:tab w:val="right" w:pos="9638"/>
        </w:tabs>
        <w:rPr>
          <w:rFonts w:ascii="Arial" w:hAnsi="Arial" w:cs="Arial"/>
          <w:bCs/>
        </w:rPr>
      </w:pPr>
      <w:r w:rsidRPr="009E7B12">
        <w:rPr>
          <w:rFonts w:ascii="Arial" w:hAnsi="Arial" w:cs="Arial"/>
          <w:bCs/>
        </w:rPr>
        <w:t>17-21 Oct. 2016, Kaohsiung City, Taiwan</w:t>
      </w:r>
      <w:r w:rsidR="002B6916" w:rsidRPr="009E7B12">
        <w:rPr>
          <w:rFonts w:ascii="Arial" w:hAnsi="Arial" w:cs="Arial"/>
          <w:bCs/>
        </w:rPr>
        <w:tab/>
        <w:t>(</w:t>
      </w:r>
      <w:r w:rsidR="002B6916" w:rsidRPr="009E7B12">
        <w:rPr>
          <w:rFonts w:ascii="Arial" w:hAnsi="Arial" w:cs="Arial"/>
          <w:bCs/>
          <w:color w:val="0000FF"/>
        </w:rPr>
        <w:t>e-mail revision 8 of S2-165986</w:t>
      </w:r>
      <w:r w:rsidR="002B6916" w:rsidRPr="009E7B12">
        <w:rPr>
          <w:rFonts w:ascii="Arial" w:hAnsi="Arial" w:cs="Arial"/>
          <w:bCs/>
        </w:rPr>
        <w:t>)</w:t>
      </w:r>
    </w:p>
    <w:p w:rsidR="006809BD" w:rsidRDefault="006809BD">
      <w:pPr>
        <w:rPr>
          <w:rFonts w:ascii="Arial" w:hAnsi="Arial" w:cs="Arial"/>
        </w:rPr>
      </w:pPr>
    </w:p>
    <w:p w:rsidR="006809BD" w:rsidRDefault="006809B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Response LS on Enhanced Coverage authorization impact on cell and PLMN selection procedures</w:t>
      </w:r>
    </w:p>
    <w:p w:rsidR="006809BD" w:rsidRDefault="006809BD">
      <w:pPr>
        <w:spacing w:after="60"/>
        <w:ind w:left="1985" w:hanging="1985"/>
        <w:rPr>
          <w:rFonts w:ascii="Arial" w:hAnsi="Arial" w:cs="Arial"/>
          <w:bCs/>
        </w:rPr>
      </w:pPr>
      <w:r>
        <w:rPr>
          <w:rFonts w:ascii="Arial" w:hAnsi="Arial" w:cs="Arial"/>
          <w:b/>
          <w:color w:val="000000"/>
        </w:rPr>
        <w:t>Response to:</w:t>
      </w:r>
      <w:r>
        <w:rPr>
          <w:rFonts w:ascii="Arial" w:hAnsi="Arial" w:cs="Arial"/>
          <w:bCs/>
          <w:color w:val="000000"/>
        </w:rPr>
        <w:tab/>
        <w:t xml:space="preserve">LS from RAN WG2 (R2-167294/S2-165907): Response LS on Enhanced Coverage authorization impact on cell and PLMN selection procedures </w:t>
      </w:r>
    </w:p>
    <w:p w:rsidR="006809BD" w:rsidRDefault="006809BD">
      <w:pPr>
        <w:spacing w:after="60"/>
        <w:ind w:left="1985" w:hanging="1985"/>
        <w:rPr>
          <w:rFonts w:ascii="Arial" w:hAnsi="Arial" w:cs="Arial"/>
          <w:bCs/>
        </w:rPr>
      </w:pPr>
      <w:r>
        <w:rPr>
          <w:rFonts w:ascii="Arial" w:hAnsi="Arial" w:cs="Arial"/>
          <w:b/>
        </w:rPr>
        <w:t>Release:</w:t>
      </w:r>
      <w:r>
        <w:rPr>
          <w:rFonts w:ascii="Arial" w:hAnsi="Arial" w:cs="Arial"/>
          <w:bCs/>
        </w:rPr>
        <w:tab/>
        <w:t>Rel-14</w:t>
      </w:r>
    </w:p>
    <w:p w:rsidR="006809BD" w:rsidRDefault="006809BD">
      <w:pPr>
        <w:spacing w:after="60"/>
        <w:ind w:left="1985" w:hanging="1985"/>
        <w:rPr>
          <w:rFonts w:ascii="Arial" w:hAnsi="Arial" w:cs="Arial"/>
          <w:bCs/>
        </w:rPr>
      </w:pPr>
      <w:r>
        <w:rPr>
          <w:rFonts w:ascii="Arial" w:hAnsi="Arial" w:cs="Arial"/>
          <w:b/>
        </w:rPr>
        <w:t>Work Item:</w:t>
      </w:r>
      <w:r>
        <w:rPr>
          <w:rFonts w:ascii="Arial" w:hAnsi="Arial" w:cs="Arial"/>
          <w:bCs/>
        </w:rPr>
        <w:tab/>
        <w:t>FS_CIOT_Ext</w:t>
      </w:r>
    </w:p>
    <w:p w:rsidR="006809BD" w:rsidRDefault="006809BD">
      <w:pPr>
        <w:spacing w:after="60"/>
        <w:ind w:left="1985" w:hanging="1985"/>
        <w:rPr>
          <w:rFonts w:ascii="Arial" w:hAnsi="Arial" w:cs="Arial"/>
          <w:b/>
        </w:rPr>
      </w:pPr>
    </w:p>
    <w:p w:rsidR="006809BD" w:rsidRDefault="006809BD">
      <w:pPr>
        <w:spacing w:after="60"/>
        <w:ind w:left="1985" w:hanging="1985"/>
        <w:rPr>
          <w:rFonts w:ascii="Arial" w:hAnsi="Arial" w:cs="Arial"/>
          <w:bCs/>
        </w:rPr>
      </w:pPr>
      <w:r>
        <w:rPr>
          <w:rFonts w:ascii="Arial" w:hAnsi="Arial" w:cs="Arial"/>
          <w:b/>
        </w:rPr>
        <w:t>Source:</w:t>
      </w:r>
      <w:r>
        <w:rPr>
          <w:rFonts w:ascii="Arial" w:hAnsi="Arial" w:cs="Arial"/>
          <w:bCs/>
        </w:rPr>
        <w:tab/>
        <w:t>SA</w:t>
      </w:r>
      <w:r w:rsidR="002B6916">
        <w:rPr>
          <w:rFonts w:ascii="Arial" w:hAnsi="Arial" w:cs="Arial"/>
          <w:bCs/>
        </w:rPr>
        <w:t xml:space="preserve"> WG</w:t>
      </w:r>
      <w:r>
        <w:rPr>
          <w:rFonts w:ascii="Arial" w:hAnsi="Arial" w:cs="Arial"/>
          <w:bCs/>
        </w:rPr>
        <w:t>2</w:t>
      </w:r>
    </w:p>
    <w:p w:rsidR="006809BD" w:rsidRDefault="006809BD">
      <w:pPr>
        <w:spacing w:after="60"/>
        <w:ind w:left="1985" w:hanging="1985"/>
        <w:rPr>
          <w:rFonts w:ascii="Arial" w:hAnsi="Arial" w:cs="Arial"/>
          <w:bCs/>
        </w:rPr>
      </w:pPr>
      <w:r>
        <w:rPr>
          <w:rFonts w:ascii="Arial" w:hAnsi="Arial" w:cs="Arial"/>
          <w:b/>
        </w:rPr>
        <w:t>To:</w:t>
      </w:r>
      <w:r>
        <w:rPr>
          <w:rFonts w:ascii="Arial" w:hAnsi="Arial" w:cs="Arial"/>
          <w:bCs/>
        </w:rPr>
        <w:tab/>
        <w:t>RAN WG2, RAN WG6, CT WG1</w:t>
      </w:r>
    </w:p>
    <w:p w:rsidR="006809BD" w:rsidRDefault="006809BD">
      <w:pPr>
        <w:spacing w:after="60"/>
        <w:ind w:left="1985" w:hanging="1985"/>
        <w:rPr>
          <w:rFonts w:ascii="Arial" w:hAnsi="Arial" w:cs="Arial"/>
          <w:bCs/>
        </w:rPr>
      </w:pPr>
      <w:r>
        <w:rPr>
          <w:rFonts w:ascii="Arial" w:hAnsi="Arial" w:cs="Arial"/>
          <w:b/>
        </w:rPr>
        <w:t>Cc:</w:t>
      </w:r>
      <w:r>
        <w:rPr>
          <w:rFonts w:ascii="Arial" w:hAnsi="Arial" w:cs="Arial"/>
          <w:bCs/>
        </w:rPr>
        <w:tab/>
        <w:t>-</w:t>
      </w:r>
    </w:p>
    <w:p w:rsidR="006809BD" w:rsidRDefault="006809BD">
      <w:pPr>
        <w:spacing w:after="60"/>
        <w:ind w:left="1985" w:hanging="1985"/>
        <w:rPr>
          <w:rFonts w:ascii="Arial" w:hAnsi="Arial" w:cs="Arial"/>
          <w:bCs/>
        </w:rPr>
      </w:pPr>
    </w:p>
    <w:p w:rsidR="006809BD" w:rsidRDefault="006809BD">
      <w:pPr>
        <w:tabs>
          <w:tab w:val="left" w:pos="2268"/>
        </w:tabs>
        <w:rPr>
          <w:rFonts w:ascii="Arial" w:hAnsi="Arial" w:cs="Arial"/>
          <w:bCs/>
        </w:rPr>
      </w:pPr>
      <w:r>
        <w:rPr>
          <w:rFonts w:ascii="Arial" w:hAnsi="Arial" w:cs="Arial"/>
          <w:b/>
        </w:rPr>
        <w:t>Contact Person:</w:t>
      </w:r>
      <w:r>
        <w:rPr>
          <w:rFonts w:ascii="Arial" w:hAnsi="Arial" w:cs="Arial"/>
          <w:bCs/>
        </w:rPr>
        <w:tab/>
      </w:r>
    </w:p>
    <w:p w:rsidR="006809BD" w:rsidRDefault="006809BD">
      <w:pPr>
        <w:pStyle w:val="Heading4"/>
        <w:tabs>
          <w:tab w:val="left" w:pos="2268"/>
        </w:tabs>
        <w:ind w:left="567"/>
        <w:rPr>
          <w:rFonts w:cs="Arial"/>
          <w:b w:val="0"/>
          <w:bCs/>
        </w:rPr>
      </w:pPr>
      <w:r>
        <w:rPr>
          <w:rFonts w:cs="Arial"/>
        </w:rPr>
        <w:t>Name:</w:t>
      </w:r>
      <w:r>
        <w:rPr>
          <w:rFonts w:cs="Arial"/>
          <w:b w:val="0"/>
          <w:bCs/>
        </w:rPr>
        <w:tab/>
        <w:t>Miguel Griot</w:t>
      </w:r>
    </w:p>
    <w:p w:rsidR="006809BD" w:rsidRDefault="006809BD">
      <w:pPr>
        <w:tabs>
          <w:tab w:val="left" w:pos="2268"/>
          <w:tab w:val="left" w:pos="2694"/>
        </w:tabs>
        <w:ind w:left="567"/>
        <w:rPr>
          <w:rFonts w:ascii="Arial" w:hAnsi="Arial" w:cs="Arial"/>
          <w:bCs/>
        </w:rPr>
      </w:pPr>
      <w:r>
        <w:rPr>
          <w:rFonts w:ascii="Arial" w:hAnsi="Arial" w:cs="Arial"/>
          <w:b/>
        </w:rPr>
        <w:t>Tel. Number:</w:t>
      </w:r>
      <w:r>
        <w:rPr>
          <w:rFonts w:ascii="Arial" w:hAnsi="Arial" w:cs="Arial"/>
          <w:bCs/>
        </w:rPr>
        <w:tab/>
        <w:t>-</w:t>
      </w:r>
    </w:p>
    <w:p w:rsidR="006809BD" w:rsidRDefault="006809BD">
      <w:pPr>
        <w:pStyle w:val="Heading7"/>
        <w:tabs>
          <w:tab w:val="left" w:pos="2268"/>
        </w:tabs>
        <w:ind w:left="567"/>
        <w:rPr>
          <w:rFonts w:cs="Arial"/>
          <w:b w:val="0"/>
          <w:bCs/>
          <w:color w:val="auto"/>
        </w:rPr>
      </w:pPr>
      <w:r>
        <w:rPr>
          <w:rFonts w:cs="Arial"/>
          <w:color w:val="auto"/>
        </w:rPr>
        <w:t>E-mail Address:</w:t>
      </w:r>
      <w:r>
        <w:rPr>
          <w:rFonts w:cs="Arial"/>
          <w:b w:val="0"/>
          <w:bCs/>
          <w:color w:val="auto"/>
        </w:rPr>
        <w:tab/>
        <w:t>mgriot@qti.qualcomm.com</w:t>
      </w:r>
    </w:p>
    <w:p w:rsidR="006809BD" w:rsidRDefault="006809BD">
      <w:pPr>
        <w:spacing w:after="60"/>
        <w:ind w:left="1985" w:hanging="1985"/>
        <w:rPr>
          <w:rFonts w:ascii="Arial" w:hAnsi="Arial" w:cs="Arial"/>
          <w:b/>
        </w:rPr>
      </w:pPr>
    </w:p>
    <w:p w:rsidR="006809BD" w:rsidRDefault="006809BD">
      <w:pPr>
        <w:spacing w:after="60"/>
        <w:ind w:left="1985" w:hanging="1985"/>
        <w:rPr>
          <w:rFonts w:ascii="Arial" w:hAnsi="Arial" w:cs="Arial"/>
          <w:bCs/>
        </w:rPr>
      </w:pPr>
      <w:r>
        <w:rPr>
          <w:rFonts w:ascii="Arial" w:hAnsi="Arial" w:cs="Arial"/>
          <w:b/>
        </w:rPr>
        <w:t>Attachments:</w:t>
      </w:r>
      <w:r>
        <w:rPr>
          <w:rFonts w:ascii="Arial" w:hAnsi="Arial" w:cs="Arial"/>
          <w:bCs/>
        </w:rPr>
        <w:tab/>
        <w:t>None</w:t>
      </w:r>
    </w:p>
    <w:p w:rsidR="006809BD" w:rsidRDefault="006809BD">
      <w:pPr>
        <w:pBdr>
          <w:bottom w:val="single" w:sz="4" w:space="1" w:color="auto"/>
        </w:pBdr>
        <w:rPr>
          <w:rFonts w:ascii="Arial" w:hAnsi="Arial" w:cs="Arial"/>
        </w:rPr>
      </w:pPr>
    </w:p>
    <w:p w:rsidR="006809BD" w:rsidRDefault="006809BD">
      <w:pPr>
        <w:rPr>
          <w:rFonts w:ascii="Arial" w:hAnsi="Arial" w:cs="Arial"/>
        </w:rPr>
      </w:pPr>
    </w:p>
    <w:p w:rsidR="006809BD" w:rsidRDefault="006809BD">
      <w:pPr>
        <w:spacing w:after="120"/>
        <w:rPr>
          <w:rFonts w:ascii="Arial" w:hAnsi="Arial" w:cs="Arial"/>
          <w:b/>
        </w:rPr>
      </w:pPr>
      <w:r>
        <w:rPr>
          <w:rFonts w:ascii="Arial" w:hAnsi="Arial" w:cs="Arial"/>
          <w:b/>
        </w:rPr>
        <w:t>1. Overall Description:</w:t>
      </w:r>
    </w:p>
    <w:p w:rsidR="006809BD" w:rsidRPr="002B6916" w:rsidRDefault="006809BD">
      <w:pPr>
        <w:rPr>
          <w:rFonts w:ascii="Arial" w:hAnsi="Arial" w:cs="Arial"/>
        </w:rPr>
      </w:pPr>
      <w:r w:rsidRPr="002B6916">
        <w:rPr>
          <w:rFonts w:ascii="Arial" w:hAnsi="Arial" w:cs="Arial"/>
        </w:rPr>
        <w:t>SA2 thanks RAN2 for the LS S2-165907 and CT1 for the LS S2-166148</w:t>
      </w:r>
      <w:r w:rsidR="002B6916">
        <w:rPr>
          <w:rFonts w:ascii="Arial" w:hAnsi="Arial" w:cs="Arial"/>
        </w:rPr>
        <w:t>.</w:t>
      </w:r>
    </w:p>
    <w:p w:rsidR="006809BD" w:rsidRPr="002B6916" w:rsidRDefault="006809BD">
      <w:pPr>
        <w:rPr>
          <w:rFonts w:ascii="Arial" w:hAnsi="Arial" w:cs="Arial"/>
        </w:rPr>
      </w:pPr>
    </w:p>
    <w:p w:rsidR="006809BD" w:rsidRPr="002B6916" w:rsidRDefault="006809BD">
      <w:pPr>
        <w:rPr>
          <w:rFonts w:ascii="Arial" w:hAnsi="Arial" w:cs="Arial"/>
          <w:lang w:eastAsia="zh-CN"/>
        </w:rPr>
      </w:pPr>
      <w:r w:rsidRPr="002B6916">
        <w:rPr>
          <w:rFonts w:ascii="Arial" w:hAnsi="Arial" w:cs="Arial"/>
        </w:rPr>
        <w:t xml:space="preserve">SA2 is including also RAN6 in the discussion, as Enhanced Coverage authorization is intended to apply to EC-GSM-IoT as well. As background for RAN6, </w:t>
      </w:r>
      <w:r w:rsidRPr="002B6916">
        <w:rPr>
          <w:rFonts w:ascii="Arial" w:hAnsi="Arial" w:cs="Arial"/>
          <w:lang w:eastAsia="zh-CN"/>
        </w:rPr>
        <w:t>SA2 has studied the ability for a network to authorize the use of Enhanced Coverage (Key issue #1 as capt</w:t>
      </w:r>
      <w:r w:rsidR="002B6916">
        <w:rPr>
          <w:rFonts w:ascii="Arial" w:hAnsi="Arial" w:cs="Arial"/>
          <w:lang w:eastAsia="zh-CN"/>
        </w:rPr>
        <w:t>ured in TR 23.730 section 5.1).</w:t>
      </w:r>
    </w:p>
    <w:p w:rsidR="006809BD" w:rsidRPr="002B6916" w:rsidRDefault="006809BD">
      <w:pPr>
        <w:rPr>
          <w:rFonts w:ascii="Arial" w:hAnsi="Arial" w:cs="Arial"/>
          <w:lang w:eastAsia="zh-CN"/>
        </w:rPr>
      </w:pPr>
    </w:p>
    <w:p w:rsidR="006809BD" w:rsidRPr="002B6916" w:rsidRDefault="006809BD">
      <w:pPr>
        <w:rPr>
          <w:rFonts w:ascii="Arial" w:hAnsi="Arial" w:cs="Arial"/>
          <w:lang w:eastAsia="zh-CN"/>
        </w:rPr>
      </w:pPr>
      <w:r w:rsidRPr="002B6916">
        <w:rPr>
          <w:rFonts w:ascii="Arial" w:hAnsi="Arial" w:cs="Arial"/>
          <w:lang w:eastAsia="zh-CN"/>
        </w:rPr>
        <w:t>SA2 concluded to develop a solution as described in the Conclusions Section 8 (i.e. Solution 1 as in Section 6.1 is the basis for normative specifications, and in addition the S1 impacts from Solution 4 as in Section 6.4). As per Solution 1, the authorization is “on/off” per serving PLMN (by default authorized). No consensus was reached whether additional CE range levels provided by NAS per PLMN, as proposed in Solution 3, would be useful (e.g. 10dB extension authorized, full 20dB extension authorized).</w:t>
      </w:r>
    </w:p>
    <w:p w:rsidR="006809BD" w:rsidRPr="002B6916" w:rsidRDefault="006809BD">
      <w:pPr>
        <w:rPr>
          <w:rFonts w:ascii="Arial" w:hAnsi="Arial" w:cs="Arial"/>
        </w:rPr>
      </w:pPr>
    </w:p>
    <w:p w:rsidR="006809BD" w:rsidRPr="002B6916" w:rsidRDefault="006809BD">
      <w:pPr>
        <w:rPr>
          <w:rFonts w:ascii="Arial" w:hAnsi="Arial" w:cs="Arial"/>
        </w:rPr>
      </w:pPr>
    </w:p>
    <w:p w:rsidR="006809BD" w:rsidRPr="002B6916" w:rsidRDefault="006809BD">
      <w:pPr>
        <w:rPr>
          <w:rFonts w:ascii="Arial" w:hAnsi="Arial" w:cs="Arial"/>
        </w:rPr>
      </w:pPr>
      <w:r w:rsidRPr="002B6916">
        <w:rPr>
          <w:rFonts w:ascii="Arial" w:hAnsi="Arial" w:cs="Arial"/>
        </w:rPr>
        <w:t>SA2 discussed whether coverage authorisation applies to NB-IoT and at the moment there is no consensu</w:t>
      </w:r>
      <w:r w:rsidR="002B6916">
        <w:rPr>
          <w:rFonts w:ascii="Arial" w:hAnsi="Arial" w:cs="Arial"/>
        </w:rPr>
        <w:t>s in SA2 on this aspect.</w:t>
      </w:r>
    </w:p>
    <w:p w:rsidR="006809BD" w:rsidRPr="002B6916" w:rsidRDefault="006809BD">
      <w:pPr>
        <w:rPr>
          <w:rFonts w:ascii="Arial" w:hAnsi="Arial" w:cs="Arial"/>
        </w:rPr>
      </w:pPr>
    </w:p>
    <w:p w:rsidR="006809BD" w:rsidRPr="002B6916" w:rsidRDefault="006809BD">
      <w:pPr>
        <w:rPr>
          <w:rFonts w:ascii="Arial" w:hAnsi="Arial" w:cs="Arial"/>
        </w:rPr>
      </w:pPr>
      <w:r w:rsidRPr="002B6916">
        <w:rPr>
          <w:rFonts w:ascii="Arial" w:hAnsi="Arial" w:cs="Arial"/>
        </w:rPr>
        <w:t xml:space="preserve">SA2 would like to get further feedback from RAN2 on the possible AS impacts (e.g. radio resource usage) about </w:t>
      </w:r>
      <w:r w:rsidRPr="002B6916">
        <w:rPr>
          <w:rFonts w:ascii="Arial" w:hAnsi="Arial" w:cs="Arial"/>
          <w:i/>
        </w:rPr>
        <w:t>not</w:t>
      </w:r>
      <w:r w:rsidRPr="002B6916">
        <w:rPr>
          <w:rFonts w:ascii="Arial" w:hAnsi="Arial" w:cs="Arial"/>
        </w:rPr>
        <w:t xml:space="preserve"> using coverage authorisation for NB-IoT and cat.M1 UEs.</w:t>
      </w:r>
    </w:p>
    <w:p w:rsidR="006809BD" w:rsidRPr="002B6916" w:rsidRDefault="006809BD">
      <w:pPr>
        <w:rPr>
          <w:rFonts w:ascii="Arial" w:hAnsi="Arial" w:cs="Arial"/>
        </w:rPr>
      </w:pPr>
    </w:p>
    <w:p w:rsidR="006809BD" w:rsidRPr="002B6916" w:rsidRDefault="006809BD">
      <w:pPr>
        <w:rPr>
          <w:rFonts w:ascii="Arial" w:hAnsi="Arial" w:cs="Arial"/>
        </w:rPr>
      </w:pPr>
      <w:r w:rsidRPr="002B6916">
        <w:rPr>
          <w:rFonts w:ascii="Arial" w:hAnsi="Arial" w:cs="Arial"/>
        </w:rPr>
        <w:t>With the above understanding, please find SA2’s answers t</w:t>
      </w:r>
      <w:r w:rsidR="002B6916">
        <w:rPr>
          <w:rFonts w:ascii="Arial" w:hAnsi="Arial" w:cs="Arial"/>
        </w:rPr>
        <w:t>o the questions asked:</w:t>
      </w:r>
    </w:p>
    <w:p w:rsidR="006809BD" w:rsidRPr="002B6916" w:rsidRDefault="006809BD">
      <w:pPr>
        <w:rPr>
          <w:rFonts w:ascii="Arial" w:hAnsi="Arial" w:cs="Arial"/>
        </w:rPr>
      </w:pPr>
    </w:p>
    <w:p w:rsidR="006809BD" w:rsidRPr="002B6916" w:rsidRDefault="006809BD">
      <w:pPr>
        <w:rPr>
          <w:rFonts w:hint="eastAsia"/>
          <w:b/>
          <w:i/>
        </w:rPr>
      </w:pPr>
      <w:r w:rsidRPr="002B6916">
        <w:rPr>
          <w:rFonts w:hint="eastAsia"/>
          <w:b/>
          <w:i/>
        </w:rPr>
        <w:t>Question 1: RAN2 would like to understand whether</w:t>
      </w:r>
      <w:r w:rsidRPr="002B6916">
        <w:rPr>
          <w:b/>
          <w:i/>
        </w:rPr>
        <w:t xml:space="preserve"> </w:t>
      </w:r>
      <w:r w:rsidRPr="002B6916">
        <w:rPr>
          <w:rFonts w:hint="eastAsia"/>
          <w:b/>
          <w:i/>
        </w:rPr>
        <w:t>the authorization</w:t>
      </w:r>
      <w:r w:rsidRPr="002B6916">
        <w:rPr>
          <w:b/>
          <w:i/>
        </w:rPr>
        <w:t xml:space="preserve"> control</w:t>
      </w:r>
      <w:r w:rsidRPr="002B6916">
        <w:rPr>
          <w:rFonts w:hint="eastAsia"/>
          <w:b/>
          <w:i/>
        </w:rPr>
        <w:t>s</w:t>
      </w:r>
      <w:r w:rsidRPr="002B6916">
        <w:rPr>
          <w:b/>
          <w:i/>
        </w:rPr>
        <w:t xml:space="preserve"> cell selection</w:t>
      </w:r>
      <w:r w:rsidRPr="002B6916">
        <w:rPr>
          <w:rFonts w:hint="eastAsia"/>
          <w:b/>
          <w:i/>
        </w:rPr>
        <w:t xml:space="preserve"> (PLMN selection), cell </w:t>
      </w:r>
      <w:r w:rsidRPr="002B6916">
        <w:rPr>
          <w:b/>
          <w:i/>
        </w:rPr>
        <w:t>reselection</w:t>
      </w:r>
      <w:r w:rsidRPr="002B6916">
        <w:rPr>
          <w:rFonts w:hint="eastAsia"/>
          <w:b/>
          <w:i/>
        </w:rPr>
        <w:t xml:space="preserve"> </w:t>
      </w:r>
      <w:r w:rsidRPr="002B6916">
        <w:rPr>
          <w:b/>
          <w:i/>
        </w:rPr>
        <w:t xml:space="preserve">or access </w:t>
      </w:r>
      <w:r w:rsidRPr="002B6916">
        <w:rPr>
          <w:rFonts w:hint="eastAsia"/>
          <w:b/>
          <w:i/>
        </w:rPr>
        <w:t xml:space="preserve">to a cell </w:t>
      </w:r>
      <w:r w:rsidR="002B6916">
        <w:rPr>
          <w:b/>
          <w:i/>
        </w:rPr>
        <w:t>only?</w:t>
      </w:r>
    </w:p>
    <w:p w:rsidR="006809BD" w:rsidRPr="002B6916" w:rsidRDefault="006809BD">
      <w:pPr>
        <w:overflowPunct w:val="0"/>
        <w:autoSpaceDE w:val="0"/>
        <w:autoSpaceDN w:val="0"/>
        <w:adjustRightInd w:val="0"/>
        <w:spacing w:after="180"/>
        <w:textAlignment w:val="baseline"/>
      </w:pPr>
      <w:r w:rsidRPr="002B6916">
        <w:rPr>
          <w:b/>
        </w:rPr>
        <w:t>[SA2 answer]</w:t>
      </w:r>
      <w:r w:rsidRPr="002B6916">
        <w:t>: Coverage enhancement authorisation controls cell selection, cell reselection and as a result may cause PLMN selection, but is not expected to be used for access control (i.e. case 3).</w:t>
      </w:r>
    </w:p>
    <w:p w:rsidR="006809BD" w:rsidRPr="002B6916" w:rsidRDefault="006809BD">
      <w:pPr>
        <w:overflowPunct w:val="0"/>
        <w:autoSpaceDE w:val="0"/>
        <w:autoSpaceDN w:val="0"/>
        <w:adjustRightInd w:val="0"/>
        <w:spacing w:after="180"/>
        <w:textAlignment w:val="baseline"/>
        <w:rPr>
          <w:b/>
          <w:i/>
        </w:rPr>
      </w:pPr>
      <w:r w:rsidRPr="002B6916">
        <w:rPr>
          <w:b/>
          <w:i/>
        </w:rPr>
        <w:t xml:space="preserve">Question </w:t>
      </w:r>
      <w:r w:rsidRPr="002B6916">
        <w:rPr>
          <w:rFonts w:hint="eastAsia"/>
          <w:b/>
          <w:i/>
        </w:rPr>
        <w:t>2</w:t>
      </w:r>
      <w:r w:rsidRPr="002B6916">
        <w:rPr>
          <w:b/>
          <w:i/>
        </w:rPr>
        <w:t>: In such a case, how can UE regain normal service?</w:t>
      </w:r>
    </w:p>
    <w:p w:rsidR="006809BD" w:rsidRPr="002B6916" w:rsidRDefault="006809BD">
      <w:pPr>
        <w:overflowPunct w:val="0"/>
        <w:autoSpaceDE w:val="0"/>
        <w:autoSpaceDN w:val="0"/>
        <w:adjustRightInd w:val="0"/>
        <w:spacing w:after="180"/>
        <w:textAlignment w:val="baseline"/>
        <w:rPr>
          <w:b/>
          <w:i/>
        </w:rPr>
      </w:pPr>
      <w:r w:rsidRPr="002B6916">
        <w:rPr>
          <w:b/>
        </w:rPr>
        <w:t>[SA2 answer]</w:t>
      </w:r>
      <w:r w:rsidRPr="002B6916">
        <w:t>: SA2 recognizes that in the scenario described by RAN2, the UE never regains normal service as long as the coverage level of all PLMNs in the area falls below the authorized level, but it may find acceptable cells.</w:t>
      </w:r>
    </w:p>
    <w:p w:rsidR="006809BD" w:rsidRPr="002B6916" w:rsidRDefault="006809BD">
      <w:pPr>
        <w:overflowPunct w:val="0"/>
        <w:autoSpaceDE w:val="0"/>
        <w:autoSpaceDN w:val="0"/>
        <w:adjustRightInd w:val="0"/>
        <w:spacing w:after="180"/>
        <w:textAlignment w:val="baseline"/>
        <w:rPr>
          <w:b/>
          <w:i/>
        </w:rPr>
      </w:pPr>
      <w:r w:rsidRPr="002B6916">
        <w:rPr>
          <w:b/>
          <w:i/>
        </w:rPr>
        <w:t xml:space="preserve">Question </w:t>
      </w:r>
      <w:r w:rsidRPr="002B6916">
        <w:rPr>
          <w:rFonts w:hint="eastAsia"/>
          <w:b/>
          <w:i/>
        </w:rPr>
        <w:t>3</w:t>
      </w:r>
      <w:r w:rsidRPr="002B6916">
        <w:rPr>
          <w:b/>
          <w:i/>
        </w:rPr>
        <w:t xml:space="preserve">: RAN 2 would like to know, in such a case, </w:t>
      </w:r>
      <w:r w:rsidRPr="002B6916">
        <w:rPr>
          <w:rFonts w:eastAsia="PMingLiU" w:hint="eastAsia"/>
          <w:b/>
          <w:i/>
          <w:lang w:eastAsia="zh-TW"/>
        </w:rPr>
        <w:t>what should be the action taken by AS/NAS?</w:t>
      </w:r>
    </w:p>
    <w:p w:rsidR="006809BD" w:rsidRPr="002B6916" w:rsidRDefault="006809BD">
      <w:r w:rsidRPr="002B6916">
        <w:rPr>
          <w:b/>
        </w:rPr>
        <w:lastRenderedPageBreak/>
        <w:t>[SA2 answer]</w:t>
      </w:r>
      <w:r w:rsidRPr="002B6916">
        <w:t>: the UE’s AS tries to find a suitable cell following existing procedures of a UE that does not support Coverage Enhancement. If the UE supports limited service state in NAS, the UE follows NAS procedures def</w:t>
      </w:r>
      <w:r w:rsidR="002B6916">
        <w:t>ined for limited service state.</w:t>
      </w:r>
    </w:p>
    <w:p w:rsidR="006809BD" w:rsidRPr="002B6916" w:rsidRDefault="006809BD">
      <w:pPr>
        <w:rPr>
          <w:rFonts w:ascii="Arial" w:hAnsi="Arial" w:cs="Arial"/>
        </w:rPr>
      </w:pPr>
    </w:p>
    <w:p w:rsidR="006809BD" w:rsidRPr="002B6916" w:rsidRDefault="006809BD">
      <w:pPr>
        <w:rPr>
          <w:b/>
          <w:i/>
        </w:rPr>
      </w:pPr>
      <w:r w:rsidRPr="002B6916">
        <w:rPr>
          <w:b/>
          <w:i/>
        </w:rPr>
        <w:t>Question 4: For case 1, 2 &amp; 3 can the UE use the cell for emergency calls (non-NB-IoT) or for mo-ExceptionData (NB-IoT) even if the cell is below the authorized coverage level?</w:t>
      </w:r>
    </w:p>
    <w:p w:rsidR="006809BD" w:rsidRPr="002B6916" w:rsidRDefault="006809BD">
      <w:pPr>
        <w:rPr>
          <w:rFonts w:ascii="Arial" w:hAnsi="Arial" w:cs="Arial"/>
        </w:rPr>
      </w:pPr>
    </w:p>
    <w:p w:rsidR="006809BD" w:rsidRPr="002B6916" w:rsidRDefault="006809BD">
      <w:pPr>
        <w:rPr>
          <w:rFonts w:ascii="Arial" w:hAnsi="Arial" w:cs="Arial"/>
        </w:rPr>
      </w:pPr>
      <w:r w:rsidRPr="002B6916">
        <w:rPr>
          <w:b/>
        </w:rPr>
        <w:t>[SA2 answer]</w:t>
      </w:r>
      <w:r w:rsidRPr="002B6916">
        <w:t>: UE that supports emergency bearer services (follows procedures for UE in limited service state defined in TS 23.401. There is no consensus yet in SA2 regarding Exception Data Reporting.</w:t>
      </w:r>
    </w:p>
    <w:p w:rsidR="006809BD" w:rsidRPr="002B6916" w:rsidRDefault="006809BD">
      <w:pPr>
        <w:rPr>
          <w:rFonts w:ascii="Arial" w:hAnsi="Arial" w:cs="Arial"/>
        </w:rPr>
      </w:pPr>
    </w:p>
    <w:p w:rsidR="006809BD" w:rsidRPr="002B6916" w:rsidRDefault="006809BD">
      <w:pPr>
        <w:rPr>
          <w:rFonts w:hint="eastAsia"/>
          <w:b/>
          <w:i/>
        </w:rPr>
      </w:pPr>
      <w:r w:rsidRPr="002B6916">
        <w:rPr>
          <w:rFonts w:hint="eastAsia"/>
          <w:b/>
          <w:i/>
        </w:rPr>
        <w:t xml:space="preserve">Question 5: Considering the above </w:t>
      </w:r>
      <w:r w:rsidRPr="002B6916">
        <w:rPr>
          <w:b/>
          <w:i/>
        </w:rPr>
        <w:t>limitatio</w:t>
      </w:r>
      <w:r w:rsidRPr="002B6916">
        <w:rPr>
          <w:rFonts w:hint="eastAsia"/>
          <w:b/>
          <w:i/>
        </w:rPr>
        <w:t xml:space="preserve">n in measurement accuracy in CE, RAN2 is wondering </w:t>
      </w:r>
      <w:r w:rsidRPr="002B6916">
        <w:rPr>
          <w:b/>
          <w:i/>
        </w:rPr>
        <w:t>whether</w:t>
      </w:r>
      <w:r w:rsidRPr="002B6916">
        <w:rPr>
          <w:rFonts w:hint="eastAsia"/>
          <w:b/>
          <w:i/>
        </w:rPr>
        <w:t xml:space="preserve"> the CN can set the appropriate </w:t>
      </w:r>
      <w:r w:rsidRPr="002B6916">
        <w:rPr>
          <w:b/>
          <w:i/>
        </w:rPr>
        <w:t xml:space="preserve">coverage </w:t>
      </w:r>
      <w:r w:rsidRPr="002B6916">
        <w:rPr>
          <w:rFonts w:hint="eastAsia"/>
          <w:b/>
          <w:i/>
        </w:rPr>
        <w:t xml:space="preserve">authorization </w:t>
      </w:r>
      <w:r w:rsidRPr="002B6916">
        <w:rPr>
          <w:b/>
          <w:i/>
        </w:rPr>
        <w:t xml:space="preserve">level </w:t>
      </w:r>
      <w:r w:rsidRPr="002B6916">
        <w:rPr>
          <w:rFonts w:hint="eastAsia"/>
          <w:b/>
          <w:i/>
        </w:rPr>
        <w:t>taking into account the radio condition in each cell?</w:t>
      </w:r>
    </w:p>
    <w:p w:rsidR="006809BD" w:rsidRPr="002B6916" w:rsidRDefault="006809BD">
      <w:pPr>
        <w:rPr>
          <w:b/>
        </w:rPr>
      </w:pPr>
    </w:p>
    <w:p w:rsidR="006809BD" w:rsidRPr="002B6916" w:rsidRDefault="006809BD">
      <w:pPr>
        <w:rPr>
          <w:b/>
        </w:rPr>
      </w:pPr>
      <w:r w:rsidRPr="002B6916">
        <w:rPr>
          <w:b/>
        </w:rPr>
        <w:t>[SA2 answer]</w:t>
      </w:r>
      <w:r w:rsidRPr="002B6916">
        <w:t>: The CN does not take into account radio conditions in any cell when providing CE authorization to UE. CE authorization is based mainly on subscription information. Authorisation for Coverage Enhancement is defined with one value (YES/NO) per serving PLMN and is configured in the UE using NAS procedures e.g. Attach Accept/TAU accept etc.</w:t>
      </w:r>
    </w:p>
    <w:p w:rsidR="006809BD" w:rsidRPr="002B6916" w:rsidRDefault="006809BD">
      <w:pPr>
        <w:rPr>
          <w:b/>
        </w:rPr>
      </w:pPr>
    </w:p>
    <w:p w:rsidR="006809BD" w:rsidRPr="002B6916" w:rsidRDefault="006809BD">
      <w:pPr>
        <w:rPr>
          <w:rFonts w:eastAsia="PMingLiU" w:hint="eastAsia"/>
          <w:b/>
          <w:i/>
          <w:lang w:eastAsia="zh-TW"/>
        </w:rPr>
      </w:pPr>
      <w:r w:rsidRPr="002B6916">
        <w:rPr>
          <w:b/>
          <w:i/>
        </w:rPr>
        <w:t xml:space="preserve">Question </w:t>
      </w:r>
      <w:r w:rsidRPr="002B6916">
        <w:rPr>
          <w:rFonts w:hint="eastAsia"/>
          <w:b/>
          <w:i/>
        </w:rPr>
        <w:t>6</w:t>
      </w:r>
      <w:r w:rsidRPr="002B6916">
        <w:rPr>
          <w:b/>
          <w:i/>
        </w:rPr>
        <w:t>: Does enhanced coverage authorization apply to UEs that supp</w:t>
      </w:r>
      <w:r w:rsidR="002B6916">
        <w:rPr>
          <w:b/>
          <w:i/>
        </w:rPr>
        <w:t>ort both NB-IoT and non-NB-IoT?</w:t>
      </w:r>
    </w:p>
    <w:p w:rsidR="006809BD" w:rsidRPr="002B6916" w:rsidRDefault="006809BD">
      <w:pPr>
        <w:rPr>
          <w:rFonts w:eastAsia="PMingLiU"/>
          <w:b/>
          <w:lang w:eastAsia="zh-TW"/>
        </w:rPr>
      </w:pPr>
    </w:p>
    <w:p w:rsidR="006809BD" w:rsidRPr="002B6916" w:rsidRDefault="006809BD">
      <w:r w:rsidRPr="002B6916">
        <w:rPr>
          <w:b/>
        </w:rPr>
        <w:t>[SA2 answer]</w:t>
      </w:r>
      <w:r w:rsidRPr="002B6916">
        <w:t xml:space="preserve">: There is no consensus in SA2 regarding the applicability of this authorization to NB-IoT. Some companies believe that coverage authorisation applies to both NB-IoT and non-NB-IoT UEs while other companies believe it only applies to some non-NB-IoT UEs (i.e. WB-E-UTRAN and EC-GSM-IoT but not NB-IoT or UTRAN). SA2 would like to get feedback from RAN2 on cat.M1 and other non-NB-IoT UEs. SA2 would also like to get feedback from RAN2 regarding the expected impact to NB-IoT and </w:t>
      </w:r>
      <w:r w:rsidRPr="002B6916">
        <w:rPr>
          <w:i/>
        </w:rPr>
        <w:t xml:space="preserve">Rel-14 </w:t>
      </w:r>
      <w:r w:rsidRPr="002B6916">
        <w:t>feasibility if the coverage authorization applied to NB-IoT.</w:t>
      </w:r>
    </w:p>
    <w:p w:rsidR="006809BD" w:rsidRPr="002B6916" w:rsidRDefault="006809BD">
      <w:pPr>
        <w:rPr>
          <w:rFonts w:eastAsia="PMingLiU"/>
          <w:b/>
          <w:lang w:eastAsia="zh-TW"/>
        </w:rPr>
      </w:pPr>
    </w:p>
    <w:p w:rsidR="006809BD" w:rsidRPr="002B6916" w:rsidRDefault="006809BD">
      <w:pPr>
        <w:rPr>
          <w:b/>
          <w:i/>
        </w:rPr>
      </w:pPr>
      <w:r w:rsidRPr="002B6916">
        <w:rPr>
          <w:rFonts w:eastAsia="PMingLiU" w:hint="eastAsia"/>
          <w:b/>
          <w:i/>
          <w:lang w:eastAsia="zh-TW"/>
        </w:rPr>
        <w:t>Question 7: H</w:t>
      </w:r>
      <w:r w:rsidRPr="002B6916">
        <w:rPr>
          <w:b/>
          <w:i/>
        </w:rPr>
        <w:t xml:space="preserve">ow will the coverage authorization be provided for NB-IoT and non-NB-IoT (e.g. separately or by </w:t>
      </w:r>
    </w:p>
    <w:p w:rsidR="006809BD" w:rsidRPr="002B6916" w:rsidRDefault="006809BD">
      <w:pPr>
        <w:rPr>
          <w:b/>
          <w:i/>
        </w:rPr>
      </w:pPr>
      <w:r w:rsidRPr="002B6916">
        <w:rPr>
          <w:b/>
          <w:i/>
        </w:rPr>
        <w:t>some mapping in the UE</w:t>
      </w:r>
      <w:r w:rsidRPr="002B6916">
        <w:rPr>
          <w:rFonts w:eastAsia="PMingLiU" w:hint="eastAsia"/>
          <w:b/>
          <w:i/>
          <w:lang w:eastAsia="zh-TW"/>
        </w:rPr>
        <w:t xml:space="preserve"> for UEs that </w:t>
      </w:r>
      <w:r w:rsidRPr="002B6916">
        <w:rPr>
          <w:rFonts w:eastAsia="PMingLiU"/>
          <w:b/>
          <w:i/>
          <w:lang w:eastAsia="zh-TW"/>
        </w:rPr>
        <w:t>support</w:t>
      </w:r>
      <w:r w:rsidRPr="002B6916">
        <w:rPr>
          <w:rFonts w:eastAsia="PMingLiU" w:hint="eastAsia"/>
          <w:b/>
          <w:i/>
          <w:lang w:eastAsia="zh-TW"/>
        </w:rPr>
        <w:t xml:space="preserve"> both NB-IoT and non-NB-IoT</w:t>
      </w:r>
      <w:r w:rsidRPr="002B6916">
        <w:rPr>
          <w:b/>
          <w:i/>
        </w:rPr>
        <w:t>)?</w:t>
      </w:r>
    </w:p>
    <w:p w:rsidR="006809BD" w:rsidRPr="002B6916" w:rsidRDefault="006809BD">
      <w:pPr>
        <w:rPr>
          <w:b/>
          <w:i/>
        </w:rPr>
      </w:pPr>
    </w:p>
    <w:p w:rsidR="006809BD" w:rsidRPr="002B6916" w:rsidRDefault="006809BD">
      <w:pPr>
        <w:rPr>
          <w:b/>
        </w:rPr>
      </w:pPr>
      <w:r w:rsidRPr="002B6916">
        <w:rPr>
          <w:b/>
        </w:rPr>
        <w:t>[SA2 answer]</w:t>
      </w:r>
      <w:r w:rsidRPr="002B6916">
        <w:t>: The same NAS procedure will be used, but the authorization may be specific to the technology e.g. EC-GSM-IoT need not be the same as WB-E-UTRAN. See details in Answer 5.</w:t>
      </w:r>
    </w:p>
    <w:p w:rsidR="006809BD" w:rsidRPr="002B6916" w:rsidRDefault="006809BD">
      <w:pPr>
        <w:rPr>
          <w:rFonts w:ascii="Arial" w:hAnsi="Arial" w:cs="Arial"/>
        </w:rPr>
      </w:pPr>
    </w:p>
    <w:p w:rsidR="006809BD" w:rsidRPr="002B6916" w:rsidRDefault="006809BD">
      <w:pPr>
        <w:spacing w:after="120"/>
        <w:rPr>
          <w:rFonts w:ascii="Arial" w:hAnsi="Arial" w:cs="Arial"/>
          <w:b/>
        </w:rPr>
      </w:pPr>
      <w:r w:rsidRPr="002B6916">
        <w:rPr>
          <w:rFonts w:ascii="Arial" w:hAnsi="Arial" w:cs="Arial"/>
          <w:b/>
        </w:rPr>
        <w:t>2. Actions:</w:t>
      </w:r>
    </w:p>
    <w:p w:rsidR="006809BD" w:rsidRPr="002B6916" w:rsidRDefault="006809BD">
      <w:pPr>
        <w:spacing w:after="120"/>
        <w:ind w:left="1985" w:hanging="1985"/>
        <w:rPr>
          <w:rFonts w:ascii="Arial" w:hAnsi="Arial" w:cs="Arial"/>
          <w:b/>
        </w:rPr>
      </w:pPr>
      <w:r w:rsidRPr="002B6916">
        <w:rPr>
          <w:rFonts w:ascii="Arial" w:hAnsi="Arial" w:cs="Arial"/>
          <w:b/>
        </w:rPr>
        <w:t xml:space="preserve">To </w:t>
      </w:r>
      <w:r w:rsidRPr="002B6916">
        <w:rPr>
          <w:rFonts w:ascii="Arial" w:hAnsi="Arial" w:cs="Arial"/>
          <w:b/>
          <w:bCs/>
        </w:rPr>
        <w:t>RAN WG2, CT WG1, RAN WG6</w:t>
      </w:r>
    </w:p>
    <w:p w:rsidR="006809BD" w:rsidRPr="002B6916" w:rsidRDefault="006809BD">
      <w:pPr>
        <w:spacing w:after="120"/>
        <w:ind w:left="993" w:hanging="993"/>
        <w:rPr>
          <w:rFonts w:ascii="Arial" w:hAnsi="Arial" w:cs="Arial"/>
        </w:rPr>
      </w:pPr>
      <w:r w:rsidRPr="002B6916">
        <w:rPr>
          <w:rFonts w:ascii="Arial" w:hAnsi="Arial" w:cs="Arial"/>
          <w:b/>
        </w:rPr>
        <w:t>ACTION:</w:t>
      </w:r>
    </w:p>
    <w:p w:rsidR="006809BD" w:rsidRDefault="006809BD">
      <w:pPr>
        <w:spacing w:after="120"/>
        <w:rPr>
          <w:rFonts w:ascii="Arial" w:hAnsi="Arial" w:cs="Arial"/>
        </w:rPr>
      </w:pPr>
      <w:r w:rsidRPr="002B6916">
        <w:rPr>
          <w:rFonts w:ascii="Arial" w:hAnsi="Arial" w:cs="Arial"/>
        </w:rPr>
        <w:t>SA2 asks RAN2, RAN6 and CT1 to take this information into account and provide feedback to SA2. SA2 plans to finish CIoT_Ext work by SA2#118 meeting so it will be very much appreciated if feedback can be provided early in the week of SA2#118 meeting (i.e. 14 – 18 Nov, 2016).</w:t>
      </w:r>
    </w:p>
    <w:p w:rsidR="006809BD" w:rsidRDefault="006809BD">
      <w:pPr>
        <w:spacing w:after="120"/>
        <w:rPr>
          <w:rFonts w:ascii="Arial" w:hAnsi="Arial" w:cs="Arial"/>
          <w:iCs/>
        </w:rPr>
      </w:pPr>
    </w:p>
    <w:p w:rsidR="006809BD" w:rsidRDefault="006809BD">
      <w:pPr>
        <w:spacing w:after="120"/>
        <w:ind w:left="1985" w:hanging="1985"/>
        <w:rPr>
          <w:rFonts w:ascii="Arial" w:hAnsi="Arial" w:cs="Arial"/>
          <w:b/>
        </w:rPr>
      </w:pPr>
      <w:r>
        <w:rPr>
          <w:rFonts w:ascii="Arial" w:hAnsi="Arial" w:cs="Arial"/>
          <w:b/>
        </w:rPr>
        <w:t xml:space="preserve">To </w:t>
      </w:r>
      <w:r>
        <w:rPr>
          <w:rFonts w:ascii="Arial" w:hAnsi="Arial" w:cs="Arial"/>
          <w:b/>
          <w:bCs/>
        </w:rPr>
        <w:t>RAN WG2</w:t>
      </w:r>
    </w:p>
    <w:p w:rsidR="006809BD" w:rsidRDefault="006809BD">
      <w:pPr>
        <w:spacing w:after="120"/>
        <w:ind w:left="993" w:hanging="993"/>
        <w:rPr>
          <w:rFonts w:ascii="Arial" w:hAnsi="Arial" w:cs="Arial"/>
        </w:rPr>
      </w:pPr>
      <w:r>
        <w:rPr>
          <w:rFonts w:ascii="Arial" w:hAnsi="Arial" w:cs="Arial"/>
          <w:b/>
        </w:rPr>
        <w:t>ACTION:</w:t>
      </w:r>
    </w:p>
    <w:p w:rsidR="006809BD" w:rsidRDefault="006809BD">
      <w:pPr>
        <w:spacing w:after="120"/>
        <w:rPr>
          <w:rFonts w:ascii="Arial" w:hAnsi="Arial" w:cs="Arial"/>
        </w:rPr>
      </w:pPr>
      <w:r>
        <w:rPr>
          <w:rFonts w:ascii="Arial" w:hAnsi="Arial" w:cs="Arial"/>
        </w:rPr>
        <w:t xml:space="preserve">SA2 asks RAN2 to provide feedback regarding SA2 answer to RAN2 Question 6. </w:t>
      </w:r>
    </w:p>
    <w:p w:rsidR="006809BD" w:rsidRDefault="006809BD">
      <w:pPr>
        <w:spacing w:after="120"/>
        <w:rPr>
          <w:rFonts w:ascii="Arial" w:hAnsi="Arial" w:cs="Arial"/>
          <w:iCs/>
        </w:rPr>
      </w:pPr>
    </w:p>
    <w:p w:rsidR="006809BD" w:rsidRDefault="006809BD">
      <w:pPr>
        <w:spacing w:after="120"/>
        <w:ind w:left="1985" w:hanging="1985"/>
        <w:rPr>
          <w:rFonts w:ascii="Arial" w:hAnsi="Arial" w:cs="Arial"/>
          <w:b/>
        </w:rPr>
      </w:pPr>
      <w:r>
        <w:rPr>
          <w:rFonts w:ascii="Arial" w:hAnsi="Arial" w:cs="Arial"/>
          <w:b/>
        </w:rPr>
        <w:t xml:space="preserve">To </w:t>
      </w:r>
      <w:r>
        <w:rPr>
          <w:rFonts w:ascii="Arial" w:hAnsi="Arial" w:cs="Arial"/>
          <w:b/>
          <w:bCs/>
        </w:rPr>
        <w:t>RAN WG6</w:t>
      </w:r>
    </w:p>
    <w:p w:rsidR="006809BD" w:rsidRDefault="006809BD">
      <w:pPr>
        <w:spacing w:after="120"/>
        <w:ind w:left="993" w:hanging="993"/>
        <w:rPr>
          <w:rFonts w:ascii="Arial" w:hAnsi="Arial" w:cs="Arial"/>
        </w:rPr>
      </w:pPr>
      <w:r>
        <w:rPr>
          <w:rFonts w:ascii="Arial" w:hAnsi="Arial" w:cs="Arial"/>
          <w:b/>
        </w:rPr>
        <w:t>ACTION:</w:t>
      </w:r>
    </w:p>
    <w:p w:rsidR="006809BD" w:rsidRDefault="006809BD">
      <w:pPr>
        <w:spacing w:after="120"/>
        <w:rPr>
          <w:rFonts w:ascii="Arial" w:hAnsi="Arial" w:cs="Arial"/>
        </w:rPr>
      </w:pPr>
      <w:r>
        <w:rPr>
          <w:rFonts w:ascii="Arial" w:hAnsi="Arial" w:cs="Arial"/>
        </w:rPr>
        <w:t>Considering that the authorization of use of coverage enhancement for EC-GSM-IoT is also in the scope of CIoT_Ext work item and that Solution 1 as in Section 6.1 of TR 23.730 is the basis for normative specifications, SA2 asks RAN6 for feedback on how the authorization for use of enhanced coverage for a UE would impact cell selection/reselection and PLMN selection in GERAN. RAN6 is also invited to take the above discussion into account for the aspects that also apply to GERAN.</w:t>
      </w:r>
    </w:p>
    <w:p w:rsidR="006809BD" w:rsidRDefault="006809BD">
      <w:pPr>
        <w:spacing w:after="120"/>
        <w:ind w:left="993" w:hanging="993"/>
        <w:rPr>
          <w:rFonts w:ascii="Arial" w:hAnsi="Arial" w:cs="Arial"/>
        </w:rPr>
      </w:pPr>
    </w:p>
    <w:p w:rsidR="006809BD" w:rsidRDefault="006809BD">
      <w:pPr>
        <w:spacing w:after="120"/>
        <w:rPr>
          <w:rFonts w:ascii="Arial" w:hAnsi="Arial" w:cs="Arial"/>
          <w:b/>
        </w:rPr>
      </w:pPr>
      <w:r>
        <w:rPr>
          <w:rFonts w:ascii="Arial" w:hAnsi="Arial" w:cs="Arial"/>
          <w:b/>
        </w:rPr>
        <w:t>3. Date of Next TSG-SA WG2 Meetings:</w:t>
      </w:r>
    </w:p>
    <w:p w:rsidR="006809BD" w:rsidRDefault="006809BD">
      <w:pPr>
        <w:tabs>
          <w:tab w:val="left" w:pos="3969"/>
          <w:tab w:val="left" w:pos="5103"/>
        </w:tabs>
        <w:spacing w:after="120"/>
        <w:ind w:left="2268" w:hanging="2268"/>
        <w:rPr>
          <w:rFonts w:ascii="Arial" w:hAnsi="Arial" w:cs="Arial"/>
          <w:bCs/>
        </w:rPr>
      </w:pPr>
      <w:r>
        <w:rPr>
          <w:rFonts w:ascii="Arial" w:hAnsi="Arial" w:cs="Arial"/>
          <w:bCs/>
        </w:rPr>
        <w:t>TSG-SA WG2 Meeting #118</w:t>
      </w:r>
      <w:r>
        <w:rPr>
          <w:rFonts w:ascii="Arial" w:hAnsi="Arial" w:cs="Arial"/>
          <w:bCs/>
        </w:rPr>
        <w:tab/>
        <w:t xml:space="preserve">14th-18th November 2016 </w:t>
      </w:r>
      <w:r>
        <w:rPr>
          <w:rFonts w:ascii="Arial" w:hAnsi="Arial" w:cs="Arial"/>
          <w:bCs/>
        </w:rPr>
        <w:tab/>
      </w:r>
      <w:r>
        <w:rPr>
          <w:rFonts w:ascii="Arial" w:hAnsi="Arial" w:cs="Arial"/>
          <w:bCs/>
        </w:rPr>
        <w:tab/>
        <w:t>Reno, NV, USA</w:t>
      </w:r>
    </w:p>
    <w:p w:rsidR="006809BD" w:rsidRDefault="006809BD">
      <w:pPr>
        <w:tabs>
          <w:tab w:val="left" w:pos="3969"/>
          <w:tab w:val="left" w:pos="5103"/>
        </w:tabs>
        <w:spacing w:after="120"/>
        <w:ind w:left="2268" w:hanging="2268"/>
        <w:rPr>
          <w:rFonts w:ascii="Arial" w:hAnsi="Arial" w:cs="Arial"/>
          <w:bCs/>
        </w:rPr>
      </w:pPr>
      <w:r>
        <w:rPr>
          <w:rFonts w:ascii="Arial" w:hAnsi="Arial" w:cs="Arial"/>
          <w:bCs/>
        </w:rPr>
        <w:t>TSG-SA WG2 Meeting #118bis</w:t>
      </w:r>
      <w:r>
        <w:rPr>
          <w:rFonts w:ascii="Arial" w:hAnsi="Arial" w:cs="Arial"/>
          <w:bCs/>
        </w:rPr>
        <w:tab/>
        <w:t>16</w:t>
      </w:r>
      <w:r>
        <w:rPr>
          <w:rFonts w:ascii="Arial" w:hAnsi="Arial" w:cs="Arial"/>
          <w:bCs/>
          <w:vertAlign w:val="superscript"/>
        </w:rPr>
        <w:t>th</w:t>
      </w:r>
      <w:r>
        <w:rPr>
          <w:rFonts w:ascii="Arial" w:hAnsi="Arial" w:cs="Arial"/>
          <w:bCs/>
        </w:rPr>
        <w:t>-22</w:t>
      </w:r>
      <w:r>
        <w:rPr>
          <w:rFonts w:ascii="Arial" w:hAnsi="Arial" w:cs="Arial"/>
          <w:bCs/>
          <w:vertAlign w:val="superscript"/>
        </w:rPr>
        <w:t>nd</w:t>
      </w:r>
      <w:r>
        <w:rPr>
          <w:rFonts w:ascii="Arial" w:hAnsi="Arial" w:cs="Arial"/>
          <w:bCs/>
        </w:rPr>
        <w:t xml:space="preserve"> January 2017</w:t>
      </w:r>
      <w:r>
        <w:rPr>
          <w:rFonts w:ascii="Arial" w:hAnsi="Arial" w:cs="Arial"/>
          <w:bCs/>
        </w:rPr>
        <w:tab/>
      </w:r>
      <w:r>
        <w:rPr>
          <w:rFonts w:ascii="Arial" w:hAnsi="Arial" w:cs="Arial"/>
          <w:bCs/>
        </w:rPr>
        <w:tab/>
        <w:t>TBD, USA</w:t>
      </w:r>
    </w:p>
    <w:p w:rsidR="006809BD" w:rsidRDefault="006809BD">
      <w:pPr>
        <w:spacing w:after="120"/>
        <w:rPr>
          <w:rFonts w:ascii="Arial" w:hAnsi="Arial" w:cs="Arial"/>
          <w:bCs/>
        </w:rPr>
      </w:pPr>
    </w:p>
    <w:sectPr w:rsidR="006809BD">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EF8" w:rsidRDefault="00DD3EF8">
      <w:r>
        <w:separator/>
      </w:r>
    </w:p>
  </w:endnote>
  <w:endnote w:type="continuationSeparator" w:id="0">
    <w:p w:rsidR="00DD3EF8" w:rsidRDefault="00DD3E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EF8" w:rsidRDefault="00DD3EF8">
      <w:r>
        <w:separator/>
      </w:r>
    </w:p>
  </w:footnote>
  <w:footnote w:type="continuationSeparator" w:id="0">
    <w:p w:rsidR="00DD3EF8" w:rsidRDefault="00DD3E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205C2"/>
    <w:rsid w:val="00296A00"/>
    <w:rsid w:val="002B6916"/>
    <w:rsid w:val="006809BD"/>
    <w:rsid w:val="007205C2"/>
    <w:rsid w:val="009E7B12"/>
    <w:rsid w:val="00C0321E"/>
    <w:rsid w:val="00DD3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Segoe UI" w:hAnsi="Segoe UI"/>
      <w:sz w:val="18"/>
      <w:szCs w:val="18"/>
      <w:lang/>
    </w:rPr>
  </w:style>
  <w:style w:type="character" w:customStyle="1" w:styleId="BalloonTextChar">
    <w:name w:val="Balloon Text Char"/>
    <w:link w:val="BalloonText"/>
    <w:uiPriority w:val="99"/>
    <w:semiHidden/>
    <w:rPr>
      <w:rFonts w:ascii="Segoe UI" w:hAnsi="Segoe UI" w:cs="Segoe UI"/>
      <w:sz w:val="18"/>
      <w:szCs w:val="18"/>
      <w:lang w:eastAsia="en-US"/>
    </w:rPr>
  </w:style>
  <w:style w:type="paragraph" w:styleId="PlainText">
    <w:name w:val="Plain Text"/>
    <w:basedOn w:val="Normal"/>
    <w:link w:val="PlainTextChar"/>
    <w:uiPriority w:val="99"/>
    <w:semiHidden/>
    <w:unhideWhenUsed/>
    <w:rPr>
      <w:rFonts w:ascii="Calibri" w:eastAsia="Calibri" w:hAnsi="Calibri"/>
      <w:sz w:val="22"/>
      <w:szCs w:val="21"/>
      <w:lang/>
    </w:rPr>
  </w:style>
  <w:style w:type="character" w:customStyle="1" w:styleId="PlainTextChar">
    <w:name w:val="Plain Text Char"/>
    <w:link w:val="PlainText"/>
    <w:uiPriority w:val="99"/>
    <w:semiHidden/>
    <w:rPr>
      <w:rFonts w:ascii="Calibri" w:eastAsia="Calibri" w:hAnsi="Calibri" w:cs="Consolas"/>
      <w:sz w:val="22"/>
      <w:szCs w:val="21"/>
      <w:lang w:eastAsia="en-US"/>
    </w:rPr>
  </w:style>
  <w:style w:type="character" w:styleId="Hyperlink">
    <w:name w:val="Hyperlink"/>
    <w:uiPriority w:val="99"/>
    <w:unhideWhenUsed/>
    <w:rPr>
      <w:color w:val="0563C1"/>
      <w:u w:val="singl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RCoverPage">
    <w:name w:val="CR Cover Page"/>
    <w:rsid w:val="009E7B12"/>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159050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892</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2</cp:revision>
  <cp:lastPrinted>2002-04-23T08:10:00Z</cp:lastPrinted>
  <dcterms:created xsi:type="dcterms:W3CDTF">2016-11-08T20:29:00Z</dcterms:created>
  <dcterms:modified xsi:type="dcterms:W3CDTF">2016-11-08T20:29:00Z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-626172241</vt:i4>
  </property>
  <property fmtid="{D5CDD505-2E9C-101B-9397-08002B2CF9AE}" pid="4" name="_EmailSubject">
    <vt:lpwstr>[SA2#117 e-mail approval, S2-165986] Draft LS to RAN2/RAN6/CT1 on CE authorization</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ReviewingToolsShownOnce">
    <vt:lpwstr/>
  </property>
</Properties>
</file>