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BF73" w14:textId="2BD41926" w:rsidR="00D65461" w:rsidRPr="00E91E67" w:rsidRDefault="00D65461" w:rsidP="00D65461">
      <w:pPr>
        <w:tabs>
          <w:tab w:val="right" w:pos="9639"/>
        </w:tabs>
        <w:overflowPunct/>
        <w:autoSpaceDE/>
        <w:autoSpaceDN/>
        <w:adjustRightInd/>
        <w:spacing w:after="0"/>
        <w:textAlignment w:val="auto"/>
        <w:rPr>
          <w:rFonts w:ascii="Arial" w:eastAsiaTheme="minorEastAsia" w:hAnsi="Arial"/>
          <w:b/>
          <w:noProof/>
          <w:sz w:val="24"/>
          <w:szCs w:val="24"/>
        </w:rPr>
      </w:pPr>
      <w:r w:rsidRPr="00AD45C4">
        <w:rPr>
          <w:rFonts w:ascii="Arial" w:hAnsi="Arial"/>
          <w:b/>
          <w:noProof/>
          <w:sz w:val="24"/>
          <w:szCs w:val="24"/>
          <w:lang w:eastAsia="en-US"/>
        </w:rPr>
        <w:t>3GPP TSG-RAN WG5 Meeting #10</w:t>
      </w:r>
      <w:r w:rsidR="00410F77">
        <w:rPr>
          <w:rFonts w:ascii="Arial" w:eastAsiaTheme="minorEastAsia" w:hAnsi="Arial" w:hint="eastAsia"/>
          <w:b/>
          <w:noProof/>
          <w:sz w:val="24"/>
          <w:szCs w:val="24"/>
        </w:rPr>
        <w:t>9</w:t>
      </w:r>
      <w:r w:rsidRPr="00AD45C4">
        <w:rPr>
          <w:rFonts w:ascii="Arial" w:hAnsi="Arial"/>
          <w:b/>
          <w:noProof/>
          <w:sz w:val="24"/>
          <w:szCs w:val="24"/>
          <w:lang w:eastAsia="en-US"/>
        </w:rPr>
        <w:tab/>
      </w:r>
      <w:r w:rsidR="00410F77" w:rsidRPr="00410F77">
        <w:rPr>
          <w:rFonts w:ascii="Arial" w:hAnsi="Arial"/>
          <w:b/>
          <w:noProof/>
          <w:sz w:val="24"/>
          <w:szCs w:val="24"/>
          <w:lang w:eastAsia="en-US"/>
        </w:rPr>
        <w:t>R5-256166</w:t>
      </w:r>
    </w:p>
    <w:p w14:paraId="35AFE96F" w14:textId="3D90C016" w:rsidR="00D65461" w:rsidRDefault="00410F77" w:rsidP="00D65461">
      <w:pPr>
        <w:tabs>
          <w:tab w:val="right" w:pos="9639"/>
        </w:tabs>
        <w:overflowPunct/>
        <w:autoSpaceDE/>
        <w:autoSpaceDN/>
        <w:adjustRightInd/>
        <w:spacing w:after="0"/>
        <w:textAlignment w:val="auto"/>
        <w:rPr>
          <w:rFonts w:ascii="Arial" w:hAnsi="Arial"/>
          <w:b/>
          <w:noProof/>
          <w:sz w:val="24"/>
          <w:szCs w:val="24"/>
          <w:lang w:eastAsia="en-US"/>
        </w:rPr>
      </w:pPr>
      <w:r w:rsidRPr="00410F77">
        <w:rPr>
          <w:rFonts w:ascii="Arial" w:hAnsi="Arial"/>
          <w:b/>
          <w:noProof/>
          <w:sz w:val="24"/>
          <w:szCs w:val="24"/>
          <w:lang w:eastAsia="en-US"/>
        </w:rPr>
        <w:t>Dallas, US, 17 - 21 Nov 2025</w:t>
      </w:r>
    </w:p>
    <w:p w14:paraId="49CC869B" w14:textId="77777777" w:rsidR="00410F77" w:rsidRDefault="00410F77" w:rsidP="00D65461">
      <w:pPr>
        <w:tabs>
          <w:tab w:val="right" w:pos="9639"/>
        </w:tabs>
        <w:overflowPunct/>
        <w:autoSpaceDE/>
        <w:autoSpaceDN/>
        <w:adjustRightInd/>
        <w:spacing w:after="0"/>
        <w:textAlignment w:val="auto"/>
        <w:rPr>
          <w:rFonts w:ascii="Arial" w:hAnsi="Arial"/>
          <w:b/>
          <w:noProof/>
          <w:sz w:val="24"/>
          <w:lang w:eastAsia="en-US"/>
        </w:rPr>
      </w:pPr>
    </w:p>
    <w:p w14:paraId="389B2A75" w14:textId="0D055A21" w:rsidR="00D65461" w:rsidRPr="00AE4070" w:rsidRDefault="00D65461" w:rsidP="00D65461">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w:t>
      </w:r>
      <w:r w:rsidR="00410F77">
        <w:rPr>
          <w:rFonts w:ascii="Arial" w:hAnsi="Arial" w:hint="eastAsia"/>
          <w:b/>
          <w:noProof/>
          <w:color w:val="7F7F7F" w:themeColor="text1" w:themeTint="80"/>
          <w:sz w:val="24"/>
          <w:szCs w:val="24"/>
        </w:rPr>
        <w:t>10</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33B889E5" w14:textId="1FCC6998" w:rsidR="00D65461" w:rsidRPr="00AE4070" w:rsidRDefault="008B0B3C" w:rsidP="00D65461">
      <w:pPr>
        <w:pStyle w:val="CRCoverPage"/>
        <w:outlineLvl w:val="0"/>
        <w:rPr>
          <w:b/>
          <w:noProof/>
          <w:color w:val="7F7F7F" w:themeColor="text1" w:themeTint="80"/>
          <w:sz w:val="24"/>
          <w:szCs w:val="24"/>
          <w:lang w:eastAsia="zh-CN"/>
        </w:rPr>
      </w:pPr>
      <w:r w:rsidRPr="008B0B3C">
        <w:rPr>
          <w:b/>
          <w:noProof/>
          <w:color w:val="7F7F7F" w:themeColor="text1" w:themeTint="80"/>
          <w:sz w:val="24"/>
          <w:szCs w:val="24"/>
          <w:lang w:eastAsia="zh-CN"/>
        </w:rPr>
        <w:t>Baltimore</w:t>
      </w:r>
      <w:r w:rsidR="00D65461" w:rsidRPr="00AE4070">
        <w:rPr>
          <w:b/>
          <w:noProof/>
          <w:color w:val="7F7F7F" w:themeColor="text1" w:themeTint="80"/>
          <w:sz w:val="24"/>
          <w:szCs w:val="24"/>
        </w:rPr>
        <w:t xml:space="preserve"> , </w:t>
      </w:r>
      <w:r>
        <w:rPr>
          <w:rFonts w:hint="eastAsia"/>
          <w:b/>
          <w:noProof/>
          <w:color w:val="7F7F7F" w:themeColor="text1" w:themeTint="80"/>
          <w:sz w:val="24"/>
          <w:szCs w:val="24"/>
          <w:lang w:eastAsia="zh-CN"/>
        </w:rPr>
        <w:t>USA</w:t>
      </w:r>
      <w:r w:rsidR="00D65461" w:rsidRPr="00AE4070">
        <w:rPr>
          <w:b/>
          <w:noProof/>
          <w:color w:val="7F7F7F" w:themeColor="text1" w:themeTint="80"/>
          <w:sz w:val="24"/>
          <w:szCs w:val="24"/>
        </w:rPr>
        <w:t xml:space="preserve">, </w:t>
      </w:r>
      <w:r w:rsidR="00CE5B97">
        <w:rPr>
          <w:rFonts w:hint="eastAsia"/>
          <w:b/>
          <w:noProof/>
          <w:color w:val="7F7F7F" w:themeColor="text1" w:themeTint="80"/>
          <w:sz w:val="24"/>
          <w:szCs w:val="24"/>
          <w:lang w:eastAsia="zh-CN"/>
        </w:rPr>
        <w:t>08</w:t>
      </w:r>
      <w:r w:rsidR="00D65461" w:rsidRPr="00AE4070">
        <w:rPr>
          <w:b/>
          <w:noProof/>
          <w:color w:val="7F7F7F" w:themeColor="text1" w:themeTint="80"/>
          <w:sz w:val="24"/>
          <w:szCs w:val="24"/>
        </w:rPr>
        <w:t>-1</w:t>
      </w:r>
      <w:r w:rsidR="00CE5B97">
        <w:rPr>
          <w:rFonts w:hint="eastAsia"/>
          <w:b/>
          <w:noProof/>
          <w:color w:val="7F7F7F" w:themeColor="text1" w:themeTint="80"/>
          <w:sz w:val="24"/>
          <w:szCs w:val="24"/>
          <w:lang w:eastAsia="zh-CN"/>
        </w:rPr>
        <w:t>1</w:t>
      </w:r>
      <w:r w:rsidR="00D65461" w:rsidRPr="00AE4070">
        <w:rPr>
          <w:b/>
          <w:noProof/>
          <w:color w:val="7F7F7F" w:themeColor="text1" w:themeTint="80"/>
          <w:sz w:val="24"/>
          <w:szCs w:val="24"/>
        </w:rPr>
        <w:t>,</w:t>
      </w:r>
      <w:r w:rsidR="00D65461" w:rsidRPr="00AE4070">
        <w:rPr>
          <w:rFonts w:hint="eastAsia"/>
          <w:b/>
          <w:noProof/>
          <w:color w:val="7F7F7F" w:themeColor="text1" w:themeTint="80"/>
          <w:sz w:val="24"/>
          <w:szCs w:val="24"/>
          <w:lang w:eastAsia="zh-CN"/>
        </w:rPr>
        <w:t xml:space="preserve"> </w:t>
      </w:r>
      <w:r w:rsidR="00CE5B97">
        <w:rPr>
          <w:rFonts w:hint="eastAsia"/>
          <w:b/>
          <w:noProof/>
          <w:color w:val="7F7F7F" w:themeColor="text1" w:themeTint="80"/>
          <w:sz w:val="24"/>
          <w:szCs w:val="24"/>
          <w:lang w:eastAsia="zh-CN"/>
        </w:rPr>
        <w:t>Dec</w:t>
      </w:r>
      <w:r w:rsidR="00D65461" w:rsidRPr="00AE4070">
        <w:rPr>
          <w:b/>
          <w:noProof/>
          <w:color w:val="7F7F7F" w:themeColor="text1" w:themeTint="80"/>
          <w:sz w:val="24"/>
          <w:szCs w:val="24"/>
        </w:rPr>
        <w:t xml:space="preserve"> 202</w:t>
      </w:r>
      <w:r w:rsidR="00D65461" w:rsidRPr="00AE4070">
        <w:rPr>
          <w:rFonts w:hint="eastAsia"/>
          <w:b/>
          <w:noProof/>
          <w:color w:val="7F7F7F" w:themeColor="text1" w:themeTint="80"/>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3882C48C" w14:textId="77777777" w:rsidR="003B1855" w:rsidRDefault="00E6549D" w:rsidP="00C84C88">
            <w:pPr>
              <w:tabs>
                <w:tab w:val="left" w:pos="567"/>
              </w:tabs>
              <w:spacing w:after="0"/>
              <w:rPr>
                <w:rFonts w:ascii="Arial" w:hAnsi="Arial" w:cs="Arial"/>
                <w:color w:val="00B050"/>
                <w:highlight w:val="yellow"/>
              </w:rPr>
            </w:pPr>
            <w:r w:rsidRPr="00E6549D">
              <w:rPr>
                <w:rFonts w:ascii="Arial" w:hAnsi="Arial" w:cs="Arial" w:hint="eastAsia"/>
                <w:color w:val="00B050"/>
                <w:highlight w:val="yellow"/>
              </w:rPr>
              <w:t>Mar</w:t>
            </w:r>
            <w:r w:rsidR="00137DF6" w:rsidRPr="00E6549D">
              <w:rPr>
                <w:rFonts w:ascii="Arial" w:hAnsi="Arial" w:cs="Arial"/>
                <w:color w:val="00B050"/>
                <w:highlight w:val="yellow"/>
                <w:lang w:eastAsia="ja-JP"/>
              </w:rPr>
              <w:t>.</w:t>
            </w:r>
            <w:r w:rsidR="001B2B73" w:rsidRPr="00E6549D">
              <w:rPr>
                <w:rFonts w:ascii="Arial" w:hAnsi="Arial" w:cs="Arial"/>
                <w:color w:val="00B050"/>
                <w:highlight w:val="yellow"/>
                <w:lang w:eastAsia="ja-JP"/>
              </w:rPr>
              <w:t>202</w:t>
            </w:r>
            <w:r w:rsidRPr="00E6549D">
              <w:rPr>
                <w:rFonts w:ascii="Arial" w:hAnsi="Arial" w:cs="Arial" w:hint="eastAsia"/>
                <w:color w:val="00B050"/>
                <w:highlight w:val="yellow"/>
              </w:rPr>
              <w:t>6</w:t>
            </w:r>
          </w:p>
          <w:p w14:paraId="5BB6B905" w14:textId="418B7173" w:rsidR="001B2B73" w:rsidRPr="00876703" w:rsidRDefault="00E6549D" w:rsidP="00C84C88">
            <w:pPr>
              <w:tabs>
                <w:tab w:val="left" w:pos="567"/>
              </w:tabs>
              <w:spacing w:after="0"/>
              <w:rPr>
                <w:rFonts w:ascii="Arial" w:eastAsia="Yu Mincho" w:hAnsi="Arial" w:cs="Arial"/>
                <w:color w:val="00B050"/>
              </w:rPr>
            </w:pPr>
            <w:r w:rsidRPr="00E6549D">
              <w:rPr>
                <w:rFonts w:ascii="Arial" w:hAnsi="Arial" w:cs="Arial" w:hint="eastAsia"/>
                <w:color w:val="00B050"/>
                <w:highlight w:val="yellow"/>
              </w:rPr>
              <w:t>(+3</w:t>
            </w:r>
            <w:r w:rsidR="003B1855">
              <w:rPr>
                <w:rFonts w:ascii="Arial" w:hAnsi="Arial" w:cs="Arial" w:hint="eastAsia"/>
                <w:color w:val="00B050"/>
                <w:highlight w:val="yellow"/>
              </w:rPr>
              <w:t xml:space="preserve"> months</w:t>
            </w:r>
            <w:r w:rsidRPr="00E6549D">
              <w:rPr>
                <w:rFonts w:ascii="Arial" w:hAnsi="Arial" w:cs="Arial" w:hint="eastAsia"/>
                <w:color w:val="00B050"/>
                <w:highlight w:val="yellow"/>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92B6426"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w:t>
            </w:r>
            <w:r w:rsidR="00E6549D">
              <w:rPr>
                <w:rFonts w:ascii="Arial" w:hAnsi="Arial" w:cs="Arial" w:hint="eastAsia"/>
                <w:color w:val="00B050"/>
                <w:highlight w:val="yellow"/>
              </w:rPr>
              <w:t>8</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E6549D">
              <w:rPr>
                <w:rFonts w:ascii="Arial" w:hAnsi="Arial" w:cs="Arial" w:hint="eastAsia"/>
                <w:color w:val="00B050"/>
                <w:highlight w:val="yellow"/>
              </w:rPr>
              <w:t>3</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Updates on Ch7 for PC2 refsens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F61EAA" w:rsidRDefault="00241D86" w:rsidP="00241D86">
      <w:pPr>
        <w:snapToGrid w:val="0"/>
        <w:ind w:firstLine="200"/>
        <w:rPr>
          <w:rFonts w:ascii="Arial" w:eastAsiaTheme="minorEastAsia" w:hAnsi="Arial" w:cs="Arial"/>
          <w:b/>
          <w:bCs/>
        </w:rPr>
      </w:pPr>
      <w:r w:rsidRPr="00F61EAA">
        <w:rPr>
          <w:rFonts w:ascii="Arial" w:eastAsia="Yu Mincho" w:hAnsi="Arial" w:cs="Arial"/>
          <w:b/>
          <w:bCs/>
          <w:lang w:eastAsia="ja-JP"/>
        </w:rPr>
        <w:t>RAN5#10</w:t>
      </w:r>
      <w:r w:rsidRPr="00F61EAA">
        <w:rPr>
          <w:rFonts w:ascii="Arial" w:eastAsiaTheme="minorEastAsia" w:hAnsi="Arial" w:cs="Arial" w:hint="eastAsia"/>
          <w:b/>
          <w:bCs/>
        </w:rPr>
        <w:t>8</w:t>
      </w:r>
    </w:p>
    <w:p w14:paraId="5EA1A05F" w14:textId="7BB8A5A1"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R5-255210</w:t>
      </w:r>
      <w:r w:rsidRPr="00F61EAA">
        <w:rPr>
          <w:rFonts w:ascii="Arial" w:eastAsia="Yu Mincho" w:hAnsi="Arial" w:cs="Arial"/>
          <w:kern w:val="2"/>
          <w:lang w:val="en-US" w:eastAsia="ja-JP"/>
        </w:rPr>
        <w:tab/>
        <w:t>Addition of RF baseline implementation capabilities for new PC2 R18 EN-DC combos</w:t>
      </w:r>
      <w:r w:rsidR="00505C55" w:rsidRPr="00F61EAA">
        <w:rPr>
          <w:rFonts w:ascii="Arial" w:eastAsiaTheme="minorEastAsia" w:hAnsi="Arial" w:cs="Arial" w:hint="eastAsia"/>
          <w:kern w:val="2"/>
          <w:lang w:val="en-US"/>
        </w:rPr>
        <w:t xml:space="preserve"> </w:t>
      </w:r>
      <w:r w:rsidRPr="00F61EAA">
        <w:rPr>
          <w:rFonts w:ascii="Arial" w:eastAsia="Yu Mincho" w:hAnsi="Arial" w:cs="Arial"/>
          <w:kern w:val="2"/>
          <w:lang w:val="en-US" w:eastAsia="ja-JP"/>
        </w:rPr>
        <w:t>within FR1</w:t>
      </w:r>
      <w:r w:rsidRPr="00F61EAA">
        <w:rPr>
          <w:rFonts w:ascii="Arial" w:eastAsia="Yu Mincho" w:hAnsi="Arial" w:cs="Arial"/>
          <w:kern w:val="2"/>
          <w:lang w:val="en-US" w:eastAsia="ja-JP"/>
        </w:rPr>
        <w:tab/>
        <w:t>KDDI Corporation</w:t>
      </w:r>
    </w:p>
    <w:p w14:paraId="79924EA0"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R5-255211</w:t>
      </w:r>
      <w:r w:rsidRPr="00F61EAA">
        <w:rPr>
          <w:rFonts w:ascii="Arial" w:eastAsia="Yu Mincho" w:hAnsi="Arial" w:cs="Arial"/>
          <w:kern w:val="2"/>
          <w:lang w:val="en-US" w:eastAsia="ja-JP"/>
        </w:rPr>
        <w:tab/>
        <w:t>Updates for a few three band combos with UL CA with PC2 n77</w:t>
      </w:r>
      <w:r w:rsidRPr="00F61EAA">
        <w:rPr>
          <w:rFonts w:ascii="Arial" w:eastAsia="Yu Mincho" w:hAnsi="Arial" w:cs="Arial"/>
          <w:kern w:val="2"/>
          <w:lang w:val="en-US" w:eastAsia="ja-JP"/>
        </w:rPr>
        <w:tab/>
        <w:t>Verizon Finland</w:t>
      </w:r>
    </w:p>
    <w:p w14:paraId="7CDF427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R5-255299</w:t>
      </w:r>
      <w:r w:rsidRPr="00F61EAA">
        <w:rPr>
          <w:rFonts w:ascii="Arial" w:eastAsia="Yu Mincho" w:hAnsi="Arial" w:cs="Arial"/>
          <w:kern w:val="2"/>
          <w:lang w:val="en-US" w:eastAsia="ja-JP"/>
        </w:rPr>
        <w:tab/>
        <w:t>Addition of UE capability for Rel18 PC2 NR CA configurations</w:t>
      </w:r>
      <w:r w:rsidRPr="00F61EAA">
        <w:rPr>
          <w:rFonts w:ascii="Arial" w:eastAsia="Yu Mincho" w:hAnsi="Arial" w:cs="Arial"/>
          <w:kern w:val="2"/>
          <w:lang w:val="en-US" w:eastAsia="ja-JP"/>
        </w:rPr>
        <w:tab/>
        <w:t>NTT DOCOMO INC.</w:t>
      </w:r>
    </w:p>
    <w:p w14:paraId="1C05B044"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R5-255249</w:t>
      </w:r>
      <w:r w:rsidRPr="00F61EAA">
        <w:rPr>
          <w:rFonts w:ascii="Arial" w:eastAsia="Yu Mincho" w:hAnsi="Arial" w:cs="Arial"/>
          <w:kern w:val="2"/>
          <w:lang w:val="en-US" w:eastAsia="ja-JP"/>
        </w:rPr>
        <w:tab/>
        <w:t>Adding testing for CA_n8A-n78A for Power Class 2 UE in maximum output power</w:t>
      </w:r>
      <w:r w:rsidRPr="00F61EAA">
        <w:rPr>
          <w:rFonts w:ascii="Arial" w:eastAsia="Yu Mincho" w:hAnsi="Arial" w:cs="Arial"/>
          <w:kern w:val="2"/>
          <w:lang w:val="en-US" w:eastAsia="ja-JP"/>
        </w:rPr>
        <w:tab/>
        <w:t>Huawei, HiSilicon</w:t>
      </w:r>
    </w:p>
    <w:p w14:paraId="2147DCD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R5-254650</w:t>
      </w:r>
      <w:r w:rsidRPr="00F61EAA">
        <w:rPr>
          <w:rFonts w:ascii="Arial" w:eastAsia="Yu Mincho" w:hAnsi="Arial" w:cs="Arial"/>
          <w:kern w:val="2"/>
          <w:lang w:val="en-US" w:eastAsia="ja-JP"/>
        </w:rPr>
        <w:tab/>
        <w:t>Addition of MOP for Rel18 PC2 NR CA configurations</w:t>
      </w:r>
      <w:r w:rsidRPr="00F61EAA">
        <w:rPr>
          <w:rFonts w:ascii="Arial" w:eastAsia="Yu Mincho" w:hAnsi="Arial" w:cs="Arial"/>
          <w:kern w:val="2"/>
          <w:lang w:val="en-US" w:eastAsia="ja-JP"/>
        </w:rPr>
        <w:tab/>
        <w:t>NTT DOCOMO INC.</w:t>
      </w:r>
    </w:p>
    <w:p w14:paraId="5CF12B61"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R5-254634</w:t>
      </w:r>
      <w:r w:rsidRPr="00F61EAA">
        <w:rPr>
          <w:rFonts w:ascii="Arial" w:eastAsia="Yu Mincho" w:hAnsi="Arial" w:cs="Arial"/>
          <w:kern w:val="2"/>
          <w:lang w:val="en-US" w:eastAsia="ja-JP"/>
        </w:rPr>
        <w:tab/>
        <w:t>Addition of REFSENS for Rel18 PC2 NR CA configurations</w:t>
      </w:r>
      <w:r w:rsidRPr="00F61EAA">
        <w:rPr>
          <w:rFonts w:ascii="Arial" w:eastAsia="Yu Mincho" w:hAnsi="Arial" w:cs="Arial"/>
          <w:kern w:val="2"/>
          <w:lang w:val="en-US" w:eastAsia="ja-JP"/>
        </w:rPr>
        <w:tab/>
        <w:t>NTT DOCOMO INC.</w:t>
      </w:r>
    </w:p>
    <w:p w14:paraId="2B1A164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R5-255221</w:t>
      </w:r>
      <w:r w:rsidRPr="00F61EAA">
        <w:rPr>
          <w:rFonts w:ascii="Arial" w:eastAsia="Yu Mincho" w:hAnsi="Arial" w:cs="Arial"/>
          <w:kern w:val="2"/>
          <w:lang w:val="en-US" w:eastAsia="ja-JP"/>
        </w:rPr>
        <w:tab/>
        <w:t>Addition of reference sensitivity requirements for Rel-18 2DL CA for HPUE</w:t>
      </w:r>
      <w:r w:rsidRPr="00F61EAA">
        <w:rPr>
          <w:rFonts w:ascii="Arial" w:eastAsia="Yu Mincho" w:hAnsi="Arial" w:cs="Arial"/>
          <w:kern w:val="2"/>
          <w:lang w:val="en-US" w:eastAsia="ja-JP"/>
        </w:rPr>
        <w:tab/>
        <w:t>Anritsu, NTT DOCOMO INC.</w:t>
      </w:r>
    </w:p>
    <w:p w14:paraId="22D6A80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R5-255250</w:t>
      </w:r>
      <w:r w:rsidRPr="00F61EAA">
        <w:rPr>
          <w:rFonts w:ascii="Arial" w:eastAsia="Yu Mincho" w:hAnsi="Arial" w:cs="Arial"/>
          <w:kern w:val="2"/>
          <w:lang w:val="en-US" w:eastAsia="ja-JP"/>
        </w:rPr>
        <w:tab/>
        <w:t>Updates for some combos with UL high power support on n77</w:t>
      </w:r>
      <w:r w:rsidRPr="00F61EAA">
        <w:rPr>
          <w:rFonts w:ascii="Arial" w:eastAsia="Yu Mincho" w:hAnsi="Arial" w:cs="Arial"/>
          <w:kern w:val="2"/>
          <w:lang w:val="en-US" w:eastAsia="ja-JP"/>
        </w:rPr>
        <w:tab/>
        <w:t>Verizon Finland</w:t>
      </w:r>
    </w:p>
    <w:p w14:paraId="1FF8A10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R5-255251</w:t>
      </w:r>
      <w:r w:rsidRPr="00F61EAA">
        <w:rPr>
          <w:rFonts w:ascii="Arial" w:eastAsia="Yu Mincho" w:hAnsi="Arial" w:cs="Arial"/>
          <w:kern w:val="2"/>
          <w:lang w:val="en-US" w:eastAsia="ja-JP"/>
        </w:rPr>
        <w:tab/>
        <w:t>Update to FR1 CA Configurations for R1 PC2 and PC1.5 band combos</w:t>
      </w:r>
      <w:r w:rsidRPr="00F61EAA">
        <w:rPr>
          <w:rFonts w:ascii="Arial" w:eastAsia="Yu Mincho" w:hAnsi="Arial" w:cs="Arial"/>
          <w:kern w:val="2"/>
          <w:lang w:val="en-US" w:eastAsia="ja-JP"/>
        </w:rPr>
        <w:tab/>
        <w:t>NTT DOCOMO INC.</w:t>
      </w:r>
    </w:p>
    <w:p w14:paraId="20477CBD"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R5-254132</w:t>
      </w:r>
      <w:r w:rsidRPr="00F61EAA">
        <w:rPr>
          <w:rFonts w:ascii="Arial" w:eastAsia="Yu Mincho" w:hAnsi="Arial" w:cs="Arial"/>
          <w:kern w:val="2"/>
          <w:lang w:val="en-US" w:eastAsia="ja-JP"/>
        </w:rPr>
        <w:tab/>
        <w:t>Addition of UE maximum output power for new EN-DC combos within FR1</w:t>
      </w:r>
      <w:r w:rsidRPr="00F61EAA">
        <w:rPr>
          <w:rFonts w:ascii="Arial" w:eastAsia="Yu Mincho" w:hAnsi="Arial" w:cs="Arial"/>
          <w:kern w:val="2"/>
          <w:lang w:val="en-US" w:eastAsia="ja-JP"/>
        </w:rPr>
        <w:tab/>
        <w:t>KDDI Corporation</w:t>
      </w:r>
    </w:p>
    <w:p w14:paraId="718932A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R5-255217</w:t>
      </w:r>
      <w:r w:rsidRPr="00F61EAA">
        <w:rPr>
          <w:rFonts w:ascii="Arial" w:eastAsia="Yu Mincho" w:hAnsi="Arial" w:cs="Arial"/>
          <w:kern w:val="2"/>
          <w:lang w:val="en-US" w:eastAsia="ja-JP"/>
        </w:rPr>
        <w:tab/>
        <w:t>Addition of reference sensitivity for new PC2 EN-DC combos within FR1</w:t>
      </w:r>
      <w:r w:rsidRPr="00F61EAA">
        <w:rPr>
          <w:rFonts w:ascii="Arial" w:eastAsia="Yu Mincho" w:hAnsi="Arial" w:cs="Arial"/>
          <w:kern w:val="2"/>
          <w:lang w:val="en-US" w:eastAsia="ja-JP"/>
        </w:rPr>
        <w:tab/>
        <w:t>KDDI Corporation</w:t>
      </w:r>
    </w:p>
    <w:p w14:paraId="37692243"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R5-254757</w:t>
      </w:r>
      <w:r w:rsidRPr="00F61EAA">
        <w:rPr>
          <w:rFonts w:ascii="Arial" w:eastAsia="Yu Mincho" w:hAnsi="Arial" w:cs="Arial"/>
          <w:kern w:val="2"/>
          <w:lang w:val="en-US" w:eastAsia="ja-JP"/>
        </w:rPr>
        <w:tab/>
        <w:t>Addition of reference sensitivity requirements for Rel-18 FR1 2CC EN-DC for HPUE</w:t>
      </w:r>
      <w:r w:rsidRPr="00F61EAA">
        <w:rPr>
          <w:rFonts w:ascii="Arial" w:eastAsia="Yu Mincho" w:hAnsi="Arial" w:cs="Arial"/>
          <w:kern w:val="2"/>
          <w:lang w:val="en-US" w:eastAsia="ja-JP"/>
        </w:rPr>
        <w:tab/>
        <w:t>Anritsu, KDDI Corporation</w:t>
      </w:r>
    </w:p>
    <w:p w14:paraId="575425E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R5-254761</w:t>
      </w:r>
      <w:r w:rsidRPr="00F61EAA">
        <w:rPr>
          <w:rFonts w:ascii="Arial" w:eastAsia="Yu Mincho" w:hAnsi="Arial" w:cs="Arial"/>
          <w:kern w:val="2"/>
          <w:lang w:val="en-US" w:eastAsia="ja-JP"/>
        </w:rPr>
        <w:tab/>
        <w:t>Addition of reference sensitivity requirements for Rel-18 FR1 3CC EN-DC for HPUE</w:t>
      </w:r>
      <w:r w:rsidRPr="00F61EAA">
        <w:rPr>
          <w:rFonts w:ascii="Arial" w:eastAsia="Yu Mincho" w:hAnsi="Arial" w:cs="Arial"/>
          <w:kern w:val="2"/>
          <w:lang w:val="en-US" w:eastAsia="ja-JP"/>
        </w:rPr>
        <w:tab/>
        <w:t>Anritsu, KDDI Corporation</w:t>
      </w:r>
    </w:p>
    <w:p w14:paraId="523EE649"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R5-255218</w:t>
      </w:r>
      <w:r w:rsidRPr="00F61EAA">
        <w:rPr>
          <w:rFonts w:ascii="Arial" w:eastAsia="Yu Mincho" w:hAnsi="Arial" w:cs="Arial"/>
          <w:kern w:val="2"/>
          <w:lang w:val="en-US" w:eastAsia="ja-JP"/>
        </w:rPr>
        <w:tab/>
        <w:t>Addition of reference sensitivity TP analysis for new EN-DC combos within FR1</w:t>
      </w:r>
      <w:r w:rsidRPr="00F61EAA">
        <w:rPr>
          <w:rFonts w:ascii="Arial" w:eastAsia="Yu Mincho" w:hAnsi="Arial" w:cs="Arial"/>
          <w:kern w:val="2"/>
          <w:lang w:val="en-US" w:eastAsia="ja-JP"/>
        </w:rPr>
        <w:tab/>
        <w:t>KDDI Corporation</w:t>
      </w:r>
    </w:p>
    <w:p w14:paraId="5215506A"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R5-255220</w:t>
      </w:r>
      <w:r w:rsidRPr="00F61EAA">
        <w:rPr>
          <w:rFonts w:ascii="Arial" w:eastAsia="Yu Mincho" w:hAnsi="Arial" w:cs="Arial"/>
          <w:kern w:val="2"/>
          <w:lang w:val="en-US" w:eastAsia="ja-JP"/>
        </w:rPr>
        <w:tab/>
        <w:t>Addition of REFSENS TP analysis for Rel18 HPUE NR CA configurations</w:t>
      </w:r>
      <w:r w:rsidRPr="00F61EAA">
        <w:rPr>
          <w:rFonts w:ascii="Arial" w:eastAsia="Yu Mincho" w:hAnsi="Arial" w:cs="Arial"/>
          <w:kern w:val="2"/>
          <w:lang w:val="en-US" w:eastAsia="ja-JP"/>
        </w:rPr>
        <w:tab/>
        <w:t>NTT DOCOMO INC.</w:t>
      </w:r>
    </w:p>
    <w:p w14:paraId="6DCB73C3" w14:textId="16BAE0CE" w:rsidR="00241D86"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R5-255222</w:t>
      </w:r>
      <w:r w:rsidRPr="00F61EAA">
        <w:rPr>
          <w:rFonts w:ascii="Arial" w:eastAsia="Yu Mincho" w:hAnsi="Arial" w:cs="Arial"/>
          <w:kern w:val="2"/>
          <w:lang w:val="en-US" w:eastAsia="ja-JP"/>
        </w:rPr>
        <w:tab/>
        <w:t>TP analysis for REFSENS for CA_n8A_n78A for PC2 UE</w:t>
      </w:r>
      <w:r w:rsidRPr="00F61EAA">
        <w:rPr>
          <w:rFonts w:ascii="Arial" w:eastAsia="Yu Mincho" w:hAnsi="Arial" w:cs="Arial"/>
          <w:kern w:val="2"/>
          <w:lang w:val="en-US" w:eastAsia="ja-JP"/>
        </w:rPr>
        <w:tab/>
        <w:t>Huawei, HiSilicon</w:t>
      </w:r>
    </w:p>
    <w:p w14:paraId="05E82A4A" w14:textId="77777777" w:rsidR="00F61EAA" w:rsidRDefault="00F61EAA" w:rsidP="00F61EAA">
      <w:pPr>
        <w:snapToGrid w:val="0"/>
        <w:rPr>
          <w:rFonts w:ascii="Arial" w:eastAsiaTheme="minorEastAsia" w:hAnsi="Arial" w:cs="Arial"/>
          <w:b/>
          <w:bCs/>
        </w:rPr>
      </w:pPr>
    </w:p>
    <w:p w14:paraId="2291032A" w14:textId="0692247F" w:rsidR="00F61EAA" w:rsidRPr="005A4652" w:rsidRDefault="00F61EAA" w:rsidP="00F61EAA">
      <w:pPr>
        <w:snapToGrid w:val="0"/>
        <w:ind w:firstLine="200"/>
        <w:rPr>
          <w:rFonts w:ascii="Arial" w:eastAsiaTheme="minorEastAsia" w:hAnsi="Arial" w:cs="Arial"/>
          <w:b/>
          <w:bCs/>
          <w:highlight w:val="yellow"/>
        </w:rPr>
      </w:pPr>
      <w:r w:rsidRPr="005A4652">
        <w:rPr>
          <w:rFonts w:ascii="Arial" w:eastAsia="Yu Mincho" w:hAnsi="Arial" w:cs="Arial"/>
          <w:b/>
          <w:bCs/>
          <w:highlight w:val="yellow"/>
          <w:lang w:eastAsia="ja-JP"/>
        </w:rPr>
        <w:t>RAN5#10</w:t>
      </w:r>
      <w:r w:rsidR="005A4652" w:rsidRPr="005A4652">
        <w:rPr>
          <w:rFonts w:ascii="Arial" w:eastAsiaTheme="minorEastAsia" w:hAnsi="Arial" w:cs="Arial" w:hint="eastAsia"/>
          <w:b/>
          <w:bCs/>
          <w:highlight w:val="yellow"/>
        </w:rPr>
        <w:t>9</w:t>
      </w:r>
    </w:p>
    <w:p w14:paraId="3CBFDCCC"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R5-256805</w:t>
      </w:r>
      <w:r w:rsidRPr="005A4652">
        <w:rPr>
          <w:rFonts w:ascii="Arial" w:eastAsia="Yu Mincho" w:hAnsi="Arial" w:cs="Arial"/>
          <w:kern w:val="2"/>
          <w:highlight w:val="yellow"/>
          <w:lang w:val="en-US" w:eastAsia="ja-JP"/>
        </w:rPr>
        <w:tab/>
        <w:t>Addition of UE capability for Rel18 PC2 NR CA with UL CA</w:t>
      </w:r>
      <w:r w:rsidRPr="005A4652">
        <w:rPr>
          <w:rFonts w:ascii="Arial" w:eastAsia="Yu Mincho" w:hAnsi="Arial" w:cs="Arial"/>
          <w:kern w:val="2"/>
          <w:highlight w:val="yellow"/>
          <w:lang w:val="en-US" w:eastAsia="ja-JP"/>
        </w:rPr>
        <w:tab/>
        <w:t>KDDI Corporation (TTC)</w:t>
      </w:r>
    </w:p>
    <w:p w14:paraId="278653C1"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R5-256806</w:t>
      </w:r>
      <w:r w:rsidRPr="005A4652">
        <w:rPr>
          <w:rFonts w:ascii="Arial" w:eastAsia="Yu Mincho" w:hAnsi="Arial" w:cs="Arial"/>
          <w:kern w:val="2"/>
          <w:highlight w:val="yellow"/>
          <w:lang w:val="en-US" w:eastAsia="ja-JP"/>
        </w:rPr>
        <w:tab/>
        <w:t>Updates of RF baseline implementation capabilities for PC2 EN-DC configurations</w:t>
      </w:r>
      <w:r w:rsidRPr="005A4652">
        <w:rPr>
          <w:rFonts w:ascii="Arial" w:eastAsia="Yu Mincho" w:hAnsi="Arial" w:cs="Arial"/>
          <w:kern w:val="2"/>
          <w:highlight w:val="yellow"/>
          <w:lang w:val="en-US" w:eastAsia="ja-JP"/>
        </w:rPr>
        <w:tab/>
        <w:t>KT Corp.</w:t>
      </w:r>
    </w:p>
    <w:p w14:paraId="6747DE30"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R5-255916</w:t>
      </w:r>
      <w:r w:rsidRPr="005A4652">
        <w:rPr>
          <w:rFonts w:ascii="Arial" w:eastAsia="Yu Mincho" w:hAnsi="Arial" w:cs="Arial"/>
          <w:kern w:val="2"/>
          <w:highlight w:val="yellow"/>
          <w:lang w:val="en-US" w:eastAsia="ja-JP"/>
        </w:rPr>
        <w:tab/>
        <w:t>Addition of MOP for Rel18 PC2 NR CA configurations</w:t>
      </w:r>
      <w:r w:rsidRPr="005A4652">
        <w:rPr>
          <w:rFonts w:ascii="Arial" w:eastAsia="Yu Mincho" w:hAnsi="Arial" w:cs="Arial"/>
          <w:kern w:val="2"/>
          <w:highlight w:val="yellow"/>
          <w:lang w:val="en-US" w:eastAsia="ja-JP"/>
        </w:rPr>
        <w:tab/>
        <w:t>NTT DOCOMO INC.</w:t>
      </w:r>
    </w:p>
    <w:p w14:paraId="4B23D7CA"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R5-256963</w:t>
      </w:r>
      <w:r w:rsidRPr="005A4652">
        <w:rPr>
          <w:rFonts w:ascii="Arial" w:eastAsia="Yu Mincho" w:hAnsi="Arial" w:cs="Arial"/>
          <w:kern w:val="2"/>
          <w:highlight w:val="yellow"/>
          <w:lang w:val="en-US" w:eastAsia="ja-JP"/>
        </w:rPr>
        <w:tab/>
        <w:t>Addition of REFSENS for Rel18 PC1.5 NR CA configurations</w:t>
      </w:r>
      <w:r w:rsidRPr="005A4652">
        <w:rPr>
          <w:rFonts w:ascii="Arial" w:eastAsia="Yu Mincho" w:hAnsi="Arial" w:cs="Arial"/>
          <w:kern w:val="2"/>
          <w:highlight w:val="yellow"/>
          <w:lang w:val="en-US" w:eastAsia="ja-JP"/>
        </w:rPr>
        <w:tab/>
        <w:t>NTT DOCOMO INC.</w:t>
      </w:r>
    </w:p>
    <w:p w14:paraId="391A3FFE"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R5-256817</w:t>
      </w:r>
      <w:r w:rsidRPr="005A4652">
        <w:rPr>
          <w:rFonts w:ascii="Arial" w:eastAsia="Yu Mincho" w:hAnsi="Arial" w:cs="Arial"/>
          <w:kern w:val="2"/>
          <w:highlight w:val="yellow"/>
          <w:lang w:val="en-US" w:eastAsia="ja-JP"/>
        </w:rPr>
        <w:tab/>
        <w:t>Addition of notes for PC2 NRCA combos with UL CA</w:t>
      </w:r>
      <w:r w:rsidRPr="005A4652">
        <w:rPr>
          <w:rFonts w:ascii="Arial" w:eastAsia="Yu Mincho" w:hAnsi="Arial" w:cs="Arial"/>
          <w:kern w:val="2"/>
          <w:highlight w:val="yellow"/>
          <w:lang w:val="en-US" w:eastAsia="ja-JP"/>
        </w:rPr>
        <w:tab/>
        <w:t>KDDI Corporation (TTC)</w:t>
      </w:r>
    </w:p>
    <w:p w14:paraId="3F15C46C"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R5-255931</w:t>
      </w:r>
      <w:r w:rsidRPr="005A4652">
        <w:rPr>
          <w:rFonts w:ascii="Arial" w:eastAsia="Yu Mincho" w:hAnsi="Arial" w:cs="Arial"/>
          <w:kern w:val="2"/>
          <w:highlight w:val="yellow"/>
          <w:lang w:val="en-US" w:eastAsia="ja-JP"/>
        </w:rPr>
        <w:tab/>
        <w:t>Update to MOP for Rel18 PC2 ENDC band combos</w:t>
      </w:r>
      <w:r w:rsidRPr="005A4652">
        <w:rPr>
          <w:rFonts w:ascii="Arial" w:eastAsia="Yu Mincho" w:hAnsi="Arial" w:cs="Arial"/>
          <w:kern w:val="2"/>
          <w:highlight w:val="yellow"/>
          <w:lang w:val="en-US" w:eastAsia="ja-JP"/>
        </w:rPr>
        <w:tab/>
        <w:t>NTT DOCOMO INC.</w:t>
      </w:r>
    </w:p>
    <w:p w14:paraId="411D3236"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R5-256839</w:t>
      </w:r>
      <w:r w:rsidRPr="005A4652">
        <w:rPr>
          <w:rFonts w:ascii="Arial" w:eastAsia="Yu Mincho" w:hAnsi="Arial" w:cs="Arial"/>
          <w:kern w:val="2"/>
          <w:highlight w:val="yellow"/>
          <w:lang w:val="en-US" w:eastAsia="ja-JP"/>
        </w:rPr>
        <w:tab/>
        <w:t>Corrections on reference sensitivity test requirement table for PC2 EN-DC configurations</w:t>
      </w:r>
      <w:r w:rsidRPr="005A4652">
        <w:rPr>
          <w:rFonts w:ascii="Arial" w:eastAsia="Yu Mincho" w:hAnsi="Arial" w:cs="Arial"/>
          <w:kern w:val="2"/>
          <w:highlight w:val="yellow"/>
          <w:lang w:val="en-US" w:eastAsia="ja-JP"/>
        </w:rPr>
        <w:tab/>
        <w:t>ZTE Corporation</w:t>
      </w:r>
    </w:p>
    <w:p w14:paraId="181C0654"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R5-256561</w:t>
      </w:r>
      <w:r w:rsidRPr="005A4652">
        <w:rPr>
          <w:rFonts w:ascii="Arial" w:eastAsia="Yu Mincho" w:hAnsi="Arial" w:cs="Arial"/>
          <w:kern w:val="2"/>
          <w:highlight w:val="yellow"/>
          <w:lang w:val="en-US" w:eastAsia="ja-JP"/>
        </w:rPr>
        <w:tab/>
        <w:t>Addition of UE maximum output power for PC2 EN-DC configuration</w:t>
      </w:r>
      <w:r w:rsidRPr="005A4652">
        <w:rPr>
          <w:rFonts w:ascii="Arial" w:eastAsia="Yu Mincho" w:hAnsi="Arial" w:cs="Arial"/>
          <w:kern w:val="2"/>
          <w:highlight w:val="yellow"/>
          <w:lang w:val="en-US" w:eastAsia="ja-JP"/>
        </w:rPr>
        <w:tab/>
        <w:t>KT Corp.</w:t>
      </w:r>
    </w:p>
    <w:p w14:paraId="062B8DA6"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R5-256961</w:t>
      </w:r>
      <w:r w:rsidRPr="005A4652">
        <w:rPr>
          <w:rFonts w:ascii="Arial" w:eastAsia="Yu Mincho" w:hAnsi="Arial" w:cs="Arial"/>
          <w:kern w:val="2"/>
          <w:highlight w:val="yellow"/>
          <w:lang w:val="en-US" w:eastAsia="ja-JP"/>
        </w:rPr>
        <w:tab/>
        <w:t>Correction of DL frequency in band 19 for DC_19A-21A_n79A REFSENS testing - PC2</w:t>
      </w:r>
      <w:r w:rsidRPr="005A4652">
        <w:rPr>
          <w:rFonts w:ascii="Arial" w:eastAsia="Yu Mincho" w:hAnsi="Arial" w:cs="Arial"/>
          <w:kern w:val="2"/>
          <w:highlight w:val="yellow"/>
          <w:lang w:val="en-US" w:eastAsia="ja-JP"/>
        </w:rPr>
        <w:tab/>
        <w:t>Keysight Technologies UK Ltd</w:t>
      </w:r>
    </w:p>
    <w:p w14:paraId="179FADA4" w14:textId="4FE5D792" w:rsidR="005A68FD"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A4652">
        <w:rPr>
          <w:rFonts w:ascii="Arial" w:eastAsia="Yu Mincho" w:hAnsi="Arial" w:cs="Arial"/>
          <w:kern w:val="2"/>
          <w:highlight w:val="yellow"/>
          <w:lang w:val="en-US" w:eastAsia="ja-JP"/>
        </w:rPr>
        <w:lastRenderedPageBreak/>
        <w:t>R5-256962</w:t>
      </w:r>
      <w:r w:rsidRPr="005A4652">
        <w:rPr>
          <w:rFonts w:ascii="Arial" w:eastAsia="Yu Mincho" w:hAnsi="Arial" w:cs="Arial"/>
          <w:kern w:val="2"/>
          <w:highlight w:val="yellow"/>
          <w:lang w:val="en-US" w:eastAsia="ja-JP"/>
        </w:rPr>
        <w:tab/>
        <w:t>Addition of REFSENS TP analysis for Rel18 NR CA configurations</w:t>
      </w:r>
      <w:r w:rsidRPr="005A4652">
        <w:rPr>
          <w:rFonts w:ascii="Arial" w:eastAsia="Yu Mincho" w:hAnsi="Arial" w:cs="Arial"/>
          <w:kern w:val="2"/>
          <w:highlight w:val="yellow"/>
          <w:lang w:val="en-US" w:eastAsia="ja-JP"/>
        </w:rPr>
        <w:tab/>
        <w:t>NTT DOCOMO INC</w:t>
      </w:r>
      <w:r w:rsidRPr="005A4652">
        <w:rPr>
          <w:rFonts w:ascii="Arial" w:eastAsia="Yu Mincho" w:hAnsi="Arial" w:cs="Arial"/>
          <w:kern w:val="2"/>
          <w:lang w:val="en-US" w:eastAsia="ja-JP"/>
        </w:rPr>
        <w:t>.</w:t>
      </w: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0A366A0D"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6647A712"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DE24139"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77C38F1" w14:textId="77777777" w:rsidR="007C09AA" w:rsidRPr="00136E91" w:rsidRDefault="007C09AA"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168A" w14:textId="77777777" w:rsidR="00426B7B" w:rsidRDefault="00426B7B">
      <w:r>
        <w:separator/>
      </w:r>
    </w:p>
  </w:endnote>
  <w:endnote w:type="continuationSeparator" w:id="0">
    <w:p w14:paraId="3ACDAA44" w14:textId="77777777" w:rsidR="00426B7B" w:rsidRDefault="0042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A16E" w14:textId="77777777" w:rsidR="00426B7B" w:rsidRDefault="00426B7B">
      <w:r>
        <w:separator/>
      </w:r>
    </w:p>
  </w:footnote>
  <w:footnote w:type="continuationSeparator" w:id="0">
    <w:p w14:paraId="3EEA186E" w14:textId="77777777" w:rsidR="00426B7B" w:rsidRDefault="0042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1D86"/>
    <w:rsid w:val="00243A99"/>
    <w:rsid w:val="00246E7A"/>
    <w:rsid w:val="002576AA"/>
    <w:rsid w:val="0027594E"/>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1855"/>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0F77"/>
    <w:rsid w:val="004121B8"/>
    <w:rsid w:val="004211AE"/>
    <w:rsid w:val="004258BA"/>
    <w:rsid w:val="00426B7B"/>
    <w:rsid w:val="00426CE1"/>
    <w:rsid w:val="004343F0"/>
    <w:rsid w:val="00436ADA"/>
    <w:rsid w:val="00442B24"/>
    <w:rsid w:val="004531C9"/>
    <w:rsid w:val="00455E75"/>
    <w:rsid w:val="00455E96"/>
    <w:rsid w:val="00457D91"/>
    <w:rsid w:val="00460C31"/>
    <w:rsid w:val="00464E5B"/>
    <w:rsid w:val="0047055A"/>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4652"/>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53B"/>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07D3"/>
    <w:rsid w:val="006E3F11"/>
    <w:rsid w:val="006E526C"/>
    <w:rsid w:val="006E6689"/>
    <w:rsid w:val="006E7872"/>
    <w:rsid w:val="006F59B0"/>
    <w:rsid w:val="00701410"/>
    <w:rsid w:val="00703E58"/>
    <w:rsid w:val="00706DFB"/>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246E"/>
    <w:rsid w:val="007A3A5A"/>
    <w:rsid w:val="007A4370"/>
    <w:rsid w:val="007A4773"/>
    <w:rsid w:val="007C09AA"/>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0B3C"/>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15591"/>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E5B97"/>
    <w:rsid w:val="00CF5E71"/>
    <w:rsid w:val="00CF7FAC"/>
    <w:rsid w:val="00D04287"/>
    <w:rsid w:val="00D160C1"/>
    <w:rsid w:val="00D17794"/>
    <w:rsid w:val="00D22398"/>
    <w:rsid w:val="00D35E6C"/>
    <w:rsid w:val="00D415EA"/>
    <w:rsid w:val="00D436CF"/>
    <w:rsid w:val="00D45B2F"/>
    <w:rsid w:val="00D46E88"/>
    <w:rsid w:val="00D60BD6"/>
    <w:rsid w:val="00D613A9"/>
    <w:rsid w:val="00D65461"/>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49D"/>
    <w:rsid w:val="00E65D08"/>
    <w:rsid w:val="00E6618E"/>
    <w:rsid w:val="00E67D56"/>
    <w:rsid w:val="00E77436"/>
    <w:rsid w:val="00E81C1B"/>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61EAA"/>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EA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2025</TotalTime>
  <Pages>6</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189</cp:revision>
  <dcterms:created xsi:type="dcterms:W3CDTF">2021-11-23T02:45:00Z</dcterms:created>
  <dcterms:modified xsi:type="dcterms:W3CDTF">2025-11-21T14:54:00Z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