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77AE978D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80D31">
        <w:rPr>
          <w:b/>
          <w:noProof/>
          <w:sz w:val="24"/>
        </w:rPr>
        <w:t>7</w:t>
      </w:r>
      <w:fldSimple w:instr=" DOCPROPERTY  MtgTitle  \* MERGEFORMAT "/>
      <w:r w:rsidR="00CD6749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</w:t>
      </w:r>
      <w:r w:rsidR="00205EE5">
        <w:rPr>
          <w:b/>
          <w:i/>
          <w:noProof/>
          <w:sz w:val="28"/>
        </w:rPr>
        <w:t>3017</w:t>
      </w:r>
    </w:p>
    <w:p w14:paraId="15902B72" w14:textId="07958313" w:rsidR="00A45459" w:rsidRDefault="00106A66" w:rsidP="00A454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 Julian's</w:t>
        </w:r>
      </w:fldSimple>
      <w:r w:rsidR="00A45459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A45459">
        <w:rPr>
          <w:b/>
          <w:noProof/>
          <w:sz w:val="24"/>
        </w:rPr>
        <w:t xml:space="preserve">, </w:t>
      </w:r>
      <w:fldSimple w:instr=" DOCPROPERTY  StartDate  \* MERGEFORMAT ">
        <w:r w:rsidR="00A45459" w:rsidRPr="00BA51D9">
          <w:rPr>
            <w:b/>
            <w:noProof/>
            <w:sz w:val="24"/>
          </w:rPr>
          <w:t>1</w:t>
        </w:r>
        <w:r w:rsidR="00E80D31">
          <w:rPr>
            <w:b/>
            <w:noProof/>
            <w:sz w:val="24"/>
          </w:rPr>
          <w:t>9</w:t>
        </w:r>
        <w:r w:rsidR="00A45459" w:rsidRPr="00BA51D9">
          <w:rPr>
            <w:b/>
            <w:noProof/>
            <w:sz w:val="24"/>
          </w:rPr>
          <w:t xml:space="preserve">th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  <w:r w:rsidR="00A45459">
        <w:rPr>
          <w:b/>
          <w:noProof/>
          <w:sz w:val="24"/>
        </w:rPr>
        <w:t xml:space="preserve"> </w:t>
      </w:r>
      <w:r w:rsidR="00F00BAB">
        <w:rPr>
          <w:b/>
          <w:noProof/>
          <w:sz w:val="24"/>
        </w:rPr>
        <w:t>–</w:t>
      </w:r>
      <w:r w:rsidR="00A45459">
        <w:rPr>
          <w:b/>
          <w:noProof/>
          <w:sz w:val="24"/>
        </w:rPr>
        <w:t xml:space="preserve"> </w:t>
      </w:r>
      <w:fldSimple w:instr=" DOCPROPERTY  EndDate  \* MERGEFORMAT ">
        <w:r w:rsidR="00A45459" w:rsidRPr="00BA51D9">
          <w:rPr>
            <w:b/>
            <w:noProof/>
            <w:sz w:val="24"/>
          </w:rPr>
          <w:t>2</w:t>
        </w:r>
        <w:r w:rsidR="00E80D31">
          <w:rPr>
            <w:b/>
            <w:noProof/>
            <w:sz w:val="24"/>
          </w:rPr>
          <w:t>3</w:t>
        </w:r>
        <w:r w:rsidR="00F00BAB">
          <w:rPr>
            <w:b/>
            <w:noProof/>
            <w:sz w:val="24"/>
          </w:rPr>
          <w:t>rd</w:t>
        </w:r>
        <w:r w:rsidR="00A45459" w:rsidRPr="00BA51D9">
          <w:rPr>
            <w:b/>
            <w:noProof/>
            <w:sz w:val="24"/>
          </w:rPr>
          <w:t xml:space="preserve">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25604ADD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457BA1">
        <w:rPr>
          <w:rFonts w:ascii="Arial" w:hAnsi="Arial"/>
          <w:sz w:val="24"/>
        </w:rPr>
        <w:t>6.5.6</w:t>
      </w:r>
    </w:p>
    <w:p w14:paraId="1DAC1645" w14:textId="246EFB60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0D31">
        <w:rPr>
          <w:rFonts w:ascii="Arial" w:hAnsi="Arial"/>
          <w:sz w:val="24"/>
        </w:rPr>
        <w:t>EchoStar</w:t>
      </w:r>
      <w:r>
        <w:rPr>
          <w:rFonts w:ascii="Arial" w:hAnsi="Arial"/>
          <w:sz w:val="24"/>
        </w:rPr>
        <w:t xml:space="preserve"> </w:t>
      </w:r>
    </w:p>
    <w:p w14:paraId="6DDF0757" w14:textId="0DD58AEE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0D31">
        <w:rPr>
          <w:rFonts w:ascii="Arial" w:hAnsi="Arial"/>
          <w:sz w:val="24"/>
        </w:rPr>
        <w:t xml:space="preserve">Support of </w:t>
      </w:r>
      <w:r w:rsidR="00C72061">
        <w:rPr>
          <w:rFonts w:ascii="Arial" w:hAnsi="Arial"/>
          <w:sz w:val="24"/>
        </w:rPr>
        <w:t>NB-IoT in-band operation in NR NTN</w:t>
      </w:r>
      <w:r w:rsidR="00E80D31">
        <w:rPr>
          <w:rFonts w:ascii="Arial" w:hAnsi="Arial"/>
          <w:sz w:val="24"/>
        </w:rPr>
        <w:t xml:space="preserve"> bands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21633F22" w14:textId="11295591" w:rsidR="00005ACC" w:rsidRDefault="001150EC" w:rsidP="005C6018">
      <w:pPr>
        <w:rPr>
          <w:lang w:val="en-GB"/>
        </w:rPr>
      </w:pPr>
      <w:r>
        <w:rPr>
          <w:lang w:val="en-GB"/>
        </w:rPr>
        <w:t xml:space="preserve">During </w:t>
      </w:r>
      <w:r w:rsidR="00005ACC">
        <w:rPr>
          <w:lang w:val="en-GB"/>
        </w:rPr>
        <w:t xml:space="preserve">RAN plenary meeting TSGR#107, CRs [1] related to support for </w:t>
      </w:r>
      <w:r w:rsidR="00D066A5">
        <w:rPr>
          <w:lang w:val="en-GB"/>
        </w:rPr>
        <w:t xml:space="preserve">NB-IoT in-band operation in NTN NR </w:t>
      </w:r>
      <w:r w:rsidR="00005ACC">
        <w:rPr>
          <w:lang w:val="en-GB"/>
        </w:rPr>
        <w:t>for NB-IoT NTN bands were approved and subsequently incorporated in the core specifications [</w:t>
      </w:r>
      <w:r w:rsidR="00067161">
        <w:rPr>
          <w:lang w:val="en-GB"/>
        </w:rPr>
        <w:t>2</w:t>
      </w:r>
      <w:r w:rsidR="00005ACC">
        <w:rPr>
          <w:lang w:val="en-GB"/>
        </w:rPr>
        <w:t>] and [</w:t>
      </w:r>
      <w:r w:rsidR="00067161">
        <w:rPr>
          <w:lang w:val="en-GB"/>
        </w:rPr>
        <w:t>3</w:t>
      </w:r>
      <w:r w:rsidR="00005ACC">
        <w:rPr>
          <w:lang w:val="en-GB"/>
        </w:rPr>
        <w:t>].</w:t>
      </w:r>
    </w:p>
    <w:p w14:paraId="126B6A3C" w14:textId="77777777" w:rsidR="00005ACC" w:rsidRDefault="00005ACC" w:rsidP="005C6018">
      <w:pPr>
        <w:rPr>
          <w:lang w:val="en-GB"/>
        </w:rPr>
      </w:pPr>
    </w:p>
    <w:p w14:paraId="7FC9477C" w14:textId="733D4913" w:rsidR="00321BDC" w:rsidRDefault="00005ACC" w:rsidP="005C6018">
      <w:r>
        <w:rPr>
          <w:lang w:val="en-GB"/>
        </w:rPr>
        <w:t xml:space="preserve">This paper summarizes updates made </w:t>
      </w:r>
      <w:r w:rsidR="001150EC">
        <w:rPr>
          <w:lang w:val="en-GB"/>
        </w:rPr>
        <w:t xml:space="preserve">to the core specifications related to </w:t>
      </w:r>
      <w:r w:rsidR="00DF20CC">
        <w:rPr>
          <w:lang w:val="en-GB"/>
        </w:rPr>
        <w:t xml:space="preserve">NB-IoT in-band operation in NTN NR </w:t>
      </w:r>
      <w:r w:rsidR="001150EC">
        <w:rPr>
          <w:lang w:val="en-GB"/>
        </w:rPr>
        <w:t>requirements, assesses the impact to various conformance specifications and proposes updates to the affected clauses of the affected specifications.</w:t>
      </w:r>
    </w:p>
    <w:p w14:paraId="4737BDB9" w14:textId="3C0C07B1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E433DB">
        <w:t xml:space="preserve">Overview of </w:t>
      </w:r>
      <w:r w:rsidR="00DF20CC">
        <w:t>NB-IoT in-band operation in NTN NR</w:t>
      </w:r>
      <w:r w:rsidR="00E433DB">
        <w:t xml:space="preserve"> related updates to core specifications</w:t>
      </w:r>
    </w:p>
    <w:p w14:paraId="4CA1E931" w14:textId="26D9269D" w:rsidR="00BA012B" w:rsidRDefault="00D066A5" w:rsidP="009E338F">
      <w:pPr>
        <w:rPr>
          <w:lang w:val="en-GB"/>
        </w:rPr>
      </w:pPr>
      <w:r>
        <w:rPr>
          <w:lang w:val="en-GB"/>
        </w:rPr>
        <w:t xml:space="preserve">A new sub-clause </w:t>
      </w:r>
      <w:r w:rsidR="008F0EF9">
        <w:rPr>
          <w:lang w:val="en-GB"/>
        </w:rPr>
        <w:t xml:space="preserve">5.4B.2.3 </w:t>
      </w:r>
      <w:r>
        <w:rPr>
          <w:lang w:val="en-GB"/>
        </w:rPr>
        <w:t xml:space="preserve">with a new formula has been introduced to support </w:t>
      </w:r>
      <w:r w:rsidR="008F0EF9">
        <w:rPr>
          <w:lang w:val="en-GB"/>
        </w:rPr>
        <w:t xml:space="preserve">in-band/guard band operation of NB-IoT in NTN NR in [2]. </w:t>
      </w:r>
    </w:p>
    <w:p w14:paraId="416D5C90" w14:textId="1DA5DB5B" w:rsidR="00E53FE7" w:rsidRPr="002505AD" w:rsidRDefault="00E53FE7" w:rsidP="00E53FE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0"/>
      </w:tblGrid>
      <w:tr w:rsidR="00E53FE7" w:rsidRPr="002505AD" w14:paraId="07ADA658" w14:textId="77777777" w:rsidTr="008F0EF9">
        <w:trPr>
          <w:trHeight w:val="283"/>
          <w:jc w:val="center"/>
        </w:trPr>
        <w:tc>
          <w:tcPr>
            <w:tcW w:w="9500" w:type="dxa"/>
          </w:tcPr>
          <w:p w14:paraId="10CECD8F" w14:textId="77777777" w:rsidR="008F0EF9" w:rsidRPr="008F0EF9" w:rsidRDefault="008F0EF9" w:rsidP="008F0EF9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cs="Arial"/>
              </w:rPr>
            </w:pPr>
            <w:bookmarkStart w:id="1" w:name="OLE_LINK66"/>
            <w:r w:rsidRPr="008F0EF9">
              <w:rPr>
                <w:rFonts w:cs="Arial"/>
              </w:rPr>
              <w:t>5.4B.2.3</w:t>
            </w:r>
            <w:r w:rsidRPr="008F0EF9">
              <w:rPr>
                <w:rFonts w:cs="Arial"/>
              </w:rPr>
              <w:tab/>
              <w:t>In-band operation</w:t>
            </w:r>
          </w:p>
          <w:p w14:paraId="68B09148" w14:textId="77777777" w:rsidR="008F0EF9" w:rsidRPr="008F0EF9" w:rsidRDefault="008F0EF9" w:rsidP="008F0EF9">
            <w:pPr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bookmarkStart w:id="2" w:name="OLE_LINK7"/>
            <w:bookmarkStart w:id="3" w:name="OLE_LINK6"/>
            <w:bookmarkStart w:id="4" w:name="OLE_LINK9"/>
            <w:bookmarkStart w:id="5" w:name="OLE_LINK59"/>
            <w:r w:rsidRPr="00EC0D22">
              <w:rPr>
                <w:rFonts w:ascii="Times New Roman" w:hAnsi="Times New Roman"/>
                <w:sz w:val="20"/>
                <w:szCs w:val="20"/>
                <w:highlight w:val="yellow"/>
                <w:lang w:eastAsia="zh-TW"/>
              </w:rPr>
              <w:t>In Rel-18, NTN NB-IoT UEs may optionally support in-band operation with NR NTN.</w:t>
            </w:r>
            <w:r w:rsidRPr="008F0EF9">
              <w:rPr>
                <w:rFonts w:ascii="Times New Roman" w:hAnsi="Times New Roman"/>
                <w:sz w:val="20"/>
                <w:szCs w:val="20"/>
                <w:lang w:eastAsia="zh-TW"/>
              </w:rPr>
              <w:t xml:space="preserve"> </w:t>
            </w:r>
          </w:p>
          <w:bookmarkEnd w:id="2"/>
          <w:bookmarkEnd w:id="3"/>
          <w:bookmarkEnd w:id="4"/>
          <w:p w14:paraId="7FA55898" w14:textId="77777777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8C2690C" w14:textId="6DC37D28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r w:rsidRPr="008F0EF9">
              <w:rPr>
                <w:rFonts w:ascii="Times New Roman" w:hAnsi="Times New Roman"/>
                <w:sz w:val="20"/>
                <w:szCs w:val="20"/>
              </w:rPr>
              <w:t>The relation between EARFCN, Offset of category NB1/NB2 Channel Number to EARFCN and the carrier frequency in MHz for the downlink is given by the following equation, where 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downlink carrier frequency of category NB1/NB2,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DL_low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Offs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-DL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are given in table 5.4A.2-1, 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downlink EARFCN,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DL 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>is the Offset of category NB1/NB2 Channel Number to downlink EARFCN.</w:t>
            </w:r>
          </w:p>
          <w:p w14:paraId="5495CE05" w14:textId="77777777" w:rsidR="00EC0D22" w:rsidRPr="008F0EF9" w:rsidRDefault="00EC0D22" w:rsidP="008F0EF9">
            <w:pPr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  <w:p w14:paraId="3544CECC" w14:textId="77777777" w:rsidR="008F0EF9" w:rsidRPr="008F0EF9" w:rsidRDefault="008F0EF9" w:rsidP="008F0EF9">
            <w:pPr>
              <w:pStyle w:val="EQ"/>
              <w:spacing w:after="240"/>
              <w:jc w:val="center"/>
              <w:rPr>
                <w:rFonts w:eastAsia="SimSun"/>
              </w:rPr>
            </w:pPr>
            <w:r w:rsidRPr="00EC0D22">
              <w:rPr>
                <w:highlight w:val="yellow"/>
              </w:rPr>
              <w:t>F</w:t>
            </w:r>
            <w:r w:rsidRPr="00EC0D22">
              <w:rPr>
                <w:highlight w:val="yellow"/>
                <w:vertAlign w:val="subscript"/>
              </w:rPr>
              <w:t>DL</w:t>
            </w:r>
            <w:r w:rsidRPr="00EC0D22">
              <w:rPr>
                <w:highlight w:val="yellow"/>
              </w:rPr>
              <w:t xml:space="preserve"> = F</w:t>
            </w:r>
            <w:r w:rsidRPr="00EC0D22">
              <w:rPr>
                <w:highlight w:val="yellow"/>
                <w:vertAlign w:val="subscript"/>
              </w:rPr>
              <w:t>DL_low</w:t>
            </w:r>
            <w:r w:rsidRPr="00EC0D22">
              <w:rPr>
                <w:highlight w:val="yellow"/>
              </w:rPr>
              <w:t xml:space="preserve"> + 0.1(N</w:t>
            </w:r>
            <w:r w:rsidRPr="00EC0D22">
              <w:rPr>
                <w:highlight w:val="yellow"/>
                <w:vertAlign w:val="subscript"/>
              </w:rPr>
              <w:t>DL</w:t>
            </w:r>
            <w:r w:rsidRPr="00EC0D22">
              <w:rPr>
                <w:highlight w:val="yellow"/>
              </w:rPr>
              <w:t xml:space="preserve"> – N</w:t>
            </w:r>
            <w:r w:rsidRPr="00EC0D22">
              <w:rPr>
                <w:highlight w:val="yellow"/>
                <w:vertAlign w:val="subscript"/>
              </w:rPr>
              <w:t>Offs-DL</w:t>
            </w:r>
            <w:r w:rsidRPr="00EC0D22">
              <w:rPr>
                <w:highlight w:val="yellow"/>
              </w:rPr>
              <w:t>)</w:t>
            </w:r>
            <w:r w:rsidRPr="00EC0D22">
              <w:rPr>
                <w:rFonts w:eastAsia="SimSun"/>
                <w:highlight w:val="yellow"/>
              </w:rPr>
              <w:t xml:space="preserve"> + 0.0025*(2M</w:t>
            </w:r>
            <w:r w:rsidRPr="00EC0D22">
              <w:rPr>
                <w:rFonts w:eastAsia="SimSun"/>
                <w:highlight w:val="yellow"/>
                <w:vertAlign w:val="subscript"/>
              </w:rPr>
              <w:t>DL</w:t>
            </w:r>
            <w:r w:rsidRPr="00EC0D22">
              <w:rPr>
                <w:highlight w:val="yellow"/>
                <w:lang w:eastAsia="zh-CN"/>
              </w:rPr>
              <w:t>+1</w:t>
            </w:r>
            <w:r w:rsidRPr="00EC0D22">
              <w:rPr>
                <w:rFonts w:eastAsia="SimSun"/>
                <w:highlight w:val="yellow"/>
              </w:rPr>
              <w:t>)</w:t>
            </w:r>
          </w:p>
          <w:p w14:paraId="2BBE2EFE" w14:textId="77777777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r w:rsidRPr="008F0EF9">
              <w:rPr>
                <w:rFonts w:ascii="Times New Roman" w:hAnsi="Times New Roman"/>
                <w:sz w:val="20"/>
                <w:szCs w:val="20"/>
              </w:rPr>
              <w:t>The relation between EARFCN, Offset of category NB1/NB2 Channel Number to EARFCN and the carrier frequency in MHz for the uplink is given by the following equation, where 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UL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uplink carrier frequency of category NB1/NB2,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UL_low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Offs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-UL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are given in table 5.4</w:t>
            </w:r>
            <w:r w:rsidRPr="008F0EF9">
              <w:rPr>
                <w:rFonts w:ascii="Times New Roman" w:hAnsi="Times New Roman"/>
                <w:sz w:val="20"/>
                <w:szCs w:val="20"/>
                <w:lang w:eastAsia="zh-TW"/>
              </w:rPr>
              <w:t>A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>.2-1, 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UL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uplink EARFCN,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UL 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>is the Offset of category NB1/NB2 Channel Number to uplink EARFCN.</w:t>
            </w:r>
          </w:p>
          <w:p w14:paraId="341FA7A1" w14:textId="77777777" w:rsidR="00EC0D22" w:rsidRPr="008F0EF9" w:rsidRDefault="00EC0D22" w:rsidP="008F0EF9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A1D99AB" w14:textId="77777777" w:rsidR="008F0EF9" w:rsidRPr="008F0EF9" w:rsidRDefault="008F0EF9" w:rsidP="008F0EF9">
            <w:pPr>
              <w:pStyle w:val="EQ"/>
              <w:rPr>
                <w:rFonts w:eastAsia="SimSun"/>
                <w:lang w:eastAsia="zh-CN"/>
              </w:rPr>
            </w:pPr>
            <w:r w:rsidRPr="008F0EF9">
              <w:tab/>
            </w:r>
            <w:r w:rsidRPr="00EC0D22">
              <w:rPr>
                <w:highlight w:val="yellow"/>
              </w:rPr>
              <w:t>F</w:t>
            </w:r>
            <w:r w:rsidRPr="00EC0D22">
              <w:rPr>
                <w:highlight w:val="yellow"/>
                <w:vertAlign w:val="subscript"/>
              </w:rPr>
              <w:t>UL</w:t>
            </w:r>
            <w:r w:rsidRPr="00EC0D22">
              <w:rPr>
                <w:highlight w:val="yellow"/>
              </w:rPr>
              <w:t xml:space="preserve"> = F</w:t>
            </w:r>
            <w:r w:rsidRPr="00EC0D22">
              <w:rPr>
                <w:highlight w:val="yellow"/>
                <w:vertAlign w:val="subscript"/>
              </w:rPr>
              <w:t>UL_low</w:t>
            </w:r>
            <w:r w:rsidRPr="00EC0D22">
              <w:rPr>
                <w:highlight w:val="yellow"/>
              </w:rPr>
              <w:t xml:space="preserve"> + 0.1(N</w:t>
            </w:r>
            <w:r w:rsidRPr="00EC0D22">
              <w:rPr>
                <w:highlight w:val="yellow"/>
                <w:vertAlign w:val="subscript"/>
              </w:rPr>
              <w:t>UL</w:t>
            </w:r>
            <w:r w:rsidRPr="00EC0D22">
              <w:rPr>
                <w:highlight w:val="yellow"/>
              </w:rPr>
              <w:t xml:space="preserve"> – N</w:t>
            </w:r>
            <w:r w:rsidRPr="00EC0D22">
              <w:rPr>
                <w:highlight w:val="yellow"/>
                <w:vertAlign w:val="subscript"/>
              </w:rPr>
              <w:t>Offs-UL</w:t>
            </w:r>
            <w:r w:rsidRPr="00EC0D22">
              <w:rPr>
                <w:highlight w:val="yellow"/>
              </w:rPr>
              <w:t>) + 0.0025*(2M</w:t>
            </w:r>
            <w:r w:rsidRPr="00EC0D22">
              <w:rPr>
                <w:highlight w:val="yellow"/>
                <w:vertAlign w:val="subscript"/>
              </w:rPr>
              <w:t>UL</w:t>
            </w:r>
            <w:r w:rsidRPr="00EC0D22">
              <w:rPr>
                <w:highlight w:val="yellow"/>
                <w:lang w:eastAsia="zh-CN"/>
              </w:rPr>
              <w:t>)</w:t>
            </w:r>
          </w:p>
          <w:bookmarkEnd w:id="5"/>
          <w:p w14:paraId="1C9D1555" w14:textId="77777777" w:rsidR="008F0EF9" w:rsidRP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r w:rsidRPr="008F0EF9">
              <w:rPr>
                <w:rFonts w:ascii="Times New Roman" w:hAnsi="Times New Roman"/>
                <w:sz w:val="20"/>
                <w:szCs w:val="20"/>
              </w:rPr>
              <w:t>For the carrier including NPSS/NSSS,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selected from {-</w:t>
            </w:r>
            <w:proofErr w:type="gramStart"/>
            <w:r w:rsidRPr="008F0EF9">
              <w:rPr>
                <w:rFonts w:ascii="Times New Roman" w:hAnsi="Times New Roman"/>
                <w:sz w:val="20"/>
                <w:szCs w:val="20"/>
              </w:rPr>
              <w:t>2,-</w:t>
            </w:r>
            <w:proofErr w:type="gramEnd"/>
            <w:r w:rsidRPr="008F0EF9">
              <w:rPr>
                <w:rFonts w:ascii="Times New Roman" w:hAnsi="Times New Roman"/>
                <w:sz w:val="20"/>
                <w:szCs w:val="20"/>
              </w:rPr>
              <w:t>1,0,1}. For in-band operations,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= -0.5 is not applicable.</w:t>
            </w:r>
          </w:p>
          <w:p w14:paraId="51481A0C" w14:textId="77777777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bookmarkStart w:id="6" w:name="OLE_LINK89"/>
            <w:bookmarkStart w:id="7" w:name="OLE_LINK15"/>
            <w:r w:rsidRPr="008F0EF9">
              <w:rPr>
                <w:rFonts w:ascii="Times New Roman" w:hAnsi="Times New Roman"/>
                <w:sz w:val="20"/>
                <w:szCs w:val="20"/>
              </w:rPr>
              <w:t>In Rel-18, UE is only required to support the same operation mode for anchor and non-anchor carriers</w:t>
            </w:r>
            <w:bookmarkStart w:id="8" w:name="OLE_LINK10"/>
            <w:bookmarkEnd w:id="6"/>
            <w:r w:rsidRPr="008F0EF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171B461" w14:textId="77777777" w:rsidR="00EC0D22" w:rsidRPr="008F0EF9" w:rsidRDefault="00EC0D22" w:rsidP="008F0EF9">
            <w:pPr>
              <w:rPr>
                <w:rFonts w:ascii="Times New Roman" w:hAnsi="Times New Roman"/>
                <w:sz w:val="20"/>
                <w:szCs w:val="20"/>
              </w:rPr>
            </w:pPr>
          </w:p>
          <w:bookmarkEnd w:id="7"/>
          <w:p w14:paraId="561C12BA" w14:textId="77777777" w:rsidR="008F0EF9" w:rsidRPr="008F0EF9" w:rsidRDefault="008F0EF9" w:rsidP="008F0EF9">
            <w:pPr>
              <w:pStyle w:val="NO"/>
            </w:pPr>
            <w:r w:rsidRPr="008F0EF9">
              <w:t>NOTE 1:</w:t>
            </w:r>
            <w:r w:rsidRPr="008F0EF9">
              <w:tab/>
              <w:t xml:space="preserve">For in-band operation, RRC signalling should indicate guardband-r13 in </w:t>
            </w:r>
            <w:proofErr w:type="spellStart"/>
            <w:r w:rsidRPr="008F0EF9">
              <w:t>operationModeInfo</w:t>
            </w:r>
            <w:proofErr w:type="spellEnd"/>
            <w:r w:rsidRPr="008F0EF9">
              <w:t xml:space="preserve"> IE in </w:t>
            </w:r>
            <w:proofErr w:type="spellStart"/>
            <w:r w:rsidRPr="008F0EF9">
              <w:t>MasterInformationBlock</w:t>
            </w:r>
            <w:proofErr w:type="spellEnd"/>
            <w:r w:rsidRPr="008F0EF9">
              <w:t>-NB during UE conformance tests.</w:t>
            </w:r>
          </w:p>
          <w:p w14:paraId="0E0757A5" w14:textId="77777777" w:rsidR="008F0EF9" w:rsidRPr="008F0EF9" w:rsidRDefault="008F0EF9" w:rsidP="008F0EF9">
            <w:pPr>
              <w:pStyle w:val="NO"/>
            </w:pPr>
            <w:r w:rsidRPr="008F0EF9">
              <w:t>NOTE 2:</w:t>
            </w:r>
            <w:bookmarkEnd w:id="8"/>
            <w:r w:rsidRPr="008F0EF9">
              <w:tab/>
              <w:t xml:space="preserve">In Rel-18, for in-band operation, UE is not expected to access a cell indicating </w:t>
            </w:r>
            <w:proofErr w:type="spellStart"/>
            <w:r w:rsidRPr="008F0EF9">
              <w:t>inband-SamePCI</w:t>
            </w:r>
            <w:proofErr w:type="spellEnd"/>
            <w:r w:rsidRPr="008F0EF9">
              <w:t xml:space="preserve"> or </w:t>
            </w:r>
            <w:proofErr w:type="spellStart"/>
            <w:r w:rsidRPr="008F0EF9">
              <w:t>inband-DifferentPCI</w:t>
            </w:r>
            <w:proofErr w:type="spellEnd"/>
            <w:r w:rsidRPr="008F0EF9">
              <w:t xml:space="preserve"> in </w:t>
            </w:r>
            <w:proofErr w:type="spellStart"/>
            <w:r w:rsidRPr="008F0EF9">
              <w:t>operationMode</w:t>
            </w:r>
            <w:proofErr w:type="spellEnd"/>
            <w:r w:rsidRPr="008F0EF9">
              <w:t xml:space="preserve"> IE in </w:t>
            </w:r>
            <w:proofErr w:type="spellStart"/>
            <w:r w:rsidRPr="008F0EF9">
              <w:t>MasterInformationBlock</w:t>
            </w:r>
            <w:proofErr w:type="spellEnd"/>
            <w:r w:rsidRPr="008F0EF9">
              <w:t>-NB.</w:t>
            </w:r>
          </w:p>
          <w:p w14:paraId="4ABA01E6" w14:textId="77777777" w:rsidR="008F0EF9" w:rsidRPr="008F0EF9" w:rsidRDefault="008F0EF9" w:rsidP="008F0EF9">
            <w:pPr>
              <w:pStyle w:val="NO"/>
            </w:pPr>
            <w:r w:rsidRPr="008F0EF9">
              <w:t>NOTE 3:</w:t>
            </w:r>
            <w:r w:rsidRPr="008F0EF9">
              <w:tab/>
              <w:t xml:space="preserve">UE is not expected to be aware of where the configured NB-IoT UL carrier is within the NTN NR carrier. It is presumed that operators will ensure, </w:t>
            </w:r>
            <w:r w:rsidRPr="00EC0D22">
              <w:rPr>
                <w:highlight w:val="yellow"/>
              </w:rPr>
              <w:t xml:space="preserve">through network configuration during deployment, that there is sufficient </w:t>
            </w:r>
            <w:proofErr w:type="spellStart"/>
            <w:r w:rsidRPr="00EC0D22">
              <w:rPr>
                <w:highlight w:val="yellow"/>
              </w:rPr>
              <w:t>guardband</w:t>
            </w:r>
            <w:proofErr w:type="spellEnd"/>
            <w:r w:rsidRPr="00EC0D22">
              <w:rPr>
                <w:highlight w:val="yellow"/>
              </w:rPr>
              <w:t xml:space="preserve"> between NB-IoT carrier and operating band and/or spectrum block edges to meet emission requirements</w:t>
            </w:r>
            <w:r w:rsidRPr="008F0EF9">
              <w:t xml:space="preserve"> of clause 6.5B outside its allocated spectrum block. </w:t>
            </w:r>
          </w:p>
          <w:p w14:paraId="206A4A16" w14:textId="77777777" w:rsidR="00E53FE7" w:rsidRDefault="00E53FE7" w:rsidP="008F0EF9">
            <w:pPr>
              <w:pStyle w:val="TAN"/>
              <w:ind w:left="0" w:firstLine="0"/>
              <w:rPr>
                <w:lang w:eastAsia="zh-CN"/>
              </w:rPr>
            </w:pPr>
          </w:p>
          <w:p w14:paraId="28A8FAB8" w14:textId="77777777" w:rsidR="00EC0D22" w:rsidRPr="002505AD" w:rsidRDefault="00EC0D22" w:rsidP="00EC0D22">
            <w:pPr>
              <w:pStyle w:val="Heading3"/>
            </w:pPr>
            <w:bookmarkStart w:id="9" w:name="_Toc120570020"/>
            <w:bookmarkStart w:id="10" w:name="_Toc121162812"/>
            <w:bookmarkStart w:id="11" w:name="_Toc121827693"/>
            <w:bookmarkStart w:id="12" w:name="_Toc124177521"/>
            <w:bookmarkStart w:id="13" w:name="_Toc124177948"/>
            <w:bookmarkStart w:id="14" w:name="_Toc130826075"/>
            <w:bookmarkStart w:id="15" w:name="_Toc137386352"/>
            <w:bookmarkStart w:id="16" w:name="_Toc137401232"/>
            <w:bookmarkStart w:id="17" w:name="_Toc138894756"/>
            <w:bookmarkStart w:id="18" w:name="_Toc145029467"/>
            <w:bookmarkStart w:id="19" w:name="_Toc153136014"/>
            <w:bookmarkStart w:id="20" w:name="_Toc153138208"/>
            <w:bookmarkStart w:id="21" w:name="_Toc161928623"/>
            <w:bookmarkStart w:id="22" w:name="_Toc163213845"/>
            <w:bookmarkStart w:id="23" w:name="_Toc184373588"/>
            <w:bookmarkStart w:id="24" w:name="_Toc187272665"/>
            <w:bookmarkStart w:id="25" w:name="_Toc187272866"/>
            <w:r w:rsidRPr="002505AD">
              <w:t>5.4B.3</w:t>
            </w:r>
            <w:r w:rsidRPr="002505AD">
              <w:tab/>
              <w:t>TX–RX frequency separation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75A73EAE" w14:textId="77777777" w:rsidR="00EC0D22" w:rsidRPr="00EC0D22" w:rsidRDefault="00EC0D22" w:rsidP="00EC0D22">
            <w:pPr>
              <w:rPr>
                <w:rFonts w:ascii="Times New Roman" w:hAnsi="Times New Roman"/>
                <w:sz w:val="20"/>
                <w:szCs w:val="20"/>
              </w:rPr>
            </w:pPr>
            <w:r w:rsidRPr="00EC0D22">
              <w:rPr>
                <w:rFonts w:ascii="Times New Roman" w:hAnsi="Times New Roman"/>
                <w:sz w:val="20"/>
                <w:szCs w:val="20"/>
              </w:rPr>
              <w:t xml:space="preserve">For UE category NB1/NB2 operation in stand-alone mode, the default TX-RX frequency separation shall be as specified in </w:t>
            </w:r>
            <w:r w:rsidRPr="00EC0D22">
              <w:rPr>
                <w:rFonts w:ascii="Times New Roman" w:hAnsi="Times New Roman"/>
                <w:sz w:val="20"/>
                <w:szCs w:val="20"/>
                <w:lang w:eastAsia="zh-CN"/>
              </w:rPr>
              <w:t>Table</w:t>
            </w:r>
            <w:r w:rsidRPr="00EC0D22">
              <w:rPr>
                <w:rFonts w:ascii="Times New Roman" w:hAnsi="Times New Roman"/>
                <w:sz w:val="20"/>
                <w:szCs w:val="20"/>
              </w:rPr>
              <w:t xml:space="preserve"> 5.4B.3-1 for the NB-IoT TX and RX channel bandwidth defined in Table 5.3B-1.</w:t>
            </w:r>
          </w:p>
          <w:p w14:paraId="03B2D7AA" w14:textId="77777777" w:rsidR="00EC0D22" w:rsidRDefault="00EC0D22" w:rsidP="00EC0D2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C1C913F" w14:textId="6BBE6EF0" w:rsidR="00EC0D22" w:rsidRPr="00EC0D22" w:rsidRDefault="00EC0D22" w:rsidP="00EC0D22">
            <w:pPr>
              <w:rPr>
                <w:rFonts w:ascii="Times New Roman" w:hAnsi="Times New Roman"/>
                <w:sz w:val="20"/>
                <w:szCs w:val="20"/>
              </w:rPr>
            </w:pPr>
            <w:r w:rsidRPr="00EC0D22">
              <w:rPr>
                <w:rFonts w:ascii="Times New Roman" w:hAnsi="Times New Roman"/>
                <w:sz w:val="20"/>
                <w:szCs w:val="20"/>
                <w:highlight w:val="yellow"/>
              </w:rPr>
              <w:t>For in-band operation, the category NB1 and NB2 TX-RX frequency separation is flexible within the assigned channel bandwidth of NR NTN carrier with the TX-RX frequency separation of the NR NTN carriers as specified in TS 38.101-5 [16].</w:t>
            </w:r>
          </w:p>
          <w:p w14:paraId="4674BE19" w14:textId="3C0D0D37" w:rsidR="00EC0D22" w:rsidRPr="00066ABF" w:rsidRDefault="00EC0D22" w:rsidP="008F0EF9">
            <w:pPr>
              <w:pStyle w:val="TAN"/>
              <w:ind w:left="0" w:firstLine="0"/>
              <w:rPr>
                <w:lang w:eastAsia="zh-CN"/>
              </w:rPr>
            </w:pPr>
          </w:p>
        </w:tc>
      </w:tr>
      <w:bookmarkEnd w:id="1"/>
    </w:tbl>
    <w:p w14:paraId="6BFC198E" w14:textId="77777777" w:rsidR="00E53FE7" w:rsidRDefault="00E53FE7" w:rsidP="009E338F">
      <w:pPr>
        <w:rPr>
          <w:lang w:val="en-GB"/>
        </w:rPr>
      </w:pPr>
    </w:p>
    <w:p w14:paraId="261A8E6A" w14:textId="77777777" w:rsidR="00982233" w:rsidRDefault="00982233" w:rsidP="009E338F">
      <w:pPr>
        <w:rPr>
          <w:lang w:val="en-GB"/>
        </w:rPr>
      </w:pPr>
    </w:p>
    <w:p w14:paraId="4703F89E" w14:textId="77777777" w:rsidR="001150EC" w:rsidRDefault="001150EC" w:rsidP="009E338F">
      <w:pPr>
        <w:rPr>
          <w:lang w:val="en-GB"/>
        </w:rPr>
      </w:pPr>
    </w:p>
    <w:p w14:paraId="0CB36B0F" w14:textId="6AC41162" w:rsidR="00287EBE" w:rsidRDefault="00287EBE" w:rsidP="009E338F">
      <w:pPr>
        <w:rPr>
          <w:lang w:val="en-GB"/>
        </w:rPr>
      </w:pPr>
      <w:r>
        <w:rPr>
          <w:lang w:val="en-GB"/>
        </w:rPr>
        <w:t>Furthermore, the following note was specified in Table F.1-1 of [3]:</w:t>
      </w:r>
    </w:p>
    <w:p w14:paraId="5E0AE073" w14:textId="77777777" w:rsidR="00287EBE" w:rsidRDefault="00287EBE" w:rsidP="009E338F">
      <w:pPr>
        <w:rPr>
          <w:lang w:val="en-GB"/>
        </w:rPr>
      </w:pPr>
    </w:p>
    <w:p w14:paraId="6B6E0282" w14:textId="74165D14" w:rsidR="00287EBE" w:rsidRDefault="00287EBE" w:rsidP="009E338F">
      <w:r>
        <w:t>“</w:t>
      </w:r>
      <w:r w:rsidRPr="00287EBE">
        <w:rPr>
          <w:i/>
          <w:iCs/>
        </w:rPr>
        <w:t>NOTE:</w:t>
      </w:r>
      <w:r w:rsidRPr="00287EBE">
        <w:rPr>
          <w:i/>
          <w:iCs/>
        </w:rPr>
        <w:tab/>
        <w:t>Rel-18 UEs supporting only standalone operation do not need to meet requirements specified for in-band operation with NR over NTN in clauses 5.4B.2.3 and 5.4B.3. In-band operation with NR is not supported in Rel-17.”</w:t>
      </w:r>
    </w:p>
    <w:p w14:paraId="325CE074" w14:textId="77777777" w:rsidR="00287EBE" w:rsidRDefault="00287EBE" w:rsidP="009E338F">
      <w:pPr>
        <w:rPr>
          <w:lang w:val="en-GB"/>
        </w:rPr>
      </w:pPr>
    </w:p>
    <w:p w14:paraId="047D93F8" w14:textId="2862E442" w:rsidR="00005ACC" w:rsidRDefault="008F0EF9" w:rsidP="009E338F">
      <w:pPr>
        <w:rPr>
          <w:lang w:val="en-GB"/>
        </w:rPr>
      </w:pPr>
      <w:r>
        <w:rPr>
          <w:lang w:val="en-GB"/>
        </w:rPr>
        <w:lastRenderedPageBreak/>
        <w:t xml:space="preserve">The following observations can be made from </w:t>
      </w:r>
      <w:r w:rsidR="00537176">
        <w:rPr>
          <w:lang w:val="en-GB"/>
        </w:rPr>
        <w:t>review of</w:t>
      </w:r>
      <w:r>
        <w:rPr>
          <w:lang w:val="en-GB"/>
        </w:rPr>
        <w:t xml:space="preserve"> </w:t>
      </w:r>
      <w:r w:rsidR="00287EBE">
        <w:rPr>
          <w:lang w:val="en-GB"/>
        </w:rPr>
        <w:t xml:space="preserve">above </w:t>
      </w:r>
      <w:r w:rsidR="00EC0D22">
        <w:rPr>
          <w:lang w:val="en-GB"/>
        </w:rPr>
        <w:t>updates</w:t>
      </w:r>
      <w:r w:rsidR="00537176">
        <w:rPr>
          <w:lang w:val="en-GB"/>
        </w:rPr>
        <w:t xml:space="preserve"> made</w:t>
      </w:r>
      <w:r w:rsidR="00EC0D22">
        <w:rPr>
          <w:lang w:val="en-GB"/>
        </w:rPr>
        <w:t xml:space="preserve"> to the core specifications</w:t>
      </w:r>
      <w:r w:rsidR="00537176">
        <w:rPr>
          <w:lang w:val="en-GB"/>
        </w:rPr>
        <w:t>:</w:t>
      </w:r>
    </w:p>
    <w:p w14:paraId="2808F9E6" w14:textId="77777777" w:rsidR="00005ACC" w:rsidRDefault="00005ACC" w:rsidP="009E338F">
      <w:pPr>
        <w:rPr>
          <w:lang w:val="en-GB"/>
        </w:rPr>
      </w:pPr>
    </w:p>
    <w:p w14:paraId="1123789D" w14:textId="6D0CACEE" w:rsidR="00EC0D22" w:rsidRDefault="00EC0D22" w:rsidP="009E338F">
      <w:pPr>
        <w:rPr>
          <w:b/>
          <w:bCs/>
          <w:lang w:val="en-GB"/>
        </w:rPr>
      </w:pPr>
      <w:r>
        <w:rPr>
          <w:b/>
          <w:bCs/>
          <w:lang w:val="en-GB"/>
        </w:rPr>
        <w:t>Observation 1: The NTN UE support for in-band operation of NB-IoT is optional in Rel-18 but mandatory from Rel-19</w:t>
      </w:r>
      <w:r w:rsidR="009944D9">
        <w:rPr>
          <w:b/>
          <w:bCs/>
          <w:lang w:val="en-GB"/>
        </w:rPr>
        <w:t xml:space="preserve"> [2], [3]</w:t>
      </w:r>
      <w:r>
        <w:rPr>
          <w:b/>
          <w:bCs/>
          <w:lang w:val="en-GB"/>
        </w:rPr>
        <w:t>.</w:t>
      </w:r>
    </w:p>
    <w:p w14:paraId="09D081F0" w14:textId="77777777" w:rsidR="0027367F" w:rsidRDefault="0027367F" w:rsidP="009E338F">
      <w:pPr>
        <w:rPr>
          <w:b/>
          <w:bCs/>
          <w:lang w:val="en-GB"/>
        </w:rPr>
      </w:pPr>
    </w:p>
    <w:p w14:paraId="2FCBB5E3" w14:textId="235B42F6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EC0D22"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</w:t>
      </w:r>
      <w:r w:rsidR="00EC0D22">
        <w:rPr>
          <w:b/>
          <w:bCs/>
          <w:lang w:val="en-GB"/>
        </w:rPr>
        <w:t>The formulae for FDL and FUL are different between stand-alone and in-band operation</w:t>
      </w:r>
      <w:r w:rsidR="009944D9">
        <w:rPr>
          <w:b/>
          <w:bCs/>
          <w:lang w:val="en-GB"/>
        </w:rPr>
        <w:t>s.</w:t>
      </w:r>
    </w:p>
    <w:p w14:paraId="174A5EB6" w14:textId="77777777" w:rsidR="0027367F" w:rsidRDefault="0027367F" w:rsidP="00DB5EAC">
      <w:pPr>
        <w:rPr>
          <w:b/>
          <w:bCs/>
          <w:lang w:val="en-GB"/>
        </w:rPr>
      </w:pPr>
    </w:p>
    <w:p w14:paraId="1AC61568" w14:textId="7558BE9F" w:rsidR="00C01853" w:rsidRDefault="00C01853" w:rsidP="00DB5EA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3: </w:t>
      </w:r>
      <w:r w:rsidR="0027367F">
        <w:rPr>
          <w:b/>
          <w:bCs/>
          <w:lang w:val="en-GB"/>
        </w:rPr>
        <w:t xml:space="preserve"> Since the in-band/guard band operation is within an NR NTN channel, t</w:t>
      </w:r>
      <w:r>
        <w:rPr>
          <w:b/>
          <w:bCs/>
          <w:lang w:val="en-GB"/>
        </w:rPr>
        <w:t xml:space="preserve">he </w:t>
      </w:r>
      <w:proofErr w:type="spellStart"/>
      <w:r w:rsidRPr="0027367F">
        <w:rPr>
          <w:b/>
          <w:bCs/>
          <w:i/>
          <w:iCs/>
          <w:lang w:val="en-GB"/>
        </w:rPr>
        <w:t>operation</w:t>
      </w:r>
      <w:r w:rsidR="00063AAA">
        <w:rPr>
          <w:b/>
          <w:bCs/>
          <w:i/>
          <w:iCs/>
          <w:lang w:val="en-GB"/>
        </w:rPr>
        <w:t>M</w:t>
      </w:r>
      <w:r w:rsidRPr="0027367F">
        <w:rPr>
          <w:b/>
          <w:bCs/>
          <w:i/>
          <w:iCs/>
          <w:lang w:val="en-GB"/>
        </w:rPr>
        <w:t>ode</w:t>
      </w:r>
      <w:r w:rsidR="00063AAA">
        <w:rPr>
          <w:b/>
          <w:bCs/>
          <w:i/>
          <w:iCs/>
          <w:lang w:val="en-GB"/>
        </w:rPr>
        <w:t>I</w:t>
      </w:r>
      <w:r w:rsidRPr="0027367F">
        <w:rPr>
          <w:b/>
          <w:bCs/>
          <w:i/>
          <w:iCs/>
          <w:lang w:val="en-GB"/>
        </w:rPr>
        <w:t>nfo</w:t>
      </w:r>
      <w:proofErr w:type="spellEnd"/>
      <w:r>
        <w:rPr>
          <w:b/>
          <w:bCs/>
          <w:lang w:val="en-GB"/>
        </w:rPr>
        <w:t xml:space="preserve"> IE in MIB-NB </w:t>
      </w:r>
      <w:r w:rsidR="0027367F">
        <w:rPr>
          <w:b/>
          <w:bCs/>
          <w:lang w:val="en-GB"/>
        </w:rPr>
        <w:t>is expected</w:t>
      </w:r>
      <w:r>
        <w:rPr>
          <w:b/>
          <w:bCs/>
          <w:lang w:val="en-GB"/>
        </w:rPr>
        <w:t xml:space="preserve"> to be set to “guardband-r13” to ensure that the UE is </w:t>
      </w:r>
      <w:r w:rsidR="00287EBE">
        <w:rPr>
          <w:b/>
          <w:bCs/>
          <w:lang w:val="en-GB"/>
        </w:rPr>
        <w:t>assuming</w:t>
      </w:r>
      <w:r w:rsidR="0027367F">
        <w:rPr>
          <w:b/>
          <w:bCs/>
          <w:lang w:val="en-GB"/>
        </w:rPr>
        <w:t xml:space="preserve"> that</w:t>
      </w:r>
      <w:r>
        <w:rPr>
          <w:b/>
          <w:bCs/>
          <w:lang w:val="en-GB"/>
        </w:rPr>
        <w:t xml:space="preserve"> REs </w:t>
      </w:r>
      <w:proofErr w:type="gramStart"/>
      <w:r w:rsidR="00287EBE">
        <w:rPr>
          <w:b/>
          <w:bCs/>
          <w:lang w:val="en-GB"/>
        </w:rPr>
        <w:t>are</w:t>
      </w:r>
      <w:proofErr w:type="gramEnd"/>
      <w:r w:rsidR="00287EBE">
        <w:rPr>
          <w:b/>
          <w:bCs/>
          <w:lang w:val="en-GB"/>
        </w:rPr>
        <w:t xml:space="preserve"> not </w:t>
      </w:r>
      <w:r>
        <w:rPr>
          <w:b/>
          <w:bCs/>
          <w:lang w:val="en-GB"/>
        </w:rPr>
        <w:t xml:space="preserve">reserved for </w:t>
      </w:r>
      <w:r w:rsidR="0027367F">
        <w:rPr>
          <w:b/>
          <w:bCs/>
          <w:lang w:val="en-GB"/>
        </w:rPr>
        <w:t>E-UTRA</w:t>
      </w:r>
      <w:r w:rsidR="00287EBE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PDCCH/CRS and </w:t>
      </w:r>
      <w:r w:rsidR="0027367F">
        <w:rPr>
          <w:b/>
          <w:bCs/>
          <w:lang w:val="en-GB"/>
        </w:rPr>
        <w:t>is not expecting reception of E-UTRA CRS</w:t>
      </w:r>
      <w:r>
        <w:rPr>
          <w:b/>
          <w:bCs/>
          <w:lang w:val="en-GB"/>
        </w:rPr>
        <w:t>.</w:t>
      </w:r>
    </w:p>
    <w:p w14:paraId="399FA4F2" w14:textId="77777777" w:rsidR="0027367F" w:rsidRDefault="0027367F" w:rsidP="00DB5EAC">
      <w:pPr>
        <w:rPr>
          <w:b/>
          <w:bCs/>
          <w:lang w:val="en-GB"/>
        </w:rPr>
      </w:pPr>
    </w:p>
    <w:p w14:paraId="5557E1A0" w14:textId="08879929" w:rsidR="00DD7464" w:rsidRDefault="00982233" w:rsidP="00DB5EAC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C01853"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>:</w:t>
      </w:r>
      <w:r w:rsidR="00D245B4" w:rsidRPr="006A085C">
        <w:rPr>
          <w:b/>
          <w:bCs/>
          <w:lang w:val="en-GB"/>
        </w:rPr>
        <w:t xml:space="preserve"> </w:t>
      </w:r>
      <w:r w:rsidR="00C01853">
        <w:rPr>
          <w:b/>
          <w:bCs/>
          <w:lang w:val="en-GB"/>
        </w:rPr>
        <w:t xml:space="preserve">Because the </w:t>
      </w:r>
      <w:proofErr w:type="spellStart"/>
      <w:r w:rsidR="00C01853" w:rsidRPr="0027367F">
        <w:rPr>
          <w:b/>
          <w:bCs/>
          <w:i/>
          <w:iCs/>
          <w:lang w:val="en-GB"/>
        </w:rPr>
        <w:t>operation</w:t>
      </w:r>
      <w:r w:rsidR="00063AAA">
        <w:rPr>
          <w:b/>
          <w:bCs/>
          <w:i/>
          <w:iCs/>
          <w:lang w:val="en-GB"/>
        </w:rPr>
        <w:t>M</w:t>
      </w:r>
      <w:r w:rsidR="00C01853" w:rsidRPr="0027367F">
        <w:rPr>
          <w:b/>
          <w:bCs/>
          <w:i/>
          <w:iCs/>
          <w:lang w:val="en-GB"/>
        </w:rPr>
        <w:t>ode</w:t>
      </w:r>
      <w:r w:rsidR="00063AAA">
        <w:rPr>
          <w:b/>
          <w:bCs/>
          <w:i/>
          <w:iCs/>
          <w:lang w:val="en-GB"/>
        </w:rPr>
        <w:t>I</w:t>
      </w:r>
      <w:r w:rsidR="00C01853" w:rsidRPr="0027367F">
        <w:rPr>
          <w:b/>
          <w:bCs/>
          <w:i/>
          <w:iCs/>
          <w:lang w:val="en-GB"/>
        </w:rPr>
        <w:t>nfo</w:t>
      </w:r>
      <w:proofErr w:type="spellEnd"/>
      <w:r w:rsidR="00C01853">
        <w:rPr>
          <w:b/>
          <w:bCs/>
          <w:lang w:val="en-GB"/>
        </w:rPr>
        <w:t xml:space="preserve"> IE is always set to indicate guard band operation, a</w:t>
      </w:r>
      <w:r w:rsidR="00EC0D22">
        <w:rPr>
          <w:b/>
          <w:bCs/>
          <w:lang w:val="en-GB"/>
        </w:rPr>
        <w:t xml:space="preserve">ssignment of FUL in the guard band is not precluded by the specs </w:t>
      </w:r>
      <w:proofErr w:type="gramStart"/>
      <w:r w:rsidR="00EC0D22">
        <w:rPr>
          <w:b/>
          <w:bCs/>
          <w:lang w:val="en-GB"/>
        </w:rPr>
        <w:t>as long as</w:t>
      </w:r>
      <w:proofErr w:type="gramEnd"/>
      <w:r w:rsidR="00EC0D22">
        <w:rPr>
          <w:b/>
          <w:bCs/>
          <w:lang w:val="en-GB"/>
        </w:rPr>
        <w:t xml:space="preserve"> the lower/upper channel edges are farther away from the lower/upper spectrum block edges</w:t>
      </w:r>
      <w:r w:rsidR="00067161">
        <w:rPr>
          <w:b/>
          <w:bCs/>
          <w:lang w:val="en-GB"/>
        </w:rPr>
        <w:t>.</w:t>
      </w:r>
    </w:p>
    <w:p w14:paraId="33D5E1A2" w14:textId="77777777" w:rsidR="00537176" w:rsidRDefault="00537176" w:rsidP="00DB5EAC">
      <w:pPr>
        <w:rPr>
          <w:b/>
          <w:bCs/>
          <w:lang w:val="en-GB"/>
        </w:rPr>
      </w:pPr>
    </w:p>
    <w:p w14:paraId="733DC32B" w14:textId="7C07411C" w:rsidR="00537176" w:rsidRPr="00537176" w:rsidRDefault="00537176" w:rsidP="00DB5EAC">
      <w:pPr>
        <w:rPr>
          <w:b/>
          <w:bCs/>
          <w:lang w:val="en-GB"/>
        </w:rPr>
      </w:pPr>
      <w:r w:rsidRPr="00537176">
        <w:rPr>
          <w:b/>
          <w:bCs/>
          <w:lang w:val="en-GB"/>
        </w:rPr>
        <w:t>Observation 5: The demodulation and RRM requirements have not been updated in the core specifications.</w:t>
      </w:r>
    </w:p>
    <w:p w14:paraId="55527E0E" w14:textId="78B7097E" w:rsidR="00982233" w:rsidRDefault="00982233" w:rsidP="00982233">
      <w:pPr>
        <w:pStyle w:val="Heading2"/>
        <w:numPr>
          <w:ilvl w:val="0"/>
          <w:numId w:val="0"/>
        </w:numPr>
        <w:ind w:left="576" w:hanging="576"/>
      </w:pPr>
      <w:r>
        <w:lastRenderedPageBreak/>
        <w:t>3.</w:t>
      </w:r>
      <w:r>
        <w:tab/>
      </w:r>
      <w:r w:rsidR="006E5E02">
        <w:t xml:space="preserve">SIG </w:t>
      </w:r>
      <w:r w:rsidR="006A085C">
        <w:t>Conformance Specification</w:t>
      </w:r>
      <w:r w:rsidR="00DB5BCF">
        <w:t>s</w:t>
      </w:r>
      <w:r w:rsidR="006A085C">
        <w:t xml:space="preserve"> Impact Assessment</w:t>
      </w:r>
      <w:r w:rsidR="00067161">
        <w:t xml:space="preserve"> and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8"/>
        <w:gridCol w:w="4641"/>
        <w:gridCol w:w="3301"/>
      </w:tblGrid>
      <w:tr w:rsidR="006A085C" w14:paraId="4AB39A2A" w14:textId="77777777" w:rsidTr="00774C3B">
        <w:tc>
          <w:tcPr>
            <w:tcW w:w="1408" w:type="dxa"/>
            <w:vAlign w:val="center"/>
          </w:tcPr>
          <w:p w14:paraId="72AF8172" w14:textId="66EFE380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 xml:space="preserve">TS &amp; 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Clause</w:t>
            </w:r>
          </w:p>
        </w:tc>
        <w:tc>
          <w:tcPr>
            <w:tcW w:w="4641" w:type="dxa"/>
            <w:vAlign w:val="center"/>
          </w:tcPr>
          <w:p w14:paraId="5205E13B" w14:textId="2D9EB84D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Assessment</w:t>
            </w:r>
          </w:p>
        </w:tc>
        <w:tc>
          <w:tcPr>
            <w:tcW w:w="3301" w:type="dxa"/>
            <w:vAlign w:val="center"/>
          </w:tcPr>
          <w:p w14:paraId="469E8726" w14:textId="08C78061" w:rsidR="006A085C" w:rsidRDefault="00C77C3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Way Forward</w:t>
            </w:r>
          </w:p>
        </w:tc>
      </w:tr>
      <w:tr w:rsidR="006A085C" w14:paraId="353638D3" w14:textId="77777777" w:rsidTr="00774C3B">
        <w:trPr>
          <w:trHeight w:val="52"/>
        </w:trPr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1A61CE5B" w14:textId="62B7CD1D" w:rsidR="006A085C" w:rsidRPr="006A085C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TS 36.508</w:t>
            </w:r>
          </w:p>
        </w:tc>
      </w:tr>
      <w:tr w:rsidR="006313F8" w14:paraId="16580E31" w14:textId="77777777" w:rsidTr="00774C3B">
        <w:tc>
          <w:tcPr>
            <w:tcW w:w="1408" w:type="dxa"/>
            <w:vAlign w:val="center"/>
          </w:tcPr>
          <w:p w14:paraId="198A29B2" w14:textId="101F7BFD" w:rsidR="006313F8" w:rsidRPr="0080518B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8.1.4.3</w:t>
            </w:r>
          </w:p>
        </w:tc>
        <w:tc>
          <w:tcPr>
            <w:tcW w:w="4641" w:type="dxa"/>
            <w:vAlign w:val="center"/>
          </w:tcPr>
          <w:p w14:paraId="646E4BF5" w14:textId="1850A278" w:rsidR="006313F8" w:rsidRPr="0080518B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MIB-NB, SIB1-NB, SIB2-NB need to be updated with a new condition for in-band/guard-band NTN operation</w:t>
            </w:r>
          </w:p>
        </w:tc>
        <w:tc>
          <w:tcPr>
            <w:tcW w:w="3301" w:type="dxa"/>
            <w:vAlign w:val="center"/>
          </w:tcPr>
          <w:p w14:paraId="7664DBFA" w14:textId="05DA6D98" w:rsidR="006313F8" w:rsidRPr="00DB560E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Tables 8.1.4.3.2-1, 8.1.4.3.2-3, 8.1.4.3.3-1</w:t>
            </w:r>
          </w:p>
        </w:tc>
      </w:tr>
      <w:tr w:rsidR="006313F8" w14:paraId="6ED956E4" w14:textId="77777777" w:rsidTr="00774C3B">
        <w:tc>
          <w:tcPr>
            <w:tcW w:w="1408" w:type="dxa"/>
            <w:vAlign w:val="center"/>
          </w:tcPr>
          <w:p w14:paraId="4B2537C1" w14:textId="058F0DA1" w:rsidR="006313F8" w:rsidRPr="0080518B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8.3.1</w:t>
            </w:r>
          </w:p>
        </w:tc>
        <w:tc>
          <w:tcPr>
            <w:tcW w:w="4641" w:type="dxa"/>
            <w:vAlign w:val="center"/>
          </w:tcPr>
          <w:p w14:paraId="6DD8CBAA" w14:textId="4801B01D" w:rsidR="006313F8" w:rsidRPr="0080518B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Need to specify deployment scenario of in-band/guard-band operation with NR</w:t>
            </w:r>
          </w:p>
        </w:tc>
        <w:tc>
          <w:tcPr>
            <w:tcW w:w="3301" w:type="dxa"/>
            <w:vAlign w:val="center"/>
          </w:tcPr>
          <w:p w14:paraId="310A2FD2" w14:textId="4181C0E8" w:rsidR="006313F8" w:rsidRPr="00DB560E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Updates to Clause 8.3.1 and Table 8.3.1-1</w:t>
            </w:r>
          </w:p>
        </w:tc>
      </w:tr>
      <w:tr w:rsidR="006313F8" w14:paraId="4ABED839" w14:textId="77777777" w:rsidTr="00774C3B">
        <w:tc>
          <w:tcPr>
            <w:tcW w:w="1408" w:type="dxa"/>
            <w:vAlign w:val="center"/>
          </w:tcPr>
          <w:p w14:paraId="2056A4FB" w14:textId="12293719" w:rsidR="006313F8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8.3.2.3</w:t>
            </w:r>
          </w:p>
        </w:tc>
        <w:tc>
          <w:tcPr>
            <w:tcW w:w="4641" w:type="dxa"/>
            <w:vAlign w:val="center"/>
          </w:tcPr>
          <w:p w14:paraId="3703E902" w14:textId="03CE17D0" w:rsidR="006313F8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Reference to lack of support of in-band/guard-band for NTN bands needs to be modified</w:t>
            </w:r>
          </w:p>
        </w:tc>
        <w:tc>
          <w:tcPr>
            <w:tcW w:w="3301" w:type="dxa"/>
            <w:vAlign w:val="center"/>
          </w:tcPr>
          <w:p w14:paraId="2C0EB191" w14:textId="28567844" w:rsidR="006313F8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clause 8.3.2.3 to remove reference to lack of support of in-band/guard-band operation</w:t>
            </w:r>
          </w:p>
        </w:tc>
      </w:tr>
      <w:tr w:rsidR="006313F8" w14:paraId="04D94B06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648CB3C4" w14:textId="3FCAD13C" w:rsidR="006313F8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36.523-2</w:t>
            </w:r>
          </w:p>
        </w:tc>
      </w:tr>
      <w:tr w:rsidR="006313F8" w14:paraId="0508A8A0" w14:textId="77777777" w:rsidTr="00774C3B">
        <w:tc>
          <w:tcPr>
            <w:tcW w:w="1408" w:type="dxa"/>
            <w:vAlign w:val="center"/>
          </w:tcPr>
          <w:p w14:paraId="1A076C57" w14:textId="1AFDF7A9" w:rsidR="006313F8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4, A4.4</w:t>
            </w:r>
          </w:p>
        </w:tc>
        <w:tc>
          <w:tcPr>
            <w:tcW w:w="4641" w:type="dxa"/>
            <w:vAlign w:val="center"/>
          </w:tcPr>
          <w:p w14:paraId="75730E9A" w14:textId="77777777" w:rsidR="006313F8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 new PICS is needed for protocol implementation conformance of in-band/guard-band. </w:t>
            </w:r>
          </w:p>
          <w:p w14:paraId="29D408AB" w14:textId="5BBD4178" w:rsidR="006313F8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 subset of test cases may be applicable for conformance of in-band/guard-band protocol implementation.</w:t>
            </w:r>
          </w:p>
        </w:tc>
        <w:tc>
          <w:tcPr>
            <w:tcW w:w="3301" w:type="dxa"/>
            <w:vAlign w:val="center"/>
          </w:tcPr>
          <w:p w14:paraId="1EB1BDB4" w14:textId="504218A7" w:rsidR="006313F8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a new PICS for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inband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guardband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operation </w:t>
            </w:r>
          </w:p>
          <w:p w14:paraId="465D5167" w14:textId="73DB7A07" w:rsidR="006313F8" w:rsidRPr="002155D9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Further assess which of the test cases for which this PICS and Note should be added.</w:t>
            </w:r>
          </w:p>
        </w:tc>
      </w:tr>
      <w:tr w:rsidR="006313F8" w14:paraId="543EA125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38E56ACA" w14:textId="062872F4" w:rsidR="006313F8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36.523-3</w:t>
            </w:r>
          </w:p>
        </w:tc>
      </w:tr>
      <w:tr w:rsidR="006313F8" w14:paraId="2F531CDE" w14:textId="77777777" w:rsidTr="00774C3B">
        <w:tc>
          <w:tcPr>
            <w:tcW w:w="1408" w:type="dxa"/>
            <w:vAlign w:val="center"/>
          </w:tcPr>
          <w:p w14:paraId="01B8F983" w14:textId="0CE4265F" w:rsidR="006313F8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9.3</w:t>
            </w:r>
          </w:p>
        </w:tc>
        <w:tc>
          <w:tcPr>
            <w:tcW w:w="4641" w:type="dxa"/>
            <w:vAlign w:val="center"/>
          </w:tcPr>
          <w:p w14:paraId="3048CDBD" w14:textId="6DA99170" w:rsidR="006313F8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proofErr w:type="gram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Similar to</w:t>
            </w:r>
            <w:proofErr w:type="gram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variable Tx-Rx spacing, further discuss if a new PIXIT is required to execute the test twice</w:t>
            </w:r>
          </w:p>
        </w:tc>
        <w:tc>
          <w:tcPr>
            <w:tcW w:w="3301" w:type="dxa"/>
            <w:vAlign w:val="center"/>
          </w:tcPr>
          <w:p w14:paraId="74099983" w14:textId="34EDCBEF" w:rsidR="006313F8" w:rsidRDefault="006313F8" w:rsidP="006313F8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Discuss and reach consensus on whether a new PIXIT needs to be specified or not.</w:t>
            </w:r>
          </w:p>
        </w:tc>
      </w:tr>
    </w:tbl>
    <w:p w14:paraId="24954BC2" w14:textId="77777777" w:rsidR="00411A70" w:rsidRDefault="00411A70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747ACA13" w14:textId="5301EBA9" w:rsidR="000F4676" w:rsidRDefault="006A085C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 w:rsidR="00860A0F"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 w:rsidR="00860A0F">
        <w:rPr>
          <w:rFonts w:ascii="Calibri" w:eastAsia="Calibri" w:hAnsi="Calibri"/>
          <w:bCs/>
          <w:sz w:val="22"/>
          <w:szCs w:val="22"/>
        </w:rPr>
        <w:t xml:space="preserve">Endorse the </w:t>
      </w:r>
      <w:r w:rsidR="00411A70">
        <w:rPr>
          <w:rFonts w:ascii="Calibri" w:eastAsia="Calibri" w:hAnsi="Calibri"/>
          <w:bCs/>
          <w:sz w:val="22"/>
          <w:szCs w:val="22"/>
        </w:rPr>
        <w:t>way forward</w:t>
      </w:r>
      <w:r w:rsidR="00860A0F">
        <w:rPr>
          <w:rFonts w:ascii="Calibri" w:eastAsia="Calibri" w:hAnsi="Calibri"/>
          <w:bCs/>
          <w:sz w:val="22"/>
          <w:szCs w:val="22"/>
        </w:rPr>
        <w:t xml:space="preserve"> proposed as part of the above assessment</w:t>
      </w:r>
      <w:r w:rsidR="00411A70">
        <w:rPr>
          <w:rFonts w:ascii="Calibri" w:eastAsia="Calibri" w:hAnsi="Calibri"/>
          <w:bCs/>
          <w:sz w:val="22"/>
          <w:szCs w:val="22"/>
        </w:rPr>
        <w:t xml:space="preserve"> and invite contribution</w:t>
      </w:r>
      <w:r w:rsidR="00063AAA">
        <w:rPr>
          <w:rFonts w:ascii="Calibri" w:eastAsia="Calibri" w:hAnsi="Calibri"/>
          <w:bCs/>
          <w:sz w:val="22"/>
          <w:szCs w:val="22"/>
        </w:rPr>
        <w:t>s</w:t>
      </w:r>
      <w:r w:rsidR="00411A70">
        <w:rPr>
          <w:rFonts w:ascii="Calibri" w:eastAsia="Calibri" w:hAnsi="Calibri"/>
          <w:bCs/>
          <w:sz w:val="22"/>
          <w:szCs w:val="22"/>
        </w:rPr>
        <w:t xml:space="preserve"> for future meetings</w:t>
      </w:r>
      <w:r w:rsidR="00063AAA">
        <w:rPr>
          <w:rFonts w:ascii="Calibri" w:eastAsia="Calibri" w:hAnsi="Calibri"/>
          <w:bCs/>
          <w:sz w:val="22"/>
          <w:szCs w:val="22"/>
        </w:rPr>
        <w:t xml:space="preserve"> to progress the work</w:t>
      </w:r>
      <w:r w:rsidR="00067161">
        <w:rPr>
          <w:rFonts w:ascii="Calibri" w:eastAsia="Calibri" w:hAnsi="Calibri"/>
          <w:bCs/>
          <w:sz w:val="22"/>
          <w:szCs w:val="22"/>
        </w:rPr>
        <w:t>.</w:t>
      </w:r>
    </w:p>
    <w:p w14:paraId="650C0115" w14:textId="3C827D94" w:rsidR="00205EE5" w:rsidRDefault="00205EE5" w:rsidP="00205EE5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2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Reach consensus on whether PIXIT needs to be specified or not to enable protocol conformance testing</w:t>
      </w:r>
      <w:r w:rsidRPr="00AC7388">
        <w:rPr>
          <w:rFonts w:ascii="Calibri" w:eastAsia="Calibri" w:hAnsi="Calibri"/>
          <w:bCs/>
          <w:sz w:val="22"/>
          <w:szCs w:val="22"/>
        </w:rPr>
        <w:t xml:space="preserve"> </w:t>
      </w:r>
      <w:r>
        <w:rPr>
          <w:rFonts w:ascii="Calibri" w:eastAsia="Calibri" w:hAnsi="Calibri"/>
          <w:bCs/>
          <w:sz w:val="22"/>
          <w:szCs w:val="22"/>
        </w:rPr>
        <w:t>for NB-IoT in-band operation in NTN NR.</w:t>
      </w:r>
    </w:p>
    <w:p w14:paraId="7259407D" w14:textId="77777777" w:rsidR="00205EE5" w:rsidRDefault="00205EE5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</w:p>
    <w:p w14:paraId="48B014C4" w14:textId="77777777" w:rsidR="00E91CF7" w:rsidRDefault="00E91CF7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</w:p>
    <w:p w14:paraId="142691FC" w14:textId="40AE6406" w:rsidR="00733950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733950">
        <w:t>.</w:t>
      </w:r>
      <w:r w:rsidR="00733950">
        <w:tab/>
        <w:t>Conclusion</w:t>
      </w:r>
    </w:p>
    <w:p w14:paraId="2B999427" w14:textId="2219B18C" w:rsidR="00063AAA" w:rsidRDefault="00063AAA" w:rsidP="00063AAA">
      <w:pPr>
        <w:rPr>
          <w:b/>
          <w:bCs/>
          <w:lang w:val="en-GB"/>
        </w:rPr>
      </w:pPr>
      <w:r>
        <w:rPr>
          <w:b/>
          <w:bCs/>
          <w:lang w:val="en-GB"/>
        </w:rPr>
        <w:t>Observation 1: The NTN UE support for in-band operation of NB-IoT is optional in Rel-18 but mandatory from Rel-19</w:t>
      </w:r>
      <w:r w:rsidR="009944D9">
        <w:rPr>
          <w:b/>
          <w:bCs/>
          <w:lang w:val="en-GB"/>
        </w:rPr>
        <w:t xml:space="preserve"> [2], [3]</w:t>
      </w:r>
      <w:r>
        <w:rPr>
          <w:b/>
          <w:bCs/>
          <w:lang w:val="en-GB"/>
        </w:rPr>
        <w:t>.</w:t>
      </w:r>
    </w:p>
    <w:p w14:paraId="3DD56633" w14:textId="77777777" w:rsidR="00063AAA" w:rsidRDefault="00063AAA" w:rsidP="00063AAA">
      <w:pPr>
        <w:rPr>
          <w:b/>
          <w:bCs/>
          <w:lang w:val="en-GB"/>
        </w:rPr>
      </w:pPr>
    </w:p>
    <w:p w14:paraId="3EBE8330" w14:textId="61A77F35" w:rsidR="00063AAA" w:rsidRPr="006A085C" w:rsidRDefault="00063AAA" w:rsidP="00063AAA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formulae for FDL and FUL are different between stand-alone and in-band operation</w:t>
      </w:r>
      <w:r w:rsidR="009944D9">
        <w:rPr>
          <w:b/>
          <w:bCs/>
          <w:lang w:val="en-GB"/>
        </w:rPr>
        <w:t>s.</w:t>
      </w:r>
    </w:p>
    <w:p w14:paraId="2DBBA3B4" w14:textId="77777777" w:rsidR="00063AAA" w:rsidRDefault="00063AAA" w:rsidP="00063AAA">
      <w:pPr>
        <w:rPr>
          <w:b/>
          <w:bCs/>
          <w:lang w:val="en-GB"/>
        </w:rPr>
      </w:pPr>
    </w:p>
    <w:p w14:paraId="475069F1" w14:textId="77777777" w:rsidR="00287EBE" w:rsidRDefault="00287EBE" w:rsidP="00287EBE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3:  Since the in-band/guard band operation is within an NR NTN channel, the </w:t>
      </w:r>
      <w:proofErr w:type="spellStart"/>
      <w:r w:rsidRPr="0027367F">
        <w:rPr>
          <w:b/>
          <w:bCs/>
          <w:i/>
          <w:iCs/>
          <w:lang w:val="en-GB"/>
        </w:rPr>
        <w:t>operation</w:t>
      </w:r>
      <w:r>
        <w:rPr>
          <w:b/>
          <w:bCs/>
          <w:i/>
          <w:iCs/>
          <w:lang w:val="en-GB"/>
        </w:rPr>
        <w:t>M</w:t>
      </w:r>
      <w:r w:rsidRPr="0027367F">
        <w:rPr>
          <w:b/>
          <w:bCs/>
          <w:i/>
          <w:iCs/>
          <w:lang w:val="en-GB"/>
        </w:rPr>
        <w:t>ode</w:t>
      </w:r>
      <w:r>
        <w:rPr>
          <w:b/>
          <w:bCs/>
          <w:i/>
          <w:iCs/>
          <w:lang w:val="en-GB"/>
        </w:rPr>
        <w:t>I</w:t>
      </w:r>
      <w:r w:rsidRPr="0027367F">
        <w:rPr>
          <w:b/>
          <w:bCs/>
          <w:i/>
          <w:iCs/>
          <w:lang w:val="en-GB"/>
        </w:rPr>
        <w:t>nfo</w:t>
      </w:r>
      <w:proofErr w:type="spellEnd"/>
      <w:r>
        <w:rPr>
          <w:b/>
          <w:bCs/>
          <w:lang w:val="en-GB"/>
        </w:rPr>
        <w:t xml:space="preserve"> IE in MIB-NB is expected to be set to “guardband-r13” to ensure that the UE is assuming that REs </w:t>
      </w:r>
      <w:proofErr w:type="gramStart"/>
      <w:r>
        <w:rPr>
          <w:b/>
          <w:bCs/>
          <w:lang w:val="en-GB"/>
        </w:rPr>
        <w:t>are</w:t>
      </w:r>
      <w:proofErr w:type="gramEnd"/>
      <w:r>
        <w:rPr>
          <w:b/>
          <w:bCs/>
          <w:lang w:val="en-GB"/>
        </w:rPr>
        <w:t xml:space="preserve"> not reserved for E-UTRA PDCCH/CRS and is not expecting reception of E-UTRA CRS.</w:t>
      </w:r>
    </w:p>
    <w:p w14:paraId="72FD0BD4" w14:textId="77777777" w:rsidR="00287EBE" w:rsidRDefault="00287EBE" w:rsidP="00287EBE">
      <w:pPr>
        <w:rPr>
          <w:b/>
          <w:bCs/>
          <w:lang w:val="en-GB"/>
        </w:rPr>
      </w:pPr>
    </w:p>
    <w:p w14:paraId="70BBB694" w14:textId="77777777" w:rsidR="00287EBE" w:rsidRDefault="00287EBE" w:rsidP="00287EBE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Because the </w:t>
      </w:r>
      <w:proofErr w:type="spellStart"/>
      <w:r w:rsidRPr="0027367F">
        <w:rPr>
          <w:b/>
          <w:bCs/>
          <w:i/>
          <w:iCs/>
          <w:lang w:val="en-GB"/>
        </w:rPr>
        <w:t>operation</w:t>
      </w:r>
      <w:r>
        <w:rPr>
          <w:b/>
          <w:bCs/>
          <w:i/>
          <w:iCs/>
          <w:lang w:val="en-GB"/>
        </w:rPr>
        <w:t>M</w:t>
      </w:r>
      <w:r w:rsidRPr="0027367F">
        <w:rPr>
          <w:b/>
          <w:bCs/>
          <w:i/>
          <w:iCs/>
          <w:lang w:val="en-GB"/>
        </w:rPr>
        <w:t>ode</w:t>
      </w:r>
      <w:r>
        <w:rPr>
          <w:b/>
          <w:bCs/>
          <w:i/>
          <w:iCs/>
          <w:lang w:val="en-GB"/>
        </w:rPr>
        <w:t>I</w:t>
      </w:r>
      <w:r w:rsidRPr="0027367F">
        <w:rPr>
          <w:b/>
          <w:bCs/>
          <w:i/>
          <w:iCs/>
          <w:lang w:val="en-GB"/>
        </w:rPr>
        <w:t>nfo</w:t>
      </w:r>
      <w:proofErr w:type="spellEnd"/>
      <w:r>
        <w:rPr>
          <w:b/>
          <w:bCs/>
          <w:lang w:val="en-GB"/>
        </w:rPr>
        <w:t xml:space="preserve"> IE is always set to indicate guard band operation, assignment of FUL in the guard band is not precluded by the specs </w:t>
      </w:r>
      <w:proofErr w:type="gramStart"/>
      <w:r>
        <w:rPr>
          <w:b/>
          <w:bCs/>
          <w:lang w:val="en-GB"/>
        </w:rPr>
        <w:t>as long as</w:t>
      </w:r>
      <w:proofErr w:type="gramEnd"/>
      <w:r>
        <w:rPr>
          <w:b/>
          <w:bCs/>
          <w:lang w:val="en-GB"/>
        </w:rPr>
        <w:t xml:space="preserve"> the lower/upper channel edges are farther away from the lower/upper spectrum block edges.</w:t>
      </w:r>
    </w:p>
    <w:p w14:paraId="071E57AD" w14:textId="77777777" w:rsidR="00063AAA" w:rsidRDefault="00063AAA" w:rsidP="00063AAA">
      <w:pPr>
        <w:rPr>
          <w:b/>
          <w:bCs/>
          <w:lang w:val="en-GB"/>
        </w:rPr>
      </w:pPr>
    </w:p>
    <w:p w14:paraId="5F71537B" w14:textId="6DBB2511" w:rsidR="00CD6910" w:rsidRPr="00063AAA" w:rsidRDefault="00063AAA" w:rsidP="00063AAA">
      <w:pPr>
        <w:rPr>
          <w:b/>
          <w:bCs/>
          <w:lang w:val="en-GB"/>
        </w:rPr>
      </w:pPr>
      <w:r w:rsidRPr="00537176">
        <w:rPr>
          <w:b/>
          <w:bCs/>
          <w:lang w:val="en-GB"/>
        </w:rPr>
        <w:t>Observation 5: The demodulation and RRM requirements have not been updated in the core specifications.</w:t>
      </w:r>
    </w:p>
    <w:p w14:paraId="2BB34505" w14:textId="77777777" w:rsidR="00063AAA" w:rsidRDefault="00063AAA" w:rsidP="00063AAA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</w:p>
    <w:p w14:paraId="4AFF05B1" w14:textId="3F89FCC7" w:rsidR="00063AAA" w:rsidRDefault="00063AAA" w:rsidP="00063AAA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Endorse the way forward proposed as part of the above assessment and invite contribution for future meetings.</w:t>
      </w:r>
    </w:p>
    <w:p w14:paraId="4E5D0C18" w14:textId="0E3FB222" w:rsidR="00205EE5" w:rsidRDefault="00205EE5" w:rsidP="00205EE5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2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Reach consensus on whether PIXIT needs to be specified or not to enable protocol conformance testing</w:t>
      </w:r>
      <w:r w:rsidRPr="00AC7388">
        <w:rPr>
          <w:rFonts w:ascii="Calibri" w:eastAsia="Calibri" w:hAnsi="Calibri"/>
          <w:bCs/>
          <w:sz w:val="22"/>
          <w:szCs w:val="22"/>
        </w:rPr>
        <w:t xml:space="preserve"> </w:t>
      </w:r>
      <w:r>
        <w:rPr>
          <w:rFonts w:ascii="Calibri" w:eastAsia="Calibri" w:hAnsi="Calibri"/>
          <w:bCs/>
          <w:sz w:val="22"/>
          <w:szCs w:val="22"/>
        </w:rPr>
        <w:t>for NB-IoT in-band operation in NTN NR.</w:t>
      </w:r>
    </w:p>
    <w:p w14:paraId="2BFE329F" w14:textId="77777777" w:rsidR="000457E5" w:rsidRDefault="000457E5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2682DF9" w14:textId="1D6F7F73" w:rsidR="0032559D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45098B37" w:rsidR="008B5E8A" w:rsidRDefault="008B5E8A" w:rsidP="009E2EF4">
      <w:pPr>
        <w:ind w:left="576" w:hanging="576"/>
      </w:pPr>
      <w:r>
        <w:t>[1]</w:t>
      </w:r>
      <w:r>
        <w:tab/>
        <w:t>R</w:t>
      </w:r>
      <w:r w:rsidR="00067161">
        <w:t>P-25</w:t>
      </w:r>
      <w:r w:rsidR="00095681">
        <w:t>0611</w:t>
      </w:r>
      <w:r w:rsidR="00143F3C">
        <w:t xml:space="preserve">, </w:t>
      </w:r>
      <w:r w:rsidR="0016513F">
        <w:t>RAN4 CRs to Maintenance for Closed WIs/SIs for REL-18 and earlier – Batch 23</w:t>
      </w:r>
    </w:p>
    <w:p w14:paraId="451C8C9F" w14:textId="3A42670F" w:rsidR="001531E0" w:rsidRDefault="001531E0" w:rsidP="009E2EF4">
      <w:pPr>
        <w:ind w:left="576" w:hanging="576"/>
      </w:pPr>
      <w:r>
        <w:t>[</w:t>
      </w:r>
      <w:r w:rsidR="008B5E8A">
        <w:t>2</w:t>
      </w:r>
      <w:r>
        <w:t>]</w:t>
      </w:r>
      <w:r>
        <w:tab/>
      </w:r>
      <w:r w:rsidR="00067161">
        <w:t>TS 36.102 v18.8.0</w:t>
      </w:r>
    </w:p>
    <w:p w14:paraId="41FD15B1" w14:textId="20CEDB18" w:rsidR="00694D9F" w:rsidRDefault="00694D9F" w:rsidP="009E2EF4">
      <w:pPr>
        <w:ind w:left="576" w:hanging="576"/>
      </w:pPr>
      <w:r w:rsidRPr="0011774B">
        <w:t>[</w:t>
      </w:r>
      <w:r w:rsidR="008B5E8A">
        <w:t>3</w:t>
      </w:r>
      <w:r w:rsidRPr="0011774B">
        <w:t>]</w:t>
      </w:r>
      <w:r>
        <w:tab/>
      </w:r>
      <w:r w:rsidR="00067161">
        <w:t>TS 36.307 v18.8.0</w:t>
      </w: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085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E989E" w14:textId="77777777" w:rsidR="00234D80" w:rsidRDefault="00234D80" w:rsidP="00DB5EAC">
      <w:r>
        <w:separator/>
      </w:r>
    </w:p>
  </w:endnote>
  <w:endnote w:type="continuationSeparator" w:id="0">
    <w:p w14:paraId="044403E3" w14:textId="77777777" w:rsidR="00234D80" w:rsidRDefault="00234D80" w:rsidP="00DB5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C4081" w14:textId="77777777" w:rsidR="00234D80" w:rsidRDefault="00234D80" w:rsidP="00DB5EAC">
      <w:r>
        <w:separator/>
      </w:r>
    </w:p>
  </w:footnote>
  <w:footnote w:type="continuationSeparator" w:id="0">
    <w:p w14:paraId="5634E036" w14:textId="77777777" w:rsidR="00234D80" w:rsidRDefault="00234D80" w:rsidP="00DB5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3"/>
  </w:num>
  <w:num w:numId="2" w16cid:durableId="572396327">
    <w:abstractNumId w:val="2"/>
  </w:num>
  <w:num w:numId="3" w16cid:durableId="313410248">
    <w:abstractNumId w:val="4"/>
  </w:num>
  <w:num w:numId="4" w16cid:durableId="338891188">
    <w:abstractNumId w:val="0"/>
  </w:num>
  <w:num w:numId="5" w16cid:durableId="19686637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5ACC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9FD"/>
    <w:rsid w:val="00042A62"/>
    <w:rsid w:val="000448F2"/>
    <w:rsid w:val="00044E07"/>
    <w:rsid w:val="000457E5"/>
    <w:rsid w:val="0004580B"/>
    <w:rsid w:val="00051969"/>
    <w:rsid w:val="00052D90"/>
    <w:rsid w:val="00055ADE"/>
    <w:rsid w:val="00057152"/>
    <w:rsid w:val="000576A8"/>
    <w:rsid w:val="0006056E"/>
    <w:rsid w:val="00063AAA"/>
    <w:rsid w:val="00065810"/>
    <w:rsid w:val="00066F9A"/>
    <w:rsid w:val="00067161"/>
    <w:rsid w:val="00072430"/>
    <w:rsid w:val="00074F35"/>
    <w:rsid w:val="000777D7"/>
    <w:rsid w:val="00077E80"/>
    <w:rsid w:val="000811A4"/>
    <w:rsid w:val="00081AFF"/>
    <w:rsid w:val="00081DA0"/>
    <w:rsid w:val="00082932"/>
    <w:rsid w:val="00083D1D"/>
    <w:rsid w:val="00083F12"/>
    <w:rsid w:val="000845CA"/>
    <w:rsid w:val="000847E1"/>
    <w:rsid w:val="000859DD"/>
    <w:rsid w:val="00085BAE"/>
    <w:rsid w:val="000865A6"/>
    <w:rsid w:val="00086F8D"/>
    <w:rsid w:val="00090AA3"/>
    <w:rsid w:val="00090E29"/>
    <w:rsid w:val="0009108B"/>
    <w:rsid w:val="00091B10"/>
    <w:rsid w:val="00092343"/>
    <w:rsid w:val="00095681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257E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14AE"/>
    <w:rsid w:val="000F30AA"/>
    <w:rsid w:val="000F4075"/>
    <w:rsid w:val="000F41B3"/>
    <w:rsid w:val="000F4676"/>
    <w:rsid w:val="000F7BAA"/>
    <w:rsid w:val="000F7FDA"/>
    <w:rsid w:val="00101964"/>
    <w:rsid w:val="00105712"/>
    <w:rsid w:val="00106A66"/>
    <w:rsid w:val="00106A88"/>
    <w:rsid w:val="001070A6"/>
    <w:rsid w:val="0011048D"/>
    <w:rsid w:val="001132E2"/>
    <w:rsid w:val="00114BB0"/>
    <w:rsid w:val="001150EC"/>
    <w:rsid w:val="001161AD"/>
    <w:rsid w:val="001173B8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1F34"/>
    <w:rsid w:val="001531E0"/>
    <w:rsid w:val="00157F6F"/>
    <w:rsid w:val="00161E4C"/>
    <w:rsid w:val="00162799"/>
    <w:rsid w:val="00162CCD"/>
    <w:rsid w:val="00162E9B"/>
    <w:rsid w:val="00164947"/>
    <w:rsid w:val="00164AC6"/>
    <w:rsid w:val="0016513F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1E8F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6B6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05EE5"/>
    <w:rsid w:val="002114CB"/>
    <w:rsid w:val="00211E55"/>
    <w:rsid w:val="00215120"/>
    <w:rsid w:val="00215183"/>
    <w:rsid w:val="002155D9"/>
    <w:rsid w:val="00222759"/>
    <w:rsid w:val="002229F3"/>
    <w:rsid w:val="00222DC4"/>
    <w:rsid w:val="00223DDE"/>
    <w:rsid w:val="00225503"/>
    <w:rsid w:val="0022621A"/>
    <w:rsid w:val="002302F6"/>
    <w:rsid w:val="002336E7"/>
    <w:rsid w:val="00234D80"/>
    <w:rsid w:val="002353DE"/>
    <w:rsid w:val="00241CEB"/>
    <w:rsid w:val="00242C63"/>
    <w:rsid w:val="00242E40"/>
    <w:rsid w:val="00242FDE"/>
    <w:rsid w:val="00245392"/>
    <w:rsid w:val="0024548C"/>
    <w:rsid w:val="0024731F"/>
    <w:rsid w:val="002475B8"/>
    <w:rsid w:val="00252940"/>
    <w:rsid w:val="00260068"/>
    <w:rsid w:val="00261828"/>
    <w:rsid w:val="00262E0F"/>
    <w:rsid w:val="00262E4C"/>
    <w:rsid w:val="002645E7"/>
    <w:rsid w:val="00264FB4"/>
    <w:rsid w:val="00266A2C"/>
    <w:rsid w:val="00266AFA"/>
    <w:rsid w:val="002674BC"/>
    <w:rsid w:val="00267B75"/>
    <w:rsid w:val="00270620"/>
    <w:rsid w:val="00271010"/>
    <w:rsid w:val="00271F57"/>
    <w:rsid w:val="002725FB"/>
    <w:rsid w:val="0027367F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87EBE"/>
    <w:rsid w:val="002908A2"/>
    <w:rsid w:val="00292B33"/>
    <w:rsid w:val="0029376C"/>
    <w:rsid w:val="00294EF0"/>
    <w:rsid w:val="00295310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11D6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3633"/>
    <w:rsid w:val="002E4AB7"/>
    <w:rsid w:val="002E4B32"/>
    <w:rsid w:val="002E5ECB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48F"/>
    <w:rsid w:val="003647A7"/>
    <w:rsid w:val="003649CF"/>
    <w:rsid w:val="00367FDD"/>
    <w:rsid w:val="00371433"/>
    <w:rsid w:val="00372888"/>
    <w:rsid w:val="00372BAE"/>
    <w:rsid w:val="003730DD"/>
    <w:rsid w:val="003801FB"/>
    <w:rsid w:val="00386A25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1A70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54DCC"/>
    <w:rsid w:val="00457BA1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5369"/>
    <w:rsid w:val="004B79C8"/>
    <w:rsid w:val="004C2594"/>
    <w:rsid w:val="004C3E58"/>
    <w:rsid w:val="004C40CC"/>
    <w:rsid w:val="004C5762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176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49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3F8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6F6"/>
    <w:rsid w:val="006578DA"/>
    <w:rsid w:val="0066259D"/>
    <w:rsid w:val="00664032"/>
    <w:rsid w:val="00666E86"/>
    <w:rsid w:val="00671FED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182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085C"/>
    <w:rsid w:val="006A10C9"/>
    <w:rsid w:val="006A1250"/>
    <w:rsid w:val="006A1864"/>
    <w:rsid w:val="006A3B1A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4D0C"/>
    <w:rsid w:val="006E51E6"/>
    <w:rsid w:val="006E5E02"/>
    <w:rsid w:val="006F001F"/>
    <w:rsid w:val="006F338B"/>
    <w:rsid w:val="006F43C8"/>
    <w:rsid w:val="006F4DEF"/>
    <w:rsid w:val="00700D42"/>
    <w:rsid w:val="00702E3C"/>
    <w:rsid w:val="007064B7"/>
    <w:rsid w:val="00707404"/>
    <w:rsid w:val="0071069B"/>
    <w:rsid w:val="007108A3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08AC"/>
    <w:rsid w:val="007320FC"/>
    <w:rsid w:val="00732CA4"/>
    <w:rsid w:val="00733594"/>
    <w:rsid w:val="00733950"/>
    <w:rsid w:val="00734EB0"/>
    <w:rsid w:val="007378FB"/>
    <w:rsid w:val="007402E4"/>
    <w:rsid w:val="007409E1"/>
    <w:rsid w:val="00740CFD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4C3B"/>
    <w:rsid w:val="00775DA6"/>
    <w:rsid w:val="00776D48"/>
    <w:rsid w:val="00776E09"/>
    <w:rsid w:val="00777644"/>
    <w:rsid w:val="00781F43"/>
    <w:rsid w:val="0078345D"/>
    <w:rsid w:val="00783E15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476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18B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4B0"/>
    <w:rsid w:val="00856BB2"/>
    <w:rsid w:val="00860A0F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E6454"/>
    <w:rsid w:val="008F0238"/>
    <w:rsid w:val="008F0EF9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6B6"/>
    <w:rsid w:val="00910E67"/>
    <w:rsid w:val="0091270A"/>
    <w:rsid w:val="00912E71"/>
    <w:rsid w:val="00913518"/>
    <w:rsid w:val="00915243"/>
    <w:rsid w:val="00915ED1"/>
    <w:rsid w:val="009165B4"/>
    <w:rsid w:val="00916955"/>
    <w:rsid w:val="009222AF"/>
    <w:rsid w:val="00922CEC"/>
    <w:rsid w:val="009241E8"/>
    <w:rsid w:val="00925398"/>
    <w:rsid w:val="009302FA"/>
    <w:rsid w:val="0093065D"/>
    <w:rsid w:val="00931277"/>
    <w:rsid w:val="00931B38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5DFE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DF3"/>
    <w:rsid w:val="0097617E"/>
    <w:rsid w:val="009761C8"/>
    <w:rsid w:val="00976FEF"/>
    <w:rsid w:val="00982233"/>
    <w:rsid w:val="009829DE"/>
    <w:rsid w:val="00983394"/>
    <w:rsid w:val="0098389C"/>
    <w:rsid w:val="009846E7"/>
    <w:rsid w:val="00987095"/>
    <w:rsid w:val="00987473"/>
    <w:rsid w:val="009875E2"/>
    <w:rsid w:val="009944D9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35D3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4D2B"/>
    <w:rsid w:val="009F5BC0"/>
    <w:rsid w:val="00A0031D"/>
    <w:rsid w:val="00A009C1"/>
    <w:rsid w:val="00A02C5F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4CA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3A9D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5E3D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01C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72981"/>
    <w:rsid w:val="00B74D86"/>
    <w:rsid w:val="00B767D8"/>
    <w:rsid w:val="00B76E00"/>
    <w:rsid w:val="00B82290"/>
    <w:rsid w:val="00B8338B"/>
    <w:rsid w:val="00B864F1"/>
    <w:rsid w:val="00B91E18"/>
    <w:rsid w:val="00B94737"/>
    <w:rsid w:val="00B9480A"/>
    <w:rsid w:val="00B97AEC"/>
    <w:rsid w:val="00B97DA8"/>
    <w:rsid w:val="00BA012B"/>
    <w:rsid w:val="00BA02EC"/>
    <w:rsid w:val="00BB077C"/>
    <w:rsid w:val="00BB0F0A"/>
    <w:rsid w:val="00BB1E42"/>
    <w:rsid w:val="00BB40EE"/>
    <w:rsid w:val="00BB750A"/>
    <w:rsid w:val="00BB7D37"/>
    <w:rsid w:val="00BC00E3"/>
    <w:rsid w:val="00BC1A9A"/>
    <w:rsid w:val="00BC21A4"/>
    <w:rsid w:val="00BC430D"/>
    <w:rsid w:val="00BC604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322"/>
    <w:rsid w:val="00BF6BC6"/>
    <w:rsid w:val="00BF70B9"/>
    <w:rsid w:val="00BF750A"/>
    <w:rsid w:val="00C010CE"/>
    <w:rsid w:val="00C014E5"/>
    <w:rsid w:val="00C0161E"/>
    <w:rsid w:val="00C01853"/>
    <w:rsid w:val="00C02598"/>
    <w:rsid w:val="00C02942"/>
    <w:rsid w:val="00C02D56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061"/>
    <w:rsid w:val="00C72650"/>
    <w:rsid w:val="00C726E2"/>
    <w:rsid w:val="00C73683"/>
    <w:rsid w:val="00C75ED6"/>
    <w:rsid w:val="00C75FC4"/>
    <w:rsid w:val="00C77C3C"/>
    <w:rsid w:val="00C80040"/>
    <w:rsid w:val="00C82114"/>
    <w:rsid w:val="00C848D7"/>
    <w:rsid w:val="00C91309"/>
    <w:rsid w:val="00C93848"/>
    <w:rsid w:val="00C94B0C"/>
    <w:rsid w:val="00C95C2A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5773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93"/>
    <w:rsid w:val="00CF15FE"/>
    <w:rsid w:val="00CF30AE"/>
    <w:rsid w:val="00CF3665"/>
    <w:rsid w:val="00CF3705"/>
    <w:rsid w:val="00CF3CEE"/>
    <w:rsid w:val="00CF42F7"/>
    <w:rsid w:val="00CF452E"/>
    <w:rsid w:val="00CF46DF"/>
    <w:rsid w:val="00CF4D3C"/>
    <w:rsid w:val="00CF5157"/>
    <w:rsid w:val="00CF5704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66A5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5B4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1977"/>
    <w:rsid w:val="00D42A57"/>
    <w:rsid w:val="00D43EE2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60E"/>
    <w:rsid w:val="00DB5B78"/>
    <w:rsid w:val="00DB5BCF"/>
    <w:rsid w:val="00DB5EAC"/>
    <w:rsid w:val="00DB5EFD"/>
    <w:rsid w:val="00DB68AC"/>
    <w:rsid w:val="00DC314F"/>
    <w:rsid w:val="00DD0082"/>
    <w:rsid w:val="00DD02D9"/>
    <w:rsid w:val="00DD080C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0CC"/>
    <w:rsid w:val="00DF2386"/>
    <w:rsid w:val="00DF23DB"/>
    <w:rsid w:val="00DF351F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433DB"/>
    <w:rsid w:val="00E50FFA"/>
    <w:rsid w:val="00E5285C"/>
    <w:rsid w:val="00E536AF"/>
    <w:rsid w:val="00E53FE7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0D31"/>
    <w:rsid w:val="00E82FFB"/>
    <w:rsid w:val="00E83A08"/>
    <w:rsid w:val="00E83AD3"/>
    <w:rsid w:val="00E83F87"/>
    <w:rsid w:val="00E86844"/>
    <w:rsid w:val="00E91CF7"/>
    <w:rsid w:val="00E9253E"/>
    <w:rsid w:val="00E92733"/>
    <w:rsid w:val="00E9448E"/>
    <w:rsid w:val="00E95A79"/>
    <w:rsid w:val="00E95B46"/>
    <w:rsid w:val="00E9686B"/>
    <w:rsid w:val="00E970F2"/>
    <w:rsid w:val="00EA12B0"/>
    <w:rsid w:val="00EA12B9"/>
    <w:rsid w:val="00EA38A5"/>
    <w:rsid w:val="00EA3D95"/>
    <w:rsid w:val="00EA4E08"/>
    <w:rsid w:val="00EA72CF"/>
    <w:rsid w:val="00EA79B2"/>
    <w:rsid w:val="00EB2556"/>
    <w:rsid w:val="00EB2CDA"/>
    <w:rsid w:val="00EB3123"/>
    <w:rsid w:val="00EB357A"/>
    <w:rsid w:val="00EB7F8B"/>
    <w:rsid w:val="00EC0D22"/>
    <w:rsid w:val="00EC18BC"/>
    <w:rsid w:val="00EC2554"/>
    <w:rsid w:val="00EC2F4D"/>
    <w:rsid w:val="00EC64AC"/>
    <w:rsid w:val="00EC7BC9"/>
    <w:rsid w:val="00ED0A1C"/>
    <w:rsid w:val="00ED0B60"/>
    <w:rsid w:val="00ED10FA"/>
    <w:rsid w:val="00ED2147"/>
    <w:rsid w:val="00ED33BA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0BAB"/>
    <w:rsid w:val="00F0269C"/>
    <w:rsid w:val="00F027FD"/>
    <w:rsid w:val="00F0463A"/>
    <w:rsid w:val="00F0536C"/>
    <w:rsid w:val="00F05593"/>
    <w:rsid w:val="00F059C4"/>
    <w:rsid w:val="00F1076A"/>
    <w:rsid w:val="00F10934"/>
    <w:rsid w:val="00F116C5"/>
    <w:rsid w:val="00F12B1C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2C5C"/>
    <w:rsid w:val="00F32E3A"/>
    <w:rsid w:val="00F34CE8"/>
    <w:rsid w:val="00F35DEE"/>
    <w:rsid w:val="00F40072"/>
    <w:rsid w:val="00F40454"/>
    <w:rsid w:val="00F40CAE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72C9FBA0-29D7-6B44-AACE-23175E2F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TableGrid,SGS Table Basic 1"/>
    <w:basedOn w:val="TableNormal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8F0EF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qFormat/>
    <w:rsid w:val="008F0E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en-GB" w:eastAsia="en-GB"/>
    </w:rPr>
  </w:style>
  <w:style w:type="character" w:customStyle="1" w:styleId="EQChar">
    <w:name w:val="EQ Char"/>
    <w:link w:val="EQ"/>
    <w:qFormat/>
    <w:rsid w:val="008F0EF9"/>
    <w:rPr>
      <w:rFonts w:ascii="Times New Roman" w:eastAsia="Times New Roman" w:hAnsi="Times New Roman"/>
      <w:noProof/>
      <w:lang w:val="en-GB" w:eastAsia="en-GB"/>
    </w:rPr>
  </w:style>
  <w:style w:type="character" w:customStyle="1" w:styleId="NOChar1">
    <w:name w:val="NO Char1"/>
    <w:link w:val="NO"/>
    <w:qFormat/>
    <w:rsid w:val="008F0EF9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 (EchoStar)</dc:creator>
  <cp:keywords/>
  <dc:description/>
  <cp:lastModifiedBy>Ojas Choksi</cp:lastModifiedBy>
  <cp:revision>5</cp:revision>
  <cp:lastPrinted>2018-01-03T23:25:00Z</cp:lastPrinted>
  <dcterms:created xsi:type="dcterms:W3CDTF">2025-05-12T14:07:00Z</dcterms:created>
  <dcterms:modified xsi:type="dcterms:W3CDTF">2025-05-12T16:50:00Z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