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6F6C0F32"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w:t>
      </w:r>
      <w:r w:rsidR="00762716">
        <w:t>2</w:t>
      </w:r>
      <w:r w:rsidR="002A0AFF">
        <w:t xml:space="preserve">       </w:t>
      </w:r>
      <w:r w:rsidR="00527012">
        <w:t xml:space="preserve">     </w:t>
      </w:r>
      <w:r w:rsidR="0028318B">
        <w:t xml:space="preserve">    </w:t>
      </w:r>
      <w:r w:rsidR="001B5F1B">
        <w:t xml:space="preserve">      </w:t>
      </w:r>
      <w:r w:rsidR="0073491D">
        <w:t xml:space="preserve">       </w:t>
      </w:r>
      <w:r w:rsidR="00762716">
        <w:tab/>
      </w:r>
      <w:r w:rsidR="00762716">
        <w:tab/>
      </w:r>
      <w:r w:rsidR="0073491D">
        <w:t xml:space="preserve">   </w:t>
      </w:r>
      <w:r w:rsidR="00C86625" w:rsidRPr="00C86625">
        <w:rPr>
          <w:lang w:val="en-US"/>
        </w:rPr>
        <w:t>R5-241445</w:t>
      </w:r>
    </w:p>
    <w:p w14:paraId="7008F817" w14:textId="7BE6DEE4" w:rsidR="001E753F" w:rsidRDefault="00762716" w:rsidP="001E753F">
      <w:pPr>
        <w:rPr>
          <w:rFonts w:ascii="Arial" w:hAnsi="Arial"/>
          <w:b/>
          <w:noProof/>
        </w:rPr>
      </w:pPr>
      <w:r>
        <w:rPr>
          <w:rFonts w:ascii="Arial" w:hAnsi="Arial"/>
          <w:b/>
          <w:noProof/>
        </w:rPr>
        <w:t>Athens</w:t>
      </w:r>
      <w:r w:rsidR="001E753F" w:rsidRPr="00D06A96">
        <w:rPr>
          <w:rFonts w:ascii="Arial" w:hAnsi="Arial"/>
          <w:b/>
          <w:noProof/>
        </w:rPr>
        <w:t xml:space="preserve">, </w:t>
      </w:r>
      <w:r>
        <w:rPr>
          <w:rFonts w:ascii="Arial" w:hAnsi="Arial"/>
          <w:b/>
          <w:noProof/>
        </w:rPr>
        <w:t>Greece</w:t>
      </w:r>
      <w:r w:rsidR="001E753F" w:rsidRPr="00D06A96">
        <w:rPr>
          <w:rFonts w:ascii="Arial" w:hAnsi="Arial"/>
          <w:b/>
          <w:noProof/>
        </w:rPr>
        <w:t xml:space="preserve">, </w:t>
      </w:r>
      <w:r>
        <w:rPr>
          <w:rFonts w:ascii="Arial" w:hAnsi="Arial"/>
          <w:b/>
          <w:noProof/>
        </w:rPr>
        <w:t>26</w:t>
      </w:r>
      <w:r w:rsidRPr="00762716">
        <w:rPr>
          <w:rFonts w:ascii="Arial" w:hAnsi="Arial"/>
          <w:b/>
          <w:noProof/>
          <w:vertAlign w:val="superscript"/>
        </w:rPr>
        <w:t>th</w:t>
      </w:r>
      <w:r>
        <w:rPr>
          <w:rFonts w:ascii="Arial" w:hAnsi="Arial"/>
          <w:b/>
          <w:noProof/>
        </w:rPr>
        <w:t xml:space="preserve"> Feb – Mar 1</w:t>
      </w:r>
      <w:r w:rsidRPr="00762716">
        <w:rPr>
          <w:rFonts w:ascii="Arial" w:hAnsi="Arial"/>
          <w:b/>
          <w:noProof/>
          <w:vertAlign w:val="superscript"/>
        </w:rPr>
        <w:t>st</w:t>
      </w:r>
      <w:r>
        <w:rPr>
          <w:rFonts w:ascii="Arial" w:hAnsi="Arial"/>
          <w:b/>
          <w:noProof/>
        </w:rPr>
        <w:t>, 2024</w:t>
      </w:r>
    </w:p>
    <w:p w14:paraId="03983AD9" w14:textId="77777777" w:rsidR="00D309CC" w:rsidRDefault="00D309CC" w:rsidP="00D309CC">
      <w:pPr>
        <w:tabs>
          <w:tab w:val="left" w:pos="2160"/>
        </w:tabs>
        <w:rPr>
          <w:rFonts w:ascii="Arial" w:hAnsi="Arial" w:cs="Arial"/>
          <w:b/>
        </w:rPr>
      </w:pPr>
    </w:p>
    <w:p w14:paraId="021646DD" w14:textId="121A985A" w:rsidR="00DB2F35" w:rsidRPr="00DB2F35" w:rsidRDefault="00D309CC" w:rsidP="00DB2F35">
      <w:pPr>
        <w:pStyle w:val="CH"/>
        <w:spacing w:after="180"/>
      </w:pPr>
      <w:r w:rsidRPr="004266F6">
        <w:t>Agenda item:</w:t>
      </w:r>
      <w:r w:rsidRPr="004266F6">
        <w:tab/>
      </w:r>
      <w:r w:rsidR="005B718E" w:rsidRPr="005B718E">
        <w:rPr>
          <w:lang w:val="en-US"/>
        </w:rPr>
        <w:t>5.</w:t>
      </w:r>
      <w:r w:rsidR="00762716">
        <w:rPr>
          <w:lang w:val="en-US"/>
        </w:rPr>
        <w:t>4.20</w:t>
      </w:r>
    </w:p>
    <w:p w14:paraId="2BA95052" w14:textId="7FE6B4E0" w:rsidR="00D309CC" w:rsidRPr="004266F6" w:rsidRDefault="007B5C8F" w:rsidP="00DB2F35">
      <w:pPr>
        <w:pStyle w:val="CH"/>
        <w:spacing w:after="180"/>
        <w:rPr>
          <w:b w:val="0"/>
        </w:rPr>
      </w:pPr>
      <w:r w:rsidRPr="004266F6">
        <w:t>S</w:t>
      </w:r>
      <w:r w:rsidR="0028318B">
        <w:t>ource</w:t>
      </w:r>
      <w:r w:rsidRPr="004266F6">
        <w:t>:</w:t>
      </w:r>
      <w:r w:rsidR="009A4A3B">
        <w:t xml:space="preserve"> </w:t>
      </w:r>
      <w:r w:rsidR="00762716">
        <w:tab/>
      </w:r>
      <w:r w:rsidR="001E753F" w:rsidRPr="001E753F">
        <w:rPr>
          <w:lang w:val="en-US"/>
        </w:rPr>
        <w:t xml:space="preserve">Apple </w:t>
      </w:r>
      <w:r w:rsidR="00C86625">
        <w:rPr>
          <w:lang w:val="en-US"/>
        </w:rPr>
        <w:t>Trading</w:t>
      </w:r>
    </w:p>
    <w:p w14:paraId="00D11FF7" w14:textId="5A4F9651" w:rsidR="0081080F" w:rsidRDefault="00D309CC" w:rsidP="00DB2F35">
      <w:pPr>
        <w:pStyle w:val="CH"/>
        <w:spacing w:after="180"/>
        <w:rPr>
          <w:lang w:val="en-US"/>
        </w:rPr>
      </w:pPr>
      <w:r w:rsidRPr="004266F6">
        <w:t>Title:</w:t>
      </w:r>
      <w:r w:rsidR="007B5C8F">
        <w:t xml:space="preserve">       </w:t>
      </w:r>
      <w:r w:rsidR="00762716">
        <w:tab/>
      </w:r>
      <w:r w:rsidR="00C86625" w:rsidRPr="00C86625">
        <w:rPr>
          <w:lang w:val="en-US"/>
        </w:rPr>
        <w:t>Views on FR1 EVM test with transients</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4F52DA96" w:rsidR="00AF4320" w:rsidRDefault="00926831" w:rsidP="009A4A3B">
      <w:r>
        <w:t xml:space="preserve">The purpose of this paper is to </w:t>
      </w:r>
      <w:r w:rsidR="00042A42">
        <w:t xml:space="preserve">summarize the status of </w:t>
      </w:r>
      <w:r w:rsidR="00F54D79">
        <w:t>the conformance</w:t>
      </w:r>
      <w:r w:rsidR="001F2A28">
        <w:t xml:space="preserve"> test related to measurement of FR1 EVM during transients which is related to a core requirement introduced in Release 16. This topic has been ongoing discussion for over a year (since RAN#98 in Athens, Greece) and it is critical to close on the same </w:t>
      </w:r>
      <w:r w:rsidR="00A64F30">
        <w:t>to</w:t>
      </w:r>
      <w:r w:rsidR="001F2A28">
        <w:t xml:space="preserve"> enable the test for the industry to use for certification.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0DD4B51A" w:rsidR="005B718E" w:rsidRDefault="005B718E" w:rsidP="00733D9A">
      <w:pPr>
        <w:pStyle w:val="Heading2"/>
        <w:rPr>
          <w:rFonts w:eastAsia="MS Mincho"/>
        </w:rPr>
      </w:pPr>
      <w:r>
        <w:rPr>
          <w:rFonts w:eastAsia="MS Mincho"/>
        </w:rPr>
        <w:t xml:space="preserve">2.1 </w:t>
      </w:r>
      <w:r w:rsidR="008C3E42">
        <w:rPr>
          <w:rFonts w:eastAsia="MS Mincho"/>
        </w:rPr>
        <w:t>Background on EVM measurements during transients</w:t>
      </w:r>
    </w:p>
    <w:p w14:paraId="46E443B5" w14:textId="77777777" w:rsidR="008C3E42" w:rsidRDefault="008C3E42" w:rsidP="008C3E42">
      <w:r>
        <w:t xml:space="preserve">The details in [7] started the RAN5 discussion on the best way to define the conformance test for EVM measurements during power transients. Some of the key points that were clear early on </w:t>
      </w:r>
      <w:proofErr w:type="gramStart"/>
      <w:r>
        <w:t>were</w:t>
      </w:r>
      <w:proofErr w:type="gramEnd"/>
      <w:r>
        <w:t xml:space="preserve"> </w:t>
      </w:r>
    </w:p>
    <w:p w14:paraId="74322AEC" w14:textId="41A58986" w:rsidR="008C3E42" w:rsidRDefault="008C3E42" w:rsidP="008C3E42">
      <w:pPr>
        <w:pStyle w:val="ListParagraph"/>
        <w:numPr>
          <w:ilvl w:val="0"/>
          <w:numId w:val="47"/>
        </w:numPr>
        <w:spacing w:before="120" w:after="120"/>
        <w:ind w:leftChars="0"/>
        <w:jc w:val="both"/>
        <w:rPr>
          <w:sz w:val="24"/>
          <w:szCs w:val="24"/>
          <w:lang w:eastAsia="en-US"/>
        </w:rPr>
      </w:pPr>
      <w:r w:rsidRPr="008C3E42">
        <w:rPr>
          <w:sz w:val="24"/>
          <w:szCs w:val="24"/>
          <w:lang w:eastAsia="en-US"/>
        </w:rPr>
        <w:t xml:space="preserve">Regarding the output power transient: RAN4 agreed in WF [3] that the transient is triggered by an RB allocation change at the boundary of long </w:t>
      </w:r>
      <w:proofErr w:type="spellStart"/>
      <w:r w:rsidRPr="008C3E42">
        <w:rPr>
          <w:sz w:val="24"/>
          <w:szCs w:val="24"/>
          <w:lang w:eastAsia="en-US"/>
        </w:rPr>
        <w:t>subslot</w:t>
      </w:r>
      <w:proofErr w:type="spellEnd"/>
      <w:r w:rsidRPr="008C3E42">
        <w:rPr>
          <w:sz w:val="24"/>
          <w:szCs w:val="24"/>
          <w:lang w:eastAsia="en-US"/>
        </w:rPr>
        <w:t xml:space="preserve"> N/ long </w:t>
      </w:r>
      <w:proofErr w:type="spellStart"/>
      <w:r w:rsidRPr="008C3E42">
        <w:rPr>
          <w:sz w:val="24"/>
          <w:szCs w:val="24"/>
          <w:lang w:eastAsia="en-US"/>
        </w:rPr>
        <w:t>subslot</w:t>
      </w:r>
      <w:proofErr w:type="spellEnd"/>
      <w:r w:rsidRPr="008C3E42">
        <w:rPr>
          <w:sz w:val="24"/>
          <w:szCs w:val="24"/>
          <w:lang w:eastAsia="en-US"/>
        </w:rPr>
        <w:t xml:space="preserve"> N+1. RAN4 assumed that the definition of the exact step size, channel bandwidth, and test pattern is the responsibility of RAN5. </w:t>
      </w:r>
    </w:p>
    <w:p w14:paraId="084C7F66" w14:textId="32F0601C" w:rsidR="00712A6D" w:rsidRPr="00712A6D" w:rsidRDefault="00712A6D" w:rsidP="00712A6D">
      <w:pPr>
        <w:spacing w:before="120" w:after="120"/>
        <w:jc w:val="both"/>
        <w:rPr>
          <w:b/>
          <w:bCs/>
        </w:rPr>
      </w:pPr>
      <w:r w:rsidRPr="00712A6D">
        <w:rPr>
          <w:b/>
          <w:bCs/>
        </w:rPr>
        <w:t>Observation 1: The transient</w:t>
      </w:r>
      <w:r w:rsidR="00F54D79">
        <w:rPr>
          <w:b/>
          <w:bCs/>
        </w:rPr>
        <w:t xml:space="preserve"> during EVM measurements</w:t>
      </w:r>
      <w:r w:rsidRPr="00712A6D">
        <w:rPr>
          <w:b/>
          <w:bCs/>
        </w:rPr>
        <w:t xml:space="preserve"> i</w:t>
      </w:r>
      <w:r w:rsidR="00A64F30">
        <w:rPr>
          <w:b/>
          <w:bCs/>
        </w:rPr>
        <w:t>s</w:t>
      </w:r>
      <w:r w:rsidRPr="00712A6D">
        <w:rPr>
          <w:b/>
          <w:bCs/>
        </w:rPr>
        <w:t xml:space="preserve"> triggered by RB allocation changes at the boundary of the successive long sub slots. </w:t>
      </w:r>
    </w:p>
    <w:p w14:paraId="6AFB29CA" w14:textId="59B1C881" w:rsidR="007138C7" w:rsidRPr="007138C7" w:rsidRDefault="008C3E42" w:rsidP="007138C7">
      <w:pPr>
        <w:pStyle w:val="ListParagraph"/>
        <w:numPr>
          <w:ilvl w:val="0"/>
          <w:numId w:val="49"/>
        </w:numPr>
        <w:spacing w:before="120" w:after="120"/>
        <w:ind w:leftChars="0"/>
        <w:jc w:val="both"/>
        <w:rPr>
          <w:sz w:val="24"/>
          <w:szCs w:val="24"/>
        </w:rPr>
      </w:pPr>
      <w:r w:rsidRPr="007138C7">
        <w:rPr>
          <w:sz w:val="24"/>
          <w:szCs w:val="24"/>
        </w:rPr>
        <w:t xml:space="preserve"> </w:t>
      </w:r>
      <w:r w:rsidR="007138C7" w:rsidRPr="007138C7">
        <w:rPr>
          <w:sz w:val="24"/>
          <w:szCs w:val="24"/>
        </w:rPr>
        <w:t xml:space="preserve">It was also recommended in [7] that </w:t>
      </w:r>
      <w:r w:rsidR="007138C7" w:rsidRPr="007138C7">
        <w:rPr>
          <w:sz w:val="24"/>
          <w:szCs w:val="24"/>
        </w:rPr>
        <w:t>the NR EVM with transient conformance procedures re-uses as many of the LTE EVM with exclusion period test procedure. This paper aims, as much as possible, at proposing a set of RF parameters and test procedure which is:</w:t>
      </w:r>
    </w:p>
    <w:p w14:paraId="407F24D1" w14:textId="77777777" w:rsidR="007138C7" w:rsidRPr="007138C7" w:rsidRDefault="007138C7" w:rsidP="007138C7">
      <w:pPr>
        <w:pStyle w:val="ListParagraph"/>
        <w:numPr>
          <w:ilvl w:val="2"/>
          <w:numId w:val="49"/>
        </w:numPr>
        <w:overflowPunct w:val="0"/>
        <w:autoSpaceDE w:val="0"/>
        <w:autoSpaceDN w:val="0"/>
        <w:adjustRightInd w:val="0"/>
        <w:spacing w:beforeLines="0" w:before="0" w:afterLines="0" w:after="120"/>
        <w:ind w:leftChars="0"/>
        <w:contextualSpacing/>
        <w:jc w:val="both"/>
        <w:textAlignment w:val="baseline"/>
        <w:rPr>
          <w:sz w:val="24"/>
          <w:szCs w:val="24"/>
        </w:rPr>
      </w:pPr>
      <w:r w:rsidRPr="007138C7">
        <w:rPr>
          <w:sz w:val="24"/>
          <w:szCs w:val="24"/>
        </w:rPr>
        <w:t>Duplex-mode agnostic (TDD/FDD/SUL),</w:t>
      </w:r>
    </w:p>
    <w:p w14:paraId="68B443A9" w14:textId="77777777" w:rsidR="007138C7" w:rsidRPr="007138C7" w:rsidRDefault="007138C7" w:rsidP="007138C7">
      <w:pPr>
        <w:pStyle w:val="ListParagraph"/>
        <w:numPr>
          <w:ilvl w:val="2"/>
          <w:numId w:val="49"/>
        </w:numPr>
        <w:overflowPunct w:val="0"/>
        <w:autoSpaceDE w:val="0"/>
        <w:autoSpaceDN w:val="0"/>
        <w:adjustRightInd w:val="0"/>
        <w:spacing w:beforeLines="0" w:before="0" w:afterLines="0" w:after="120"/>
        <w:ind w:leftChars="0"/>
        <w:contextualSpacing/>
        <w:jc w:val="both"/>
        <w:textAlignment w:val="baseline"/>
        <w:rPr>
          <w:sz w:val="24"/>
          <w:szCs w:val="24"/>
        </w:rPr>
      </w:pPr>
      <w:r w:rsidRPr="007138C7">
        <w:rPr>
          <w:sz w:val="24"/>
          <w:szCs w:val="24"/>
        </w:rPr>
        <w:t>Frequency band agnostic,</w:t>
      </w:r>
    </w:p>
    <w:p w14:paraId="66948D26" w14:textId="77777777" w:rsidR="007138C7" w:rsidRPr="007138C7" w:rsidRDefault="007138C7" w:rsidP="007138C7">
      <w:pPr>
        <w:pStyle w:val="ListParagraph"/>
        <w:numPr>
          <w:ilvl w:val="2"/>
          <w:numId w:val="49"/>
        </w:numPr>
        <w:overflowPunct w:val="0"/>
        <w:autoSpaceDE w:val="0"/>
        <w:autoSpaceDN w:val="0"/>
        <w:adjustRightInd w:val="0"/>
        <w:spacing w:beforeLines="0" w:before="0" w:afterLines="0" w:after="120"/>
        <w:ind w:leftChars="0"/>
        <w:contextualSpacing/>
        <w:jc w:val="both"/>
        <w:textAlignment w:val="baseline"/>
        <w:rPr>
          <w:sz w:val="24"/>
          <w:szCs w:val="24"/>
        </w:rPr>
      </w:pPr>
      <w:r w:rsidRPr="007138C7">
        <w:rPr>
          <w:sz w:val="24"/>
          <w:szCs w:val="24"/>
        </w:rPr>
        <w:t>Power class agnostic,</w:t>
      </w:r>
    </w:p>
    <w:p w14:paraId="6BF7D414" w14:textId="77777777" w:rsidR="007138C7" w:rsidRPr="007138C7" w:rsidRDefault="007138C7" w:rsidP="007138C7">
      <w:pPr>
        <w:pStyle w:val="ListParagraph"/>
        <w:numPr>
          <w:ilvl w:val="2"/>
          <w:numId w:val="49"/>
        </w:numPr>
        <w:overflowPunct w:val="0"/>
        <w:autoSpaceDE w:val="0"/>
        <w:autoSpaceDN w:val="0"/>
        <w:adjustRightInd w:val="0"/>
        <w:spacing w:beforeLines="0" w:before="0" w:afterLines="0" w:after="120"/>
        <w:ind w:leftChars="0"/>
        <w:contextualSpacing/>
        <w:jc w:val="both"/>
        <w:textAlignment w:val="baseline"/>
        <w:rPr>
          <w:sz w:val="24"/>
          <w:szCs w:val="24"/>
        </w:rPr>
      </w:pPr>
      <w:r w:rsidRPr="007138C7">
        <w:rPr>
          <w:sz w:val="24"/>
          <w:szCs w:val="24"/>
        </w:rPr>
        <w:t>SCS agnostic.</w:t>
      </w:r>
    </w:p>
    <w:p w14:paraId="1D8FE4F9" w14:textId="77777777" w:rsidR="007138C7" w:rsidRPr="001E79A1" w:rsidRDefault="007138C7" w:rsidP="007138C7">
      <w:pPr>
        <w:spacing w:after="120"/>
        <w:jc w:val="both"/>
        <w:rPr>
          <w:lang w:eastAsia="ja-JP"/>
        </w:rPr>
      </w:pPr>
      <w:r>
        <w:rPr>
          <w:lang w:eastAsia="ja-JP"/>
        </w:rPr>
        <w:t>The intention is to provide a common test configuration for all possible transient period “</w:t>
      </w:r>
      <w:proofErr w:type="spellStart"/>
      <w:r>
        <w:rPr>
          <w:lang w:eastAsia="ja-JP"/>
        </w:rPr>
        <w:t>tp</w:t>
      </w:r>
      <w:proofErr w:type="spellEnd"/>
      <w:r>
        <w:rPr>
          <w:lang w:eastAsia="ja-JP"/>
        </w:rPr>
        <w:t>” capabilities that the UE may signal (</w:t>
      </w:r>
      <w:proofErr w:type="spellStart"/>
      <w:r>
        <w:rPr>
          <w:lang w:eastAsia="ja-JP"/>
        </w:rPr>
        <w:t>tp</w:t>
      </w:r>
      <w:proofErr w:type="spellEnd"/>
      <w:r>
        <w:rPr>
          <w:lang w:eastAsia="ja-JP"/>
        </w:rPr>
        <w:t xml:space="preserve"> = 2,4,7μs). </w:t>
      </w:r>
    </w:p>
    <w:p w14:paraId="4A70D212" w14:textId="1B7746AA" w:rsidR="009E2929" w:rsidRPr="00F54D79" w:rsidRDefault="009E2929" w:rsidP="00F54D79">
      <w:pPr>
        <w:pStyle w:val="Heading2"/>
        <w:rPr>
          <w:rFonts w:eastAsia="MS Mincho"/>
        </w:rPr>
      </w:pPr>
      <w:r>
        <w:rPr>
          <w:rFonts w:eastAsia="MS Mincho"/>
        </w:rPr>
        <w:t>2.</w:t>
      </w:r>
      <w:r>
        <w:rPr>
          <w:rFonts w:eastAsia="MS Mincho"/>
        </w:rPr>
        <w:t>2</w:t>
      </w:r>
      <w:r>
        <w:rPr>
          <w:rFonts w:eastAsia="MS Mincho"/>
        </w:rPr>
        <w:t xml:space="preserve"> </w:t>
      </w:r>
      <w:r>
        <w:rPr>
          <w:rFonts w:eastAsia="MS Mincho"/>
        </w:rPr>
        <w:t>Updates from previous RAN5 discussions</w:t>
      </w:r>
    </w:p>
    <w:p w14:paraId="44EEFC39" w14:textId="0C80F62D" w:rsidR="00461E1F" w:rsidRDefault="00461E1F" w:rsidP="00461E1F">
      <w:pPr>
        <w:spacing w:before="120" w:after="120"/>
      </w:pPr>
      <w:r>
        <w:t xml:space="preserve">At RAN5#99, </w:t>
      </w:r>
      <w:r>
        <w:rPr>
          <w:rFonts w:eastAsiaTheme="minorEastAsia"/>
        </w:rPr>
        <w:t xml:space="preserve">the discussion was focused on </w:t>
      </w:r>
      <w:r>
        <w:rPr>
          <w:rFonts w:eastAsiaTheme="minorEastAsia"/>
        </w:rPr>
        <w:t>power settings such as testing level and power step size</w:t>
      </w:r>
      <w:r w:rsidRPr="00005D7E">
        <w:rPr>
          <w:rFonts w:eastAsiaTheme="minorEastAsia"/>
        </w:rPr>
        <w:t xml:space="preserve"> </w:t>
      </w:r>
      <w:r>
        <w:rPr>
          <w:rFonts w:eastAsiaTheme="minorEastAsia"/>
        </w:rPr>
        <w:t xml:space="preserve">in FR1 EVM including symbols with transient period, and </w:t>
      </w:r>
      <w:r>
        <w:rPr>
          <w:rFonts w:eastAsiaTheme="minorEastAsia"/>
        </w:rPr>
        <w:t>RAN5</w:t>
      </w:r>
      <w:r>
        <w:rPr>
          <w:rFonts w:eastAsiaTheme="minorEastAsia"/>
        </w:rPr>
        <w:t xml:space="preserve"> reached a consensus to evaluate MU for each testing level and power step size before selecting these power settings </w:t>
      </w:r>
      <w:r>
        <w:rPr>
          <w:rFonts w:eastAsiaTheme="minorEastAsia"/>
        </w:rPr>
        <w:t>[4]</w:t>
      </w:r>
      <w:r w:rsidR="00712A6D">
        <w:rPr>
          <w:rFonts w:eastAsiaTheme="minorEastAsia"/>
        </w:rPr>
        <w:t xml:space="preserve">. In the </w:t>
      </w:r>
      <w:proofErr w:type="gramStart"/>
      <w:r w:rsidR="00712A6D">
        <w:rPr>
          <w:rFonts w:eastAsiaTheme="minorEastAsia"/>
        </w:rPr>
        <w:t>meantime</w:t>
      </w:r>
      <w:proofErr w:type="gramEnd"/>
      <w:r w:rsidR="00712A6D">
        <w:rPr>
          <w:rFonts w:eastAsiaTheme="minorEastAsia"/>
        </w:rPr>
        <w:t xml:space="preserve"> it was agreed to adopt </w:t>
      </w:r>
      <w:r w:rsidR="009E2929">
        <w:rPr>
          <w:rFonts w:eastAsia="Batang"/>
        </w:rPr>
        <w:t>f</w:t>
      </w:r>
      <w:r w:rsidR="009E2929">
        <w:rPr>
          <w:rFonts w:eastAsia="Batang"/>
        </w:rPr>
        <w:t xml:space="preserve">rom </w:t>
      </w:r>
      <w:r w:rsidR="009E2929">
        <w:rPr>
          <w:rFonts w:eastAsia="Batang"/>
        </w:rPr>
        <w:fldChar w:fldCharType="begin"/>
      </w:r>
      <w:r w:rsidR="009E2929">
        <w:rPr>
          <w:rFonts w:eastAsia="Batang"/>
        </w:rPr>
        <w:instrText xml:space="preserve"> REF _Ref147743621 \r \h </w:instrText>
      </w:r>
      <w:r w:rsidR="009E2929">
        <w:rPr>
          <w:rFonts w:eastAsia="Batang"/>
        </w:rPr>
      </w:r>
      <w:r w:rsidR="009E2929">
        <w:rPr>
          <w:rFonts w:eastAsia="Batang"/>
        </w:rPr>
        <w:fldChar w:fldCharType="separate"/>
      </w:r>
      <w:r w:rsidR="009E2929">
        <w:rPr>
          <w:rFonts w:eastAsia="Batang"/>
        </w:rPr>
        <w:t>[1]</w:t>
      </w:r>
      <w:r w:rsidR="009E2929">
        <w:rPr>
          <w:rFonts w:eastAsia="Batang"/>
        </w:rPr>
        <w:fldChar w:fldCharType="end"/>
      </w:r>
      <w:r w:rsidR="009E2929">
        <w:rPr>
          <w:rFonts w:eastAsia="Batang"/>
        </w:rPr>
        <w:t xml:space="preserve">, proposals 1, 2 and 3 </w:t>
      </w:r>
      <w:r w:rsidR="009E2929">
        <w:rPr>
          <w:rFonts w:eastAsia="Batang"/>
        </w:rPr>
        <w:t xml:space="preserve">which </w:t>
      </w:r>
      <w:r w:rsidR="009E2929">
        <w:rPr>
          <w:rFonts w:eastAsia="Batang"/>
        </w:rPr>
        <w:t xml:space="preserve">were endorsed about not </w:t>
      </w:r>
      <w:r w:rsidR="009E2929">
        <w:rPr>
          <w:rFonts w:eastAsia="Batang"/>
        </w:rPr>
        <w:lastRenderedPageBreak/>
        <w:t xml:space="preserve">to test UE power higher than 11.5dBm and to use </w:t>
      </w:r>
      <w:r w:rsidR="009E2929" w:rsidRPr="001C6330">
        <w:t>TPC power control window to fix UE higher target power</w:t>
      </w:r>
      <w:r w:rsidR="009E2929">
        <w:t>.</w:t>
      </w:r>
    </w:p>
    <w:p w14:paraId="49B86351" w14:textId="7FEE4E9C" w:rsidR="009E2929" w:rsidRDefault="009E2929" w:rsidP="00461E1F">
      <w:pPr>
        <w:spacing w:before="120" w:after="120"/>
        <w:rPr>
          <w:b/>
          <w:bCs/>
        </w:rPr>
      </w:pPr>
      <w:r w:rsidRPr="009E2929">
        <w:rPr>
          <w:b/>
          <w:bCs/>
        </w:rPr>
        <w:t xml:space="preserve">Observation 2: There is already agreement to </w:t>
      </w:r>
      <w:r>
        <w:rPr>
          <w:b/>
          <w:bCs/>
        </w:rPr>
        <w:t>consider 11.5 dBm as higher power level to avoid influence of MPR. Use TPC power control window to fix this UE higher target power.</w:t>
      </w:r>
    </w:p>
    <w:p w14:paraId="07C82661" w14:textId="6E993E03" w:rsidR="009E2929" w:rsidRPr="00320737" w:rsidRDefault="009E2929" w:rsidP="00320737">
      <w:r>
        <w:t xml:space="preserve">However, there was no consensus about the RB reallocation power step change due to differences in resulting MTSU and TT required in </w:t>
      </w:r>
      <w:r>
        <w:rPr>
          <w:rFonts w:eastAsia="Batang"/>
        </w:rPr>
        <w:fldChar w:fldCharType="begin"/>
      </w:r>
      <w:r>
        <w:rPr>
          <w:rFonts w:eastAsia="Batang"/>
        </w:rPr>
        <w:instrText xml:space="preserve"> REF _Ref147743621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and </w:t>
      </w:r>
      <w:r>
        <w:rPr>
          <w:rFonts w:eastAsia="Batang"/>
        </w:rPr>
        <w:fldChar w:fldCharType="begin"/>
      </w:r>
      <w:r>
        <w:rPr>
          <w:rFonts w:eastAsia="Batang"/>
        </w:rPr>
        <w:instrText xml:space="preserve"> REF _Ref147743623 \r \h </w:instrText>
      </w:r>
      <w:r>
        <w:rPr>
          <w:rFonts w:eastAsia="Batang"/>
        </w:rPr>
      </w:r>
      <w:r>
        <w:rPr>
          <w:rFonts w:eastAsia="Batang"/>
        </w:rPr>
        <w:fldChar w:fldCharType="separate"/>
      </w:r>
      <w:r>
        <w:rPr>
          <w:rFonts w:eastAsia="Batang"/>
        </w:rPr>
        <w:t>[2]</w:t>
      </w:r>
      <w:r>
        <w:rPr>
          <w:rFonts w:eastAsia="Batang"/>
        </w:rPr>
        <w:fldChar w:fldCharType="end"/>
      </w:r>
      <w:r>
        <w:t>.</w:t>
      </w:r>
      <w:r>
        <w:t xml:space="preserve"> This was captured in the way forward below.</w:t>
      </w:r>
    </w:p>
    <w:p w14:paraId="1F4F000F" w14:textId="12FCD01A" w:rsidR="00461E1F" w:rsidRPr="00320737" w:rsidRDefault="00461E1F" w:rsidP="00320737">
      <w:pPr>
        <w:spacing w:before="120" w:after="120"/>
        <w:ind w:left="284"/>
        <w:rPr>
          <w:rFonts w:eastAsiaTheme="minorEastAsia"/>
          <w:b/>
          <w:bCs/>
          <w:sz w:val="18"/>
          <w:szCs w:val="18"/>
          <w:shd w:val="pct15" w:color="auto" w:fill="FFFFFF"/>
        </w:rPr>
      </w:pPr>
      <w:r w:rsidRPr="00320737">
        <w:rPr>
          <w:rFonts w:eastAsiaTheme="minorEastAsia"/>
          <w:b/>
          <w:bCs/>
          <w:sz w:val="18"/>
          <w:szCs w:val="18"/>
          <w:shd w:val="pct15" w:color="auto" w:fill="FFFFFF"/>
        </w:rPr>
        <w:t xml:space="preserve">Proposal 4: Assess first the MU for 13.8 dB and 20 dB power step (for both transient </w:t>
      </w:r>
      <w:proofErr w:type="gramStart"/>
      <w:r w:rsidRPr="00320737">
        <w:rPr>
          <w:rFonts w:eastAsiaTheme="minorEastAsia"/>
          <w:b/>
          <w:bCs/>
          <w:sz w:val="18"/>
          <w:szCs w:val="18"/>
          <w:shd w:val="pct15" w:color="auto" w:fill="FFFFFF"/>
        </w:rPr>
        <w:t>high power</w:t>
      </w:r>
      <w:proofErr w:type="gramEnd"/>
      <w:r w:rsidRPr="00320737">
        <w:rPr>
          <w:rFonts w:eastAsiaTheme="minorEastAsia"/>
          <w:b/>
          <w:bCs/>
          <w:sz w:val="18"/>
          <w:szCs w:val="18"/>
          <w:shd w:val="pct15" w:color="auto" w:fill="FFFFFF"/>
        </w:rPr>
        <w:t xml:space="preserve"> levels of 0 dBm and </w:t>
      </w:r>
      <w:proofErr w:type="spellStart"/>
      <w:r w:rsidRPr="00320737">
        <w:rPr>
          <w:rFonts w:eastAsiaTheme="minorEastAsia"/>
          <w:b/>
          <w:bCs/>
          <w:sz w:val="18"/>
          <w:szCs w:val="18"/>
          <w:shd w:val="pct15" w:color="auto" w:fill="FFFFFF"/>
        </w:rPr>
        <w:t>Pumax</w:t>
      </w:r>
      <w:proofErr w:type="spellEnd"/>
      <w:r w:rsidRPr="00320737">
        <w:rPr>
          <w:rFonts w:eastAsiaTheme="minorEastAsia"/>
          <w:b/>
          <w:bCs/>
          <w:sz w:val="18"/>
          <w:szCs w:val="18"/>
          <w:shd w:val="pct15" w:color="auto" w:fill="FFFFFF"/>
        </w:rPr>
        <w:t xml:space="preserve"> respectively) before making the decision on which power step to use. Additional analysis, other than MU, towards power step choice is not precluded.</w:t>
      </w:r>
    </w:p>
    <w:p w14:paraId="61547BD9" w14:textId="607B54FD" w:rsidR="008C3E42" w:rsidRDefault="00712A6D" w:rsidP="006E0371">
      <w:pPr>
        <w:spacing w:before="120" w:after="120"/>
      </w:pPr>
      <w:r>
        <w:t xml:space="preserve">For the last two meetings there has been discussion around MU analysis and several contributions centered around </w:t>
      </w:r>
      <w:r w:rsidR="009E2929">
        <w:t>whether the power</w:t>
      </w:r>
      <w:r w:rsidR="00320737">
        <w:t xml:space="preserve">. </w:t>
      </w:r>
      <w:r w:rsidR="009E2929">
        <w:t>A consistent observation has been the advantages of testing with 14 dB PRB change</w:t>
      </w:r>
      <w:r w:rsidR="006E0371">
        <w:t>.</w:t>
      </w:r>
    </w:p>
    <w:p w14:paraId="133A03DA" w14:textId="7678632C" w:rsidR="00712A6D" w:rsidRDefault="00712A6D" w:rsidP="008C3E42">
      <w:r w:rsidRPr="00712A6D">
        <w:fldChar w:fldCharType="begin"/>
      </w:r>
      <w:r w:rsidRPr="00712A6D">
        <w:instrText xml:space="preserve"> REF _Ref147753891 \h  \* MERGEFORMAT </w:instrText>
      </w:r>
      <w:r w:rsidRPr="00712A6D">
        <w:fldChar w:fldCharType="separate"/>
      </w:r>
      <w:r w:rsidRPr="00712A6D">
        <w:rPr>
          <w:b/>
          <w:bCs/>
        </w:rPr>
        <w:t>O</w:t>
      </w:r>
      <w:r w:rsidRPr="00712A6D">
        <w:rPr>
          <w:b/>
          <w:bCs/>
        </w:rPr>
        <w:t>b</w:t>
      </w:r>
      <w:r w:rsidRPr="00712A6D">
        <w:rPr>
          <w:b/>
          <w:bCs/>
        </w:rPr>
        <w:t>servation</w:t>
      </w:r>
      <w:r w:rsidRPr="00712A6D">
        <w:t xml:space="preserve"> </w:t>
      </w:r>
      <w:r w:rsidR="009E2929" w:rsidRPr="00A64F30">
        <w:rPr>
          <w:b/>
          <w:bCs/>
        </w:rPr>
        <w:t>3</w:t>
      </w:r>
      <w:r w:rsidRPr="00712A6D">
        <w:rPr>
          <w:b/>
          <w:bCs/>
        </w:rPr>
        <w:t>. The only way to make the test case independent of the band, the BW and the SCS is to test 14dB PRB pow</w:t>
      </w:r>
      <w:r w:rsidRPr="00712A6D">
        <w:rPr>
          <w:b/>
          <w:bCs/>
        </w:rPr>
        <w:t>e</w:t>
      </w:r>
      <w:r w:rsidRPr="00712A6D">
        <w:rPr>
          <w:b/>
          <w:bCs/>
        </w:rPr>
        <w:t>r step change (13.80dB applyi</w:t>
      </w:r>
      <w:r w:rsidRPr="00712A6D">
        <w:rPr>
          <w:b/>
          <w:bCs/>
        </w:rPr>
        <w:t>n</w:t>
      </w:r>
      <w:r w:rsidRPr="00712A6D">
        <w:rPr>
          <w:b/>
          <w:bCs/>
        </w:rPr>
        <w:t>g a 24:1 PRB change).</w:t>
      </w:r>
      <w:r w:rsidRPr="00712A6D">
        <w:fldChar w:fldCharType="end"/>
      </w:r>
    </w:p>
    <w:p w14:paraId="712BCB07" w14:textId="360BA45A" w:rsidR="009E2929" w:rsidRPr="00320737" w:rsidRDefault="009E2929" w:rsidP="00A64F30">
      <w:pPr>
        <w:pStyle w:val="Heading2"/>
        <w:rPr>
          <w:rFonts w:eastAsia="MS Mincho"/>
          <w:sz w:val="28"/>
          <w:szCs w:val="28"/>
        </w:rPr>
      </w:pPr>
      <w:r w:rsidRPr="00320737">
        <w:rPr>
          <w:rFonts w:eastAsia="MS Mincho"/>
          <w:sz w:val="28"/>
          <w:szCs w:val="28"/>
        </w:rPr>
        <w:t>2.</w:t>
      </w:r>
      <w:r w:rsidRPr="00320737">
        <w:rPr>
          <w:rFonts w:eastAsia="MS Mincho"/>
          <w:sz w:val="28"/>
          <w:szCs w:val="28"/>
        </w:rPr>
        <w:t>3</w:t>
      </w:r>
      <w:r w:rsidRPr="00320737">
        <w:rPr>
          <w:rFonts w:eastAsia="MS Mincho"/>
          <w:sz w:val="28"/>
          <w:szCs w:val="28"/>
        </w:rPr>
        <w:t xml:space="preserve"> </w:t>
      </w:r>
      <w:r w:rsidRPr="00320737">
        <w:rPr>
          <w:rFonts w:eastAsia="MS Mincho"/>
          <w:sz w:val="28"/>
          <w:szCs w:val="28"/>
        </w:rPr>
        <w:t xml:space="preserve">Open questions </w:t>
      </w:r>
      <w:r w:rsidR="008375D4" w:rsidRPr="00320737">
        <w:rPr>
          <w:rFonts w:eastAsia="MS Mincho"/>
          <w:sz w:val="28"/>
          <w:szCs w:val="28"/>
        </w:rPr>
        <w:t>related to</w:t>
      </w:r>
      <w:r w:rsidRPr="00320737">
        <w:rPr>
          <w:rFonts w:eastAsia="MS Mincho"/>
          <w:sz w:val="28"/>
          <w:szCs w:val="28"/>
        </w:rPr>
        <w:t xml:space="preserve"> the PRB change to be used in the</w:t>
      </w:r>
      <w:r w:rsidR="00A64F30" w:rsidRPr="00320737">
        <w:rPr>
          <w:rFonts w:eastAsia="MS Mincho"/>
          <w:sz w:val="28"/>
          <w:szCs w:val="28"/>
        </w:rPr>
        <w:t xml:space="preserve"> </w:t>
      </w:r>
      <w:proofErr w:type="gramStart"/>
      <w:r w:rsidRPr="00320737">
        <w:rPr>
          <w:rFonts w:eastAsia="MS Mincho"/>
          <w:sz w:val="28"/>
          <w:szCs w:val="28"/>
        </w:rPr>
        <w:t>test</w:t>
      </w:r>
      <w:proofErr w:type="gramEnd"/>
    </w:p>
    <w:p w14:paraId="73B553AE" w14:textId="5D90A4B9" w:rsidR="0079699F" w:rsidRDefault="0079699F" w:rsidP="0079699F">
      <w:pPr>
        <w:pStyle w:val="Heading3"/>
        <w:rPr>
          <w:rFonts w:eastAsia="MS Mincho"/>
        </w:rPr>
      </w:pPr>
      <w:r>
        <w:rPr>
          <w:rFonts w:eastAsia="MS Mincho"/>
        </w:rPr>
        <w:t>2.3.1 Realistic analysis of high-power steps in field deployments</w:t>
      </w:r>
    </w:p>
    <w:p w14:paraId="1FF40F86" w14:textId="592E5F60" w:rsidR="008375D4" w:rsidRPr="0079699F" w:rsidRDefault="009E2929" w:rsidP="009E2929">
      <w:pPr>
        <w:rPr>
          <w:rFonts w:eastAsia="MS Mincho"/>
          <w:lang w:val="en-GB"/>
        </w:rPr>
      </w:pPr>
      <w:r w:rsidRPr="0079699F">
        <w:rPr>
          <w:rFonts w:eastAsia="MS Mincho"/>
          <w:lang w:val="en-GB"/>
        </w:rPr>
        <w:t xml:space="preserve">There has been feedback during past discussions on </w:t>
      </w:r>
      <w:r w:rsidR="00320737">
        <w:rPr>
          <w:rFonts w:eastAsia="MS Mincho"/>
          <w:lang w:val="en-GB"/>
        </w:rPr>
        <w:t>a specific</w:t>
      </w:r>
      <w:r w:rsidRPr="0079699F">
        <w:rPr>
          <w:rFonts w:eastAsia="MS Mincho"/>
          <w:lang w:val="en-GB"/>
        </w:rPr>
        <w:t xml:space="preserve"> reason to use the higher PRB (20 dB) change in the test </w:t>
      </w:r>
      <w:r w:rsidR="00320737">
        <w:rPr>
          <w:rFonts w:eastAsia="MS Mincho"/>
          <w:lang w:val="en-GB"/>
        </w:rPr>
        <w:t>being</w:t>
      </w:r>
      <w:r w:rsidRPr="0079699F">
        <w:rPr>
          <w:rFonts w:eastAsia="MS Mincho"/>
          <w:lang w:val="en-GB"/>
        </w:rPr>
        <w:t xml:space="preserve"> the possibility occurrence of the same in real networks. </w:t>
      </w:r>
      <w:r w:rsidR="001229AF" w:rsidRPr="0079699F">
        <w:rPr>
          <w:rFonts w:eastAsia="MS Mincho"/>
          <w:lang w:val="en-GB"/>
        </w:rPr>
        <w:t>Specifically,</w:t>
      </w:r>
      <w:r w:rsidRPr="0079699F">
        <w:rPr>
          <w:rFonts w:eastAsia="MS Mincho"/>
          <w:lang w:val="en-GB"/>
        </w:rPr>
        <w:t xml:space="preserve"> it was brought up that the RAN4 discussions involved potential higher power step sizes to be </w:t>
      </w:r>
      <w:r w:rsidR="001229AF" w:rsidRPr="0079699F">
        <w:rPr>
          <w:rFonts w:eastAsia="MS Mincho"/>
          <w:lang w:val="en-GB"/>
        </w:rPr>
        <w:t>considered</w:t>
      </w:r>
      <w:r w:rsidRPr="0079699F">
        <w:rPr>
          <w:rFonts w:eastAsia="MS Mincho"/>
          <w:lang w:val="en-GB"/>
        </w:rPr>
        <w:t xml:space="preserve">. However, to </w:t>
      </w:r>
      <w:r w:rsidR="008375D4" w:rsidRPr="0079699F">
        <w:rPr>
          <w:rFonts w:eastAsia="MS Mincho"/>
          <w:lang w:val="en-GB"/>
        </w:rPr>
        <w:t xml:space="preserve">put </w:t>
      </w:r>
      <w:r w:rsidR="0079699F">
        <w:rPr>
          <w:rFonts w:eastAsia="MS Mincho"/>
          <w:lang w:val="en-GB"/>
        </w:rPr>
        <w:t xml:space="preserve">this </w:t>
      </w:r>
      <w:r w:rsidR="008375D4" w:rsidRPr="0079699F">
        <w:rPr>
          <w:rFonts w:eastAsia="MS Mincho"/>
          <w:lang w:val="en-GB"/>
        </w:rPr>
        <w:t>in perspective</w:t>
      </w:r>
      <w:r w:rsidR="0079699F">
        <w:rPr>
          <w:rFonts w:eastAsia="MS Mincho"/>
          <w:lang w:val="en-GB"/>
        </w:rPr>
        <w:t>,</w:t>
      </w:r>
      <w:r w:rsidR="008375D4" w:rsidRPr="0079699F">
        <w:rPr>
          <w:rFonts w:eastAsia="MS Mincho"/>
          <w:lang w:val="en-GB"/>
        </w:rPr>
        <w:t xml:space="preserve"> we would like to bring out that –</w:t>
      </w:r>
    </w:p>
    <w:p w14:paraId="5DC08EED" w14:textId="4D37B67A" w:rsidR="008375D4" w:rsidRPr="0079699F" w:rsidRDefault="008375D4" w:rsidP="008375D4">
      <w:pPr>
        <w:pStyle w:val="ListParagraph"/>
        <w:numPr>
          <w:ilvl w:val="0"/>
          <w:numId w:val="49"/>
        </w:numPr>
        <w:spacing w:before="120" w:after="120"/>
        <w:ind w:leftChars="0"/>
        <w:rPr>
          <w:rFonts w:eastAsia="MS Mincho"/>
          <w:sz w:val="24"/>
          <w:szCs w:val="24"/>
          <w:lang w:val="en-GB"/>
        </w:rPr>
      </w:pPr>
      <w:r w:rsidRPr="0079699F">
        <w:rPr>
          <w:rFonts w:eastAsia="MS Mincho"/>
          <w:sz w:val="24"/>
          <w:szCs w:val="24"/>
          <w:lang w:val="en-GB"/>
        </w:rPr>
        <w:t xml:space="preserve">The RAN4 observations </w:t>
      </w:r>
      <w:r w:rsidR="0079699F" w:rsidRPr="0079699F">
        <w:rPr>
          <w:rFonts w:eastAsia="MS Mincho"/>
          <w:sz w:val="24"/>
          <w:szCs w:val="24"/>
          <w:lang w:val="en-GB"/>
        </w:rPr>
        <w:t xml:space="preserve">on possible higher step sizes in the field </w:t>
      </w:r>
      <w:r w:rsidRPr="0079699F">
        <w:rPr>
          <w:rFonts w:eastAsia="MS Mincho"/>
          <w:sz w:val="24"/>
          <w:szCs w:val="24"/>
          <w:lang w:val="en-GB"/>
        </w:rPr>
        <w:t xml:space="preserve">were theoretical and based on </w:t>
      </w:r>
      <w:r w:rsidR="0079699F" w:rsidRPr="0079699F">
        <w:rPr>
          <w:rFonts w:eastAsia="MS Mincho"/>
          <w:sz w:val="24"/>
          <w:szCs w:val="24"/>
        </w:rPr>
        <w:t xml:space="preserve">NR configuration parameters in a real network from different </w:t>
      </w:r>
      <w:proofErr w:type="spellStart"/>
      <w:r w:rsidR="0079699F" w:rsidRPr="0079699F">
        <w:rPr>
          <w:rFonts w:eastAsia="MS Mincho"/>
          <w:sz w:val="24"/>
          <w:szCs w:val="24"/>
        </w:rPr>
        <w:t>gNB</w:t>
      </w:r>
      <w:proofErr w:type="spellEnd"/>
      <w:r w:rsidR="0079699F" w:rsidRPr="0079699F">
        <w:rPr>
          <w:rFonts w:eastAsia="MS Mincho"/>
          <w:sz w:val="24"/>
          <w:szCs w:val="24"/>
        </w:rPr>
        <w:t xml:space="preserve"> vendors</w:t>
      </w:r>
      <w:r w:rsidR="0079699F" w:rsidRPr="0079699F">
        <w:rPr>
          <w:rFonts w:eastAsia="MS Mincho"/>
          <w:sz w:val="24"/>
          <w:szCs w:val="24"/>
        </w:rPr>
        <w:t>. Based on these settings the possible highest difference between 2 consecutive UL channel transmissions was calculated</w:t>
      </w:r>
      <w:r w:rsidR="00320737">
        <w:rPr>
          <w:rFonts w:eastAsia="MS Mincho"/>
          <w:sz w:val="24"/>
          <w:szCs w:val="24"/>
        </w:rPr>
        <w:t xml:space="preserve"> but these may not </w:t>
      </w:r>
      <w:proofErr w:type="spellStart"/>
      <w:r w:rsidR="00320737">
        <w:rPr>
          <w:rFonts w:eastAsia="MS Mincho"/>
          <w:sz w:val="24"/>
          <w:szCs w:val="24"/>
        </w:rPr>
        <w:t>neccesssarily</w:t>
      </w:r>
      <w:proofErr w:type="spellEnd"/>
      <w:r w:rsidR="00320737">
        <w:rPr>
          <w:rFonts w:eastAsia="MS Mincho"/>
          <w:sz w:val="24"/>
          <w:szCs w:val="24"/>
        </w:rPr>
        <w:t xml:space="preserve"> occur frequently in the network.</w:t>
      </w:r>
    </w:p>
    <w:p w14:paraId="60E68C3D" w14:textId="69EB9504" w:rsidR="008375D4" w:rsidRPr="0079699F" w:rsidRDefault="008375D4" w:rsidP="008375D4">
      <w:pPr>
        <w:pStyle w:val="ListParagraph"/>
        <w:numPr>
          <w:ilvl w:val="0"/>
          <w:numId w:val="49"/>
        </w:numPr>
        <w:spacing w:before="120" w:after="120"/>
        <w:ind w:leftChars="0"/>
        <w:rPr>
          <w:sz w:val="24"/>
          <w:szCs w:val="24"/>
        </w:rPr>
      </w:pPr>
      <w:r w:rsidRPr="0079699F">
        <w:rPr>
          <w:sz w:val="24"/>
          <w:szCs w:val="24"/>
        </w:rPr>
        <w:t>In looking further</w:t>
      </w:r>
      <w:r w:rsidR="00320737">
        <w:rPr>
          <w:sz w:val="24"/>
          <w:szCs w:val="24"/>
        </w:rPr>
        <w:t xml:space="preserve"> into RAN4 studies</w:t>
      </w:r>
      <w:r w:rsidRPr="0079699F">
        <w:rPr>
          <w:sz w:val="24"/>
          <w:szCs w:val="24"/>
        </w:rPr>
        <w:t xml:space="preserve">, the </w:t>
      </w:r>
      <w:r w:rsidRPr="0079699F">
        <w:rPr>
          <w:sz w:val="24"/>
          <w:szCs w:val="24"/>
        </w:rPr>
        <w:t xml:space="preserve">PSD difference between PUSCH and PUCCH </w:t>
      </w:r>
      <w:r w:rsidRPr="0079699F">
        <w:rPr>
          <w:sz w:val="24"/>
          <w:szCs w:val="24"/>
        </w:rPr>
        <w:t xml:space="preserve">that would need to occur for a </w:t>
      </w:r>
      <w:proofErr w:type="gramStart"/>
      <w:r w:rsidRPr="0079699F">
        <w:rPr>
          <w:sz w:val="24"/>
          <w:szCs w:val="24"/>
        </w:rPr>
        <w:t>high power</w:t>
      </w:r>
      <w:proofErr w:type="gramEnd"/>
      <w:r w:rsidRPr="0079699F">
        <w:rPr>
          <w:sz w:val="24"/>
          <w:szCs w:val="24"/>
        </w:rPr>
        <w:t xml:space="preserve"> step would be significantly high</w:t>
      </w:r>
      <w:r w:rsidRPr="0079699F">
        <w:rPr>
          <w:sz w:val="24"/>
          <w:szCs w:val="24"/>
        </w:rPr>
        <w:t>. This means that if a UE is transmitting PUSCH on the RBs that are adjacent to the PUCCH RBs, the SIR on the PUCCH RBs just because of IBE will be very low</w:t>
      </w:r>
      <w:r w:rsidRPr="0079699F">
        <w:rPr>
          <w:sz w:val="24"/>
          <w:szCs w:val="24"/>
        </w:rPr>
        <w:t xml:space="preserve"> </w:t>
      </w:r>
      <w:r w:rsidRPr="0079699F">
        <w:rPr>
          <w:sz w:val="24"/>
          <w:szCs w:val="24"/>
        </w:rPr>
        <w:t xml:space="preserve">(smaller than -5dB or so) which means PUCCH </w:t>
      </w:r>
      <w:r w:rsidR="00320737">
        <w:rPr>
          <w:sz w:val="24"/>
          <w:szCs w:val="24"/>
        </w:rPr>
        <w:t>would become</w:t>
      </w:r>
      <w:r w:rsidRPr="0079699F">
        <w:rPr>
          <w:sz w:val="24"/>
          <w:szCs w:val="24"/>
        </w:rPr>
        <w:t xml:space="preserve"> non-decodable. This cannot happen in a real network since PUSCH and PUCCH should co-exist</w:t>
      </w:r>
      <w:r w:rsidRPr="0079699F">
        <w:rPr>
          <w:sz w:val="24"/>
          <w:szCs w:val="24"/>
        </w:rPr>
        <w:t xml:space="preserve"> </w:t>
      </w:r>
      <w:r w:rsidRPr="0079699F">
        <w:rPr>
          <w:sz w:val="24"/>
          <w:szCs w:val="24"/>
        </w:rPr>
        <w:t xml:space="preserve">(UEs can be FDM-ed) so we cannot have such big power difference.” </w:t>
      </w:r>
      <w:r w:rsidRPr="0079699F">
        <w:rPr>
          <w:sz w:val="24"/>
          <w:szCs w:val="24"/>
        </w:rPr>
        <w:t xml:space="preserve">Therefore, beyond the theoretical possibility that was </w:t>
      </w:r>
      <w:r w:rsidR="00320737">
        <w:rPr>
          <w:sz w:val="24"/>
          <w:szCs w:val="24"/>
        </w:rPr>
        <w:t>referenced in some RAN4 studies</w:t>
      </w:r>
      <w:r w:rsidRPr="0079699F">
        <w:rPr>
          <w:sz w:val="24"/>
          <w:szCs w:val="24"/>
        </w:rPr>
        <w:t xml:space="preserve">, it is highly </w:t>
      </w:r>
      <w:r w:rsidR="0079699F" w:rsidRPr="0079699F">
        <w:rPr>
          <w:sz w:val="24"/>
          <w:szCs w:val="24"/>
        </w:rPr>
        <w:t>un</w:t>
      </w:r>
      <w:r w:rsidRPr="0079699F">
        <w:rPr>
          <w:sz w:val="24"/>
          <w:szCs w:val="24"/>
        </w:rPr>
        <w:t>likely</w:t>
      </w:r>
      <w:r w:rsidR="0079699F" w:rsidRPr="0079699F">
        <w:rPr>
          <w:sz w:val="24"/>
          <w:szCs w:val="24"/>
        </w:rPr>
        <w:t xml:space="preserve"> that the </w:t>
      </w:r>
      <w:proofErr w:type="gramStart"/>
      <w:r w:rsidR="0079699F" w:rsidRPr="0079699F">
        <w:rPr>
          <w:sz w:val="24"/>
          <w:szCs w:val="24"/>
        </w:rPr>
        <w:t>high power</w:t>
      </w:r>
      <w:proofErr w:type="gramEnd"/>
      <w:r w:rsidR="0079699F" w:rsidRPr="0079699F">
        <w:rPr>
          <w:sz w:val="24"/>
          <w:szCs w:val="24"/>
        </w:rPr>
        <w:t xml:space="preserve"> steps would occur frequently except for rare corner cases. </w:t>
      </w:r>
      <w:r w:rsidR="00320737">
        <w:rPr>
          <w:sz w:val="24"/>
          <w:szCs w:val="24"/>
        </w:rPr>
        <w:t>It should be noted that RAN4 eventually left the decision on power step size to RAN5.</w:t>
      </w:r>
    </w:p>
    <w:p w14:paraId="181D6179" w14:textId="39B3ED81" w:rsidR="0079699F" w:rsidRPr="0079699F" w:rsidRDefault="0079699F" w:rsidP="008375D4">
      <w:pPr>
        <w:pStyle w:val="ListParagraph"/>
        <w:numPr>
          <w:ilvl w:val="0"/>
          <w:numId w:val="49"/>
        </w:numPr>
        <w:spacing w:before="120" w:after="120"/>
        <w:ind w:leftChars="0"/>
        <w:rPr>
          <w:sz w:val="24"/>
          <w:szCs w:val="24"/>
        </w:rPr>
      </w:pPr>
      <w:r w:rsidRPr="0079699F">
        <w:rPr>
          <w:sz w:val="24"/>
          <w:szCs w:val="24"/>
        </w:rPr>
        <w:t>Based on th</w:t>
      </w:r>
      <w:r w:rsidR="00320737">
        <w:rPr>
          <w:sz w:val="24"/>
          <w:szCs w:val="24"/>
        </w:rPr>
        <w:t>e above analysis,</w:t>
      </w:r>
      <w:r w:rsidRPr="0079699F">
        <w:rPr>
          <w:sz w:val="24"/>
          <w:szCs w:val="24"/>
        </w:rPr>
        <w:t xml:space="preserve"> RAN5, whose focus is on conformance, should not be </w:t>
      </w:r>
      <w:r w:rsidR="00320737">
        <w:rPr>
          <w:sz w:val="24"/>
          <w:szCs w:val="24"/>
        </w:rPr>
        <w:t>considering</w:t>
      </w:r>
      <w:r w:rsidRPr="0079699F">
        <w:rPr>
          <w:sz w:val="24"/>
          <w:szCs w:val="24"/>
        </w:rPr>
        <w:t xml:space="preserve"> corner</w:t>
      </w:r>
      <w:r w:rsidR="00320737">
        <w:rPr>
          <w:sz w:val="24"/>
          <w:szCs w:val="24"/>
        </w:rPr>
        <w:t>-case</w:t>
      </w:r>
      <w:r w:rsidRPr="0079699F">
        <w:rPr>
          <w:sz w:val="24"/>
          <w:szCs w:val="24"/>
        </w:rPr>
        <w:t xml:space="preserve"> or unlikely scenarios</w:t>
      </w:r>
      <w:r w:rsidR="00320737">
        <w:rPr>
          <w:sz w:val="24"/>
          <w:szCs w:val="24"/>
        </w:rPr>
        <w:t xml:space="preserve"> and instead</w:t>
      </w:r>
      <w:r w:rsidRPr="0079699F">
        <w:rPr>
          <w:sz w:val="24"/>
          <w:szCs w:val="24"/>
        </w:rPr>
        <w:t xml:space="preserve"> the testable 13.8 dB power step size (and associated RB allocation change) should be the focus</w:t>
      </w:r>
    </w:p>
    <w:p w14:paraId="7016CAE3" w14:textId="4CE6252E" w:rsidR="0079699F" w:rsidRPr="00497247" w:rsidRDefault="0079699F" w:rsidP="00495F72">
      <w:pPr>
        <w:spacing w:before="120" w:after="120"/>
        <w:rPr>
          <w:b/>
          <w:bCs/>
        </w:rPr>
      </w:pPr>
      <w:r w:rsidRPr="00497247">
        <w:rPr>
          <w:b/>
          <w:bCs/>
        </w:rPr>
        <w:t>Observation 4: A very large</w:t>
      </w:r>
      <w:r w:rsidR="00F54D79">
        <w:rPr>
          <w:b/>
          <w:bCs/>
        </w:rPr>
        <w:t xml:space="preserve"> power</w:t>
      </w:r>
      <w:r w:rsidRPr="00497247">
        <w:rPr>
          <w:b/>
          <w:bCs/>
        </w:rPr>
        <w:t xml:space="preserve"> step size </w:t>
      </w:r>
      <w:r w:rsidR="00F54D79">
        <w:rPr>
          <w:b/>
          <w:bCs/>
        </w:rPr>
        <w:t xml:space="preserve">of 20 dB </w:t>
      </w:r>
      <w:r w:rsidRPr="00497247">
        <w:rPr>
          <w:b/>
          <w:bCs/>
        </w:rPr>
        <w:t>translates to a large PSD difference between PUSCH and PUCCH</w:t>
      </w:r>
      <w:r w:rsidR="00497247" w:rsidRPr="00497247">
        <w:rPr>
          <w:b/>
          <w:bCs/>
        </w:rPr>
        <w:t xml:space="preserve"> which would mean the SIR on PUCCH RBs because of IBE will be very low (smaller than -5dB) making PUCCH non-decodable. This is not a realistic scenario for real networks as PUSCH and PUCCH should co-exist.</w:t>
      </w:r>
      <w:r w:rsidR="00F54D79">
        <w:rPr>
          <w:b/>
          <w:bCs/>
        </w:rPr>
        <w:t xml:space="preserve"> Hence there is not sufficient justification to use such large step sizes for conformance testing.</w:t>
      </w:r>
    </w:p>
    <w:p w14:paraId="3B757D1B" w14:textId="360FF80B" w:rsidR="00497247" w:rsidRDefault="00497247" w:rsidP="00497247">
      <w:pPr>
        <w:pStyle w:val="Heading3"/>
        <w:rPr>
          <w:rFonts w:eastAsia="MS Mincho"/>
        </w:rPr>
      </w:pPr>
      <w:r>
        <w:rPr>
          <w:rFonts w:eastAsia="MS Mincho"/>
        </w:rPr>
        <w:lastRenderedPageBreak/>
        <w:t>2.3.</w:t>
      </w:r>
      <w:r>
        <w:rPr>
          <w:rFonts w:eastAsia="MS Mincho"/>
        </w:rPr>
        <w:t>2</w:t>
      </w:r>
      <w:r>
        <w:rPr>
          <w:rFonts w:eastAsia="MS Mincho"/>
        </w:rPr>
        <w:t xml:space="preserve"> </w:t>
      </w:r>
      <w:r w:rsidR="00E777C7">
        <w:rPr>
          <w:rFonts w:eastAsia="MS Mincho"/>
        </w:rPr>
        <w:t xml:space="preserve">Inputs regarding </w:t>
      </w:r>
      <w:r w:rsidR="00495F72">
        <w:rPr>
          <w:rFonts w:eastAsia="MS Mincho"/>
        </w:rPr>
        <w:t xml:space="preserve">UE </w:t>
      </w:r>
      <w:r w:rsidR="006E0371">
        <w:rPr>
          <w:rFonts w:eastAsia="MS Mincho"/>
        </w:rPr>
        <w:t>behaviour on power drift</w:t>
      </w:r>
    </w:p>
    <w:p w14:paraId="2E0E5797" w14:textId="58B957C3" w:rsidR="00E777C7" w:rsidRDefault="00E777C7" w:rsidP="00E777C7">
      <w:pPr>
        <w:rPr>
          <w:rFonts w:eastAsia="MS Mincho"/>
        </w:rPr>
      </w:pPr>
      <w:r>
        <w:rPr>
          <w:rFonts w:eastAsia="MS Mincho"/>
        </w:rPr>
        <w:t>In the offline discussions pertaining to MU analysis during RAN5#101 there were discussions on a worst case that the</w:t>
      </w:r>
      <w:r w:rsidRPr="00E777C7">
        <w:rPr>
          <w:rFonts w:eastAsia="MS Mincho"/>
        </w:rPr>
        <w:t xml:space="preserve"> UE could drift by several times of the aggregate power tolerance in the same direction </w:t>
      </w:r>
      <w:r>
        <w:rPr>
          <w:rFonts w:eastAsia="MS Mincho"/>
        </w:rPr>
        <w:t xml:space="preserve">even though it would </w:t>
      </w:r>
      <w:r w:rsidRPr="00E777C7">
        <w:rPr>
          <w:rFonts w:eastAsia="MS Mincho"/>
        </w:rPr>
        <w:t>seem to be quite unrealistic. Moreover, it would result quickly in that the UE power is unknown (between min and max power). </w:t>
      </w:r>
      <w:r>
        <w:rPr>
          <w:rFonts w:eastAsia="MS Mincho"/>
        </w:rPr>
        <w:t xml:space="preserve">The query raised to chipset/UE vendors was UE </w:t>
      </w:r>
      <w:r w:rsidR="006E0371">
        <w:rPr>
          <w:rFonts w:eastAsia="MS Mincho"/>
        </w:rPr>
        <w:t>behavior with</w:t>
      </w:r>
      <w:r>
        <w:rPr>
          <w:rFonts w:eastAsia="MS Mincho"/>
        </w:rPr>
        <w:t xml:space="preserve"> respect to drift of the UE output power for RB allocation pattern for durations longer than 21 </w:t>
      </w:r>
      <w:proofErr w:type="spellStart"/>
      <w:r>
        <w:rPr>
          <w:rFonts w:eastAsia="MS Mincho"/>
        </w:rPr>
        <w:t>ms.</w:t>
      </w:r>
      <w:proofErr w:type="spellEnd"/>
    </w:p>
    <w:p w14:paraId="4104D7CF" w14:textId="77777777" w:rsidR="00E777C7" w:rsidRPr="00E777C7" w:rsidRDefault="00E777C7" w:rsidP="00E777C7">
      <w:pPr>
        <w:rPr>
          <w:rFonts w:eastAsia="MS Mincho"/>
          <w:lang w:val="en-GB"/>
        </w:rPr>
      </w:pPr>
    </w:p>
    <w:p w14:paraId="6E57254D" w14:textId="11DE4721" w:rsidR="008C3E42" w:rsidRPr="00F54D79" w:rsidRDefault="00495F72" w:rsidP="008C3E42">
      <w:pPr>
        <w:rPr>
          <w:rFonts w:eastAsia="MS Mincho"/>
          <w:b/>
          <w:bCs/>
          <w:lang w:val="en-GB"/>
        </w:rPr>
      </w:pPr>
      <w:r w:rsidRPr="00F54D79">
        <w:rPr>
          <w:rFonts w:eastAsia="MS Mincho"/>
          <w:b/>
          <w:bCs/>
          <w:lang w:val="en-GB"/>
        </w:rPr>
        <w:t>Observation 5: Additional analysis is needed regarding the query on possible UE power drift however it is fair to assume the worst case for MU analysis in case an impact is anticipated during the measurement period.</w:t>
      </w:r>
    </w:p>
    <w:p w14:paraId="7FB42B7A" w14:textId="77777777" w:rsidR="00495F72" w:rsidRDefault="00495F72" w:rsidP="008C3E42">
      <w:pPr>
        <w:rPr>
          <w:rFonts w:eastAsia="MS Mincho"/>
          <w:lang w:val="en-GB"/>
        </w:rPr>
      </w:pPr>
    </w:p>
    <w:p w14:paraId="461D397D" w14:textId="5968AF53" w:rsidR="00495F72" w:rsidRDefault="00495F72" w:rsidP="006E0371">
      <w:pPr>
        <w:pStyle w:val="Heading3"/>
        <w:rPr>
          <w:rFonts w:eastAsia="MS Mincho"/>
        </w:rPr>
      </w:pPr>
      <w:r>
        <w:rPr>
          <w:rFonts w:eastAsia="MS Mincho"/>
        </w:rPr>
        <w:t>2.3.3 MU Analysis for the considered power step sizes</w:t>
      </w:r>
    </w:p>
    <w:p w14:paraId="4DA2E030" w14:textId="70B18C1B" w:rsidR="00495F72" w:rsidRDefault="00495F72" w:rsidP="008C3E42">
      <w:pPr>
        <w:rPr>
          <w:bCs/>
        </w:rPr>
      </w:pPr>
      <w:r>
        <w:rPr>
          <w:rFonts w:eastAsia="MS Mincho"/>
          <w:lang w:val="en-GB"/>
        </w:rPr>
        <w:t xml:space="preserve">Over the past meetings, and across </w:t>
      </w:r>
      <w:r w:rsidR="00FD64D4">
        <w:rPr>
          <w:rFonts w:eastAsia="MS Mincho"/>
          <w:lang w:val="en-GB"/>
        </w:rPr>
        <w:t>several contributions such as [9]</w:t>
      </w:r>
      <w:r w:rsidR="00F54D79">
        <w:rPr>
          <w:rFonts w:eastAsia="MS Mincho"/>
          <w:lang w:val="en-GB"/>
        </w:rPr>
        <w:t>, [11] and [12], the TE</w:t>
      </w:r>
      <w:r>
        <w:rPr>
          <w:rFonts w:eastAsia="MS Mincho"/>
          <w:lang w:val="en-GB"/>
        </w:rPr>
        <w:t xml:space="preserve"> vendor feedback has consistently been to </w:t>
      </w:r>
      <w:r w:rsidR="00A64F30">
        <w:rPr>
          <w:rFonts w:eastAsia="MS Mincho"/>
          <w:lang w:val="en-GB"/>
        </w:rPr>
        <w:t>use</w:t>
      </w:r>
      <w:r>
        <w:rPr>
          <w:rFonts w:eastAsia="MS Mincho"/>
          <w:lang w:val="en-GB"/>
        </w:rPr>
        <w:t xml:space="preserve"> to the </w:t>
      </w:r>
      <w:r w:rsidR="00A64F30">
        <w:rPr>
          <w:bCs/>
        </w:rPr>
        <w:t xml:space="preserve">14dB PRB </w:t>
      </w:r>
      <w:r w:rsidR="00A64F30" w:rsidRPr="005A7A8A">
        <w:rPr>
          <w:bCs/>
        </w:rPr>
        <w:t xml:space="preserve">power step </w:t>
      </w:r>
      <w:r w:rsidR="00A64F30" w:rsidRPr="004B1A6E">
        <w:rPr>
          <w:bCs/>
        </w:rPr>
        <w:t>change (13.80dB applying a 24:1 PRB change)</w:t>
      </w:r>
      <w:r w:rsidR="00A64F30">
        <w:rPr>
          <w:bCs/>
        </w:rPr>
        <w:t xml:space="preserve"> due to MU and other testability issues with larger step sizes. Along with the </w:t>
      </w:r>
      <w:r w:rsidR="00F54D79">
        <w:rPr>
          <w:bCs/>
        </w:rPr>
        <w:t>infeasibility</w:t>
      </w:r>
      <w:r w:rsidR="00A64F30">
        <w:rPr>
          <w:bCs/>
        </w:rPr>
        <w:t xml:space="preserve"> of occurrence of very large step sizes</w:t>
      </w:r>
      <w:r w:rsidR="00F54D79">
        <w:rPr>
          <w:bCs/>
        </w:rPr>
        <w:t xml:space="preserve"> explained in Section 2.3.1</w:t>
      </w:r>
      <w:r w:rsidR="00A64F30">
        <w:rPr>
          <w:bCs/>
        </w:rPr>
        <w:t>, TE vendor input is very critical to ensure a stable conformance test case that accurately covers testing of the core requirements.</w:t>
      </w:r>
    </w:p>
    <w:p w14:paraId="3C0B16A9" w14:textId="77777777" w:rsidR="00A64F30" w:rsidRDefault="00A64F30" w:rsidP="008C3E42">
      <w:pPr>
        <w:rPr>
          <w:bCs/>
        </w:rPr>
      </w:pPr>
    </w:p>
    <w:p w14:paraId="61C520C2" w14:textId="3E56C87C" w:rsidR="00A64F30" w:rsidRPr="00A64F30" w:rsidRDefault="00A64F30" w:rsidP="008C3E42">
      <w:pPr>
        <w:rPr>
          <w:rFonts w:eastAsia="MS Mincho"/>
          <w:b/>
          <w:lang w:val="en-GB"/>
        </w:rPr>
      </w:pPr>
      <w:r w:rsidRPr="00A64F30">
        <w:rPr>
          <w:b/>
        </w:rPr>
        <w:t xml:space="preserve">Proposal </w:t>
      </w:r>
      <w:r>
        <w:rPr>
          <w:b/>
        </w:rPr>
        <w:t>1</w:t>
      </w:r>
      <w:r w:rsidRPr="00A64F30">
        <w:rPr>
          <w:b/>
        </w:rPr>
        <w:t>: Based on TE vendor feedback on MU and analysis of realistic network scenarios</w:t>
      </w:r>
      <w:r w:rsidR="00DA61D7">
        <w:rPr>
          <w:b/>
        </w:rPr>
        <w:t xml:space="preserve"> </w:t>
      </w:r>
      <w:r w:rsidR="00DA61D7">
        <w:rPr>
          <w:b/>
        </w:rPr>
        <w:t>vis-à-vis power step</w:t>
      </w:r>
      <w:r w:rsidRPr="00A64F30">
        <w:rPr>
          <w:b/>
        </w:rPr>
        <w:t xml:space="preserve">, </w:t>
      </w:r>
      <w:r w:rsidR="00F54D79" w:rsidRPr="00A64F30">
        <w:rPr>
          <w:b/>
        </w:rPr>
        <w:t>RAN5</w:t>
      </w:r>
      <w:r w:rsidRPr="00A64F30">
        <w:rPr>
          <w:b/>
        </w:rPr>
        <w:t xml:space="preserve"> can conclude on </w:t>
      </w:r>
      <w:r w:rsidRPr="00A64F30">
        <w:rPr>
          <w:rFonts w:eastAsia="MS Mincho"/>
          <w:b/>
          <w:lang w:val="en-GB"/>
        </w:rPr>
        <w:t>use</w:t>
      </w:r>
      <w:r w:rsidRPr="00A64F30">
        <w:rPr>
          <w:rFonts w:eastAsia="MS Mincho"/>
          <w:b/>
          <w:lang w:val="en-GB"/>
        </w:rPr>
        <w:t xml:space="preserve"> of </w:t>
      </w:r>
      <w:r w:rsidRPr="00A64F30">
        <w:rPr>
          <w:rFonts w:eastAsia="MS Mincho"/>
          <w:b/>
          <w:lang w:val="en-GB"/>
        </w:rPr>
        <w:t xml:space="preserve">the </w:t>
      </w:r>
      <w:r w:rsidRPr="00A64F30">
        <w:rPr>
          <w:b/>
        </w:rPr>
        <w:t>14dB PRB power step change (13.80dB applying a 24:1 PRB change)</w:t>
      </w:r>
      <w:r w:rsidRPr="00A64F30">
        <w:rPr>
          <w:b/>
        </w:rPr>
        <w:t xml:space="preserve"> for the EVM test with </w:t>
      </w:r>
      <w:r w:rsidR="00F54D79" w:rsidRPr="00A64F30">
        <w:rPr>
          <w:b/>
        </w:rPr>
        <w:t>transients.</w:t>
      </w:r>
    </w:p>
    <w:p w14:paraId="18AA975C" w14:textId="76403D72" w:rsidR="00F50BB9" w:rsidRPr="00F566F2" w:rsidRDefault="006E0371" w:rsidP="00F566F2">
      <w:pPr>
        <w:pStyle w:val="Heading1"/>
        <w:rPr>
          <w:rFonts w:cs="Arial"/>
        </w:rPr>
      </w:pPr>
      <w:r>
        <w:rPr>
          <w:rFonts w:cs="Arial"/>
        </w:rPr>
        <w:t xml:space="preserve">3 </w:t>
      </w:r>
      <w:r w:rsidR="007B2019">
        <w:rPr>
          <w:rFonts w:cs="Arial"/>
        </w:rPr>
        <w:t>Summary</w:t>
      </w:r>
    </w:p>
    <w:p w14:paraId="49DEA1D4" w14:textId="77777777" w:rsidR="00F54D79" w:rsidRPr="00F54D79" w:rsidRDefault="00F54D79" w:rsidP="00F54D79">
      <w:pPr>
        <w:spacing w:before="120" w:after="120"/>
        <w:jc w:val="both"/>
        <w:rPr>
          <w:i/>
          <w:iCs/>
        </w:rPr>
      </w:pPr>
      <w:r w:rsidRPr="00F54D79">
        <w:rPr>
          <w:b/>
          <w:bCs/>
          <w:i/>
          <w:iCs/>
        </w:rPr>
        <w:t>Observation 1:</w:t>
      </w:r>
      <w:r w:rsidRPr="00F54D79">
        <w:rPr>
          <w:i/>
          <w:iCs/>
        </w:rPr>
        <w:t xml:space="preserve"> The transient during EVM measurements is triggered by RB allocation changes at the boundary of the successive long sub slots. </w:t>
      </w:r>
    </w:p>
    <w:p w14:paraId="37B32B50" w14:textId="1A09AEE0" w:rsidR="00F54D79" w:rsidRPr="00F54D79" w:rsidRDefault="00F54D79" w:rsidP="00F54D79">
      <w:pPr>
        <w:spacing w:before="120" w:after="120"/>
        <w:rPr>
          <w:i/>
          <w:iCs/>
        </w:rPr>
      </w:pPr>
      <w:r w:rsidRPr="00F54D79">
        <w:rPr>
          <w:b/>
          <w:bCs/>
          <w:i/>
          <w:iCs/>
        </w:rPr>
        <w:t>Observation 2:</w:t>
      </w:r>
      <w:r w:rsidRPr="00F54D79">
        <w:rPr>
          <w:i/>
          <w:iCs/>
        </w:rPr>
        <w:t xml:space="preserve"> There is already agreement to consider 11.5 dBm as higher power level to avoid influence of MPR. Use TPC power control window to fix this UE higher target power.</w:t>
      </w:r>
    </w:p>
    <w:p w14:paraId="3CEDECF7" w14:textId="372315E9" w:rsidR="00762716" w:rsidRPr="00F54D79" w:rsidRDefault="00F54D79" w:rsidP="006E0371">
      <w:pPr>
        <w:rPr>
          <w:i/>
          <w:iCs/>
        </w:rPr>
      </w:pPr>
      <w:r w:rsidRPr="00712A6D">
        <w:rPr>
          <w:i/>
          <w:iCs/>
        </w:rPr>
        <w:fldChar w:fldCharType="begin"/>
      </w:r>
      <w:r w:rsidRPr="00712A6D">
        <w:rPr>
          <w:i/>
          <w:iCs/>
        </w:rPr>
        <w:instrText xml:space="preserve"> REF _Ref147753891 \h  \* MERGEFORMAT </w:instrText>
      </w:r>
      <w:r w:rsidRPr="00712A6D">
        <w:rPr>
          <w:i/>
          <w:iCs/>
        </w:rPr>
      </w:r>
      <w:r w:rsidRPr="00712A6D">
        <w:rPr>
          <w:i/>
          <w:iCs/>
        </w:rPr>
        <w:fldChar w:fldCharType="separate"/>
      </w:r>
      <w:r w:rsidRPr="00712A6D">
        <w:rPr>
          <w:b/>
          <w:bCs/>
          <w:i/>
          <w:iCs/>
        </w:rPr>
        <w:t xml:space="preserve">Observation </w:t>
      </w:r>
      <w:r w:rsidRPr="00F54D79">
        <w:rPr>
          <w:b/>
          <w:bCs/>
          <w:i/>
          <w:iCs/>
        </w:rPr>
        <w:t>3</w:t>
      </w:r>
      <w:r>
        <w:rPr>
          <w:b/>
          <w:bCs/>
          <w:i/>
          <w:iCs/>
        </w:rPr>
        <w:t>:</w:t>
      </w:r>
      <w:r w:rsidRPr="00712A6D">
        <w:rPr>
          <w:i/>
          <w:iCs/>
        </w:rPr>
        <w:t xml:space="preserve"> The only way to make the test case independent of the band, the BW and the SCS is to test 14dB PRB power step ch</w:t>
      </w:r>
      <w:r w:rsidRPr="00712A6D">
        <w:rPr>
          <w:i/>
          <w:iCs/>
        </w:rPr>
        <w:t>a</w:t>
      </w:r>
      <w:r w:rsidRPr="00712A6D">
        <w:rPr>
          <w:i/>
          <w:iCs/>
        </w:rPr>
        <w:t>nge (13.80dB applying a 24:1 PRB change).</w:t>
      </w:r>
      <w:r w:rsidRPr="00712A6D">
        <w:rPr>
          <w:i/>
          <w:iCs/>
        </w:rPr>
        <w:fldChar w:fldCharType="end"/>
      </w:r>
    </w:p>
    <w:p w14:paraId="7EF4504E" w14:textId="41B42603" w:rsidR="00F54D79" w:rsidRPr="006E0371" w:rsidRDefault="00F54D79" w:rsidP="006E0371">
      <w:pPr>
        <w:spacing w:before="120" w:after="120"/>
        <w:rPr>
          <w:i/>
          <w:iCs/>
        </w:rPr>
      </w:pPr>
      <w:r w:rsidRPr="006E0371">
        <w:rPr>
          <w:b/>
          <w:bCs/>
          <w:i/>
          <w:iCs/>
        </w:rPr>
        <w:t>Observation 4:</w:t>
      </w:r>
      <w:r w:rsidRPr="00F54D79">
        <w:rPr>
          <w:i/>
          <w:iCs/>
        </w:rPr>
        <w:t xml:space="preserve"> A very large power step size of 20 dB translates to a large PSD difference between PUSCH and PUCCH which would mean the SIR on PUCCH RBs because of IBE will be very low (smaller than -5dB) making PUCCH non-decodable. This is not a realistic scenario for real networks as PUSCH and PUCCH should co-exist. Hence there is not sufficient justification to use such large step sizes for conformance testing.</w:t>
      </w:r>
    </w:p>
    <w:p w14:paraId="3AE12026" w14:textId="188344D5" w:rsidR="00F54D79" w:rsidRPr="00F54D79" w:rsidRDefault="00F54D79" w:rsidP="00F54D79">
      <w:pPr>
        <w:rPr>
          <w:rFonts w:eastAsia="MS Mincho"/>
          <w:i/>
          <w:iCs/>
          <w:lang w:val="en-GB"/>
        </w:rPr>
      </w:pPr>
      <w:r w:rsidRPr="006E0371">
        <w:rPr>
          <w:rFonts w:eastAsia="MS Mincho"/>
          <w:b/>
          <w:bCs/>
          <w:i/>
          <w:iCs/>
          <w:lang w:val="en-GB"/>
        </w:rPr>
        <w:t>Observation 5:</w:t>
      </w:r>
      <w:r w:rsidRPr="00F54D79">
        <w:rPr>
          <w:rFonts w:eastAsia="MS Mincho"/>
          <w:i/>
          <w:iCs/>
          <w:lang w:val="en-GB"/>
        </w:rPr>
        <w:t xml:space="preserve"> Additional analysis is needed regarding the query on possible UE power drift however it is fair to assume the worst case for MU analysis in case an impact is anticipated during the measurement period.</w:t>
      </w:r>
    </w:p>
    <w:p w14:paraId="23597B6F" w14:textId="77777777" w:rsidR="00F54D79" w:rsidRDefault="00F54D79" w:rsidP="00762716">
      <w:pPr>
        <w:tabs>
          <w:tab w:val="num" w:pos="720"/>
        </w:tabs>
        <w:rPr>
          <w:b/>
          <w:bCs/>
          <w:lang w:eastAsia="ja-JP"/>
        </w:rPr>
      </w:pPr>
    </w:p>
    <w:p w14:paraId="5F0E6012" w14:textId="49A822D0" w:rsidR="00762716" w:rsidRPr="006E0371" w:rsidRDefault="00F54D79" w:rsidP="006E0371">
      <w:pPr>
        <w:rPr>
          <w:rFonts w:eastAsia="MS Mincho"/>
          <w:b/>
          <w:lang w:val="en-GB"/>
        </w:rPr>
      </w:pPr>
      <w:r w:rsidRPr="00A64F30">
        <w:rPr>
          <w:b/>
        </w:rPr>
        <w:t xml:space="preserve">Proposal </w:t>
      </w:r>
      <w:r>
        <w:rPr>
          <w:b/>
        </w:rPr>
        <w:t>1</w:t>
      </w:r>
      <w:r w:rsidRPr="00A64F30">
        <w:rPr>
          <w:b/>
        </w:rPr>
        <w:t>: Based on TE vendor feedback on MU and analysis of realistic network scenarios</w:t>
      </w:r>
      <w:r w:rsidR="00DA61D7">
        <w:rPr>
          <w:b/>
        </w:rPr>
        <w:t xml:space="preserve"> vis-à-vis power step</w:t>
      </w:r>
      <w:r w:rsidRPr="00A64F30">
        <w:rPr>
          <w:b/>
        </w:rPr>
        <w:t xml:space="preserve">, RAN5 can conclude on </w:t>
      </w:r>
      <w:r w:rsidRPr="00A64F30">
        <w:rPr>
          <w:rFonts w:eastAsia="MS Mincho"/>
          <w:b/>
          <w:lang w:val="en-GB"/>
        </w:rPr>
        <w:t xml:space="preserve">use of the </w:t>
      </w:r>
      <w:r w:rsidRPr="00A64F30">
        <w:rPr>
          <w:b/>
        </w:rPr>
        <w:t>14dB PRB power step change (13.80dB applying a 24:1 PRB change) for the EVM test with transients.</w:t>
      </w:r>
    </w:p>
    <w:p w14:paraId="0A9289B4" w14:textId="14B932F1" w:rsidR="00C05A46" w:rsidRPr="0054694C" w:rsidRDefault="005E69AE" w:rsidP="0054694C">
      <w:pPr>
        <w:pStyle w:val="Heading1"/>
        <w:numPr>
          <w:ilvl w:val="0"/>
          <w:numId w:val="31"/>
        </w:numPr>
        <w:rPr>
          <w:rFonts w:cs="Arial"/>
        </w:rPr>
      </w:pPr>
      <w:r w:rsidRPr="00DB2F35">
        <w:rPr>
          <w:rFonts w:cs="Arial"/>
        </w:rPr>
        <w:lastRenderedPageBreak/>
        <w:t>References</w:t>
      </w:r>
      <w:bookmarkEnd w:id="0"/>
    </w:p>
    <w:p w14:paraId="0086BAAC" w14:textId="77777777" w:rsidR="001F2A28" w:rsidRPr="001F2A28" w:rsidRDefault="001F2A28" w:rsidP="001F2A28">
      <w:pPr>
        <w:spacing w:before="120" w:after="120"/>
        <w:ind w:left="360" w:hangingChars="150" w:hanging="360"/>
      </w:pPr>
      <w:r>
        <w:rPr>
          <w:rFonts w:eastAsiaTheme="minorEastAsia" w:hint="eastAsia"/>
        </w:rPr>
        <w:t>[</w:t>
      </w:r>
      <w:r w:rsidRPr="001F2A28">
        <w:t>1</w:t>
      </w:r>
      <w:r w:rsidRPr="001F2A28">
        <w:rPr>
          <w:rFonts w:hint="eastAsia"/>
        </w:rPr>
        <w:t>]</w:t>
      </w:r>
      <w:r w:rsidRPr="001F2A28">
        <w:t xml:space="preserve"> R5-237848, “Discussion on FR1 EVM testing in shorter transient period”, Keysight Technologies, RAN5#101</w:t>
      </w:r>
    </w:p>
    <w:p w14:paraId="4BB40404" w14:textId="77777777" w:rsidR="001F2A28" w:rsidRPr="001F2A28" w:rsidRDefault="001F2A28" w:rsidP="001F2A28">
      <w:pPr>
        <w:spacing w:before="120" w:after="120"/>
        <w:ind w:left="360" w:hangingChars="150" w:hanging="360"/>
      </w:pPr>
      <w:r w:rsidRPr="001F2A28">
        <w:rPr>
          <w:rFonts w:hint="eastAsia"/>
        </w:rPr>
        <w:t>[</w:t>
      </w:r>
      <w:r w:rsidRPr="001F2A28">
        <w:t>2] R5-237859, “On the MU for FR1 EVM including symbols with transient period”, Rohde &amp; Schwarz, RAN5#101</w:t>
      </w:r>
    </w:p>
    <w:p w14:paraId="6F73DFA0" w14:textId="6025E8F2" w:rsidR="001F2A28" w:rsidRDefault="001F2A28" w:rsidP="001F2A28">
      <w:pPr>
        <w:pStyle w:val="EX"/>
        <w:numPr>
          <w:ilvl w:val="0"/>
          <w:numId w:val="0"/>
        </w:numPr>
        <w:ind w:left="369" w:hanging="369"/>
        <w:rPr>
          <w:sz w:val="24"/>
          <w:szCs w:val="24"/>
          <w:lang w:val="en-US"/>
        </w:rPr>
      </w:pPr>
      <w:bookmarkStart w:id="1" w:name="_Ref124155470"/>
      <w:bookmarkStart w:id="2" w:name="_Ref147743621"/>
      <w:r w:rsidRPr="001F2A28">
        <w:rPr>
          <w:sz w:val="24"/>
          <w:szCs w:val="24"/>
          <w:lang w:val="en-US"/>
        </w:rPr>
        <w:t>[3]</w:t>
      </w:r>
      <w:r w:rsidRPr="001F2A28">
        <w:rPr>
          <w:sz w:val="24"/>
          <w:szCs w:val="24"/>
          <w:lang w:val="en-US"/>
        </w:rPr>
        <w:tab/>
      </w:r>
      <w:r w:rsidRPr="001F2A28">
        <w:rPr>
          <w:sz w:val="24"/>
          <w:szCs w:val="24"/>
          <w:lang w:val="en-US"/>
        </w:rPr>
        <w:t>R5-234178, Discussion on FR1 EVM testing including symbols with transient period, Keysight, 3GPP TSG RAN WG 5 Meeting #</w:t>
      </w:r>
      <w:bookmarkEnd w:id="1"/>
      <w:r w:rsidRPr="001F2A28">
        <w:rPr>
          <w:sz w:val="24"/>
          <w:szCs w:val="24"/>
          <w:lang w:val="en-US"/>
        </w:rPr>
        <w:t>100</w:t>
      </w:r>
      <w:bookmarkEnd w:id="2"/>
      <w:r w:rsidRPr="001F2A28">
        <w:rPr>
          <w:sz w:val="24"/>
          <w:szCs w:val="24"/>
          <w:lang w:val="en-US"/>
        </w:rPr>
        <w:t>, August 2023</w:t>
      </w:r>
    </w:p>
    <w:p w14:paraId="4B56F83B" w14:textId="2F22A36E" w:rsidR="001F2A28" w:rsidRPr="001F2A28" w:rsidRDefault="001F2A28" w:rsidP="001F2A28">
      <w:pPr>
        <w:pStyle w:val="EX"/>
        <w:numPr>
          <w:ilvl w:val="0"/>
          <w:numId w:val="0"/>
        </w:numPr>
        <w:ind w:left="369" w:hanging="369"/>
        <w:rPr>
          <w:sz w:val="24"/>
          <w:szCs w:val="24"/>
          <w:lang w:val="en-US"/>
        </w:rPr>
      </w:pPr>
      <w:r>
        <w:rPr>
          <w:sz w:val="24"/>
          <w:szCs w:val="24"/>
          <w:lang w:val="en-US"/>
        </w:rPr>
        <w:t xml:space="preserve">[4] </w:t>
      </w:r>
      <w:bookmarkStart w:id="3" w:name="_Ref147743623"/>
      <w:r w:rsidRPr="001F2A28">
        <w:rPr>
          <w:sz w:val="24"/>
          <w:szCs w:val="24"/>
          <w:lang w:val="en-US"/>
        </w:rPr>
        <w:t xml:space="preserve">R5-235865, MU discussion on FR1 EVM including symbols with transient period, Anritsu, </w:t>
      </w:r>
      <w:bookmarkEnd w:id="3"/>
      <w:r w:rsidRPr="001F2A28">
        <w:rPr>
          <w:sz w:val="24"/>
          <w:szCs w:val="24"/>
          <w:lang w:val="en-US"/>
        </w:rPr>
        <w:t>3GPP TSG RAN WG 5 Meeting #100, August 2023</w:t>
      </w:r>
    </w:p>
    <w:p w14:paraId="627DDA0E" w14:textId="75AF0BAE" w:rsidR="001F2A28" w:rsidRPr="001F2A28" w:rsidRDefault="001F2A28" w:rsidP="001F2A28">
      <w:pPr>
        <w:pStyle w:val="EX"/>
        <w:numPr>
          <w:ilvl w:val="0"/>
          <w:numId w:val="0"/>
        </w:numPr>
        <w:ind w:left="284" w:hanging="284"/>
        <w:rPr>
          <w:sz w:val="24"/>
          <w:szCs w:val="24"/>
          <w:lang w:val="en-US"/>
        </w:rPr>
      </w:pPr>
      <w:bookmarkStart w:id="4" w:name="_Ref147746993"/>
      <w:r>
        <w:rPr>
          <w:sz w:val="24"/>
          <w:szCs w:val="24"/>
          <w:lang w:val="en-US"/>
        </w:rPr>
        <w:t>[5]</w:t>
      </w:r>
      <w:r>
        <w:rPr>
          <w:sz w:val="24"/>
          <w:szCs w:val="24"/>
          <w:lang w:val="en-US"/>
        </w:rPr>
        <w:tab/>
        <w:t xml:space="preserve"> </w:t>
      </w:r>
      <w:r w:rsidRPr="001F2A28">
        <w:rPr>
          <w:sz w:val="24"/>
          <w:szCs w:val="24"/>
          <w:lang w:val="en-US"/>
        </w:rPr>
        <w:t xml:space="preserve">R5-233760, Discussion on power settings in FR1 EVM including symbols with transient period, Anritsu, Apple Inc, </w:t>
      </w:r>
      <w:bookmarkEnd w:id="4"/>
      <w:r w:rsidRPr="001F2A28">
        <w:rPr>
          <w:sz w:val="24"/>
          <w:szCs w:val="24"/>
          <w:lang w:val="en-US"/>
        </w:rPr>
        <w:t>3GPP TSG RAN WG 5 Meeting #99, May 2023</w:t>
      </w:r>
    </w:p>
    <w:p w14:paraId="11233723" w14:textId="5417B4AA" w:rsidR="001F2A28" w:rsidRPr="001F2A28" w:rsidRDefault="001F2A28" w:rsidP="001F2A28">
      <w:pPr>
        <w:pStyle w:val="EX"/>
        <w:numPr>
          <w:ilvl w:val="0"/>
          <w:numId w:val="0"/>
        </w:numPr>
        <w:ind w:left="280" w:hanging="280"/>
        <w:rPr>
          <w:sz w:val="24"/>
          <w:szCs w:val="24"/>
          <w:lang w:val="en-US"/>
        </w:rPr>
      </w:pPr>
      <w:bookmarkStart w:id="5" w:name="_Ref147744270"/>
      <w:r>
        <w:rPr>
          <w:sz w:val="24"/>
          <w:szCs w:val="24"/>
          <w:lang w:val="en-US"/>
        </w:rPr>
        <w:t>[6</w:t>
      </w:r>
      <w:proofErr w:type="gramStart"/>
      <w:r>
        <w:rPr>
          <w:sz w:val="24"/>
          <w:szCs w:val="24"/>
          <w:lang w:val="en-US"/>
        </w:rPr>
        <w:t>]</w:t>
      </w:r>
      <w:r w:rsidR="006E0371">
        <w:rPr>
          <w:sz w:val="24"/>
          <w:szCs w:val="24"/>
          <w:lang w:val="en-US"/>
        </w:rPr>
        <w:t xml:space="preserve"> </w:t>
      </w:r>
      <w:r>
        <w:rPr>
          <w:sz w:val="24"/>
          <w:szCs w:val="24"/>
          <w:lang w:val="en-US"/>
        </w:rPr>
        <w:t xml:space="preserve"> </w:t>
      </w:r>
      <w:r w:rsidRPr="001F2A28">
        <w:rPr>
          <w:sz w:val="24"/>
          <w:szCs w:val="24"/>
          <w:lang w:val="en-US"/>
        </w:rPr>
        <w:t>R</w:t>
      </w:r>
      <w:proofErr w:type="gramEnd"/>
      <w:r w:rsidRPr="001F2A28">
        <w:rPr>
          <w:sz w:val="24"/>
          <w:szCs w:val="24"/>
          <w:lang w:val="en-US"/>
        </w:rPr>
        <w:t xml:space="preserve">5-233790, LS on EVM for shorter transient period capability in FR1, RAN4, </w:t>
      </w:r>
      <w:bookmarkEnd w:id="5"/>
      <w:r w:rsidRPr="001F2A28">
        <w:rPr>
          <w:sz w:val="24"/>
          <w:szCs w:val="24"/>
          <w:lang w:val="en-US"/>
        </w:rPr>
        <w:t xml:space="preserve">3GPP TSG RAN </w:t>
      </w:r>
      <w:r>
        <w:rPr>
          <w:sz w:val="24"/>
          <w:szCs w:val="24"/>
          <w:lang w:val="en-US"/>
        </w:rPr>
        <w:t xml:space="preserve">  </w:t>
      </w:r>
      <w:r w:rsidRPr="001F2A28">
        <w:rPr>
          <w:sz w:val="24"/>
          <w:szCs w:val="24"/>
          <w:lang w:val="en-US"/>
        </w:rPr>
        <w:t>WG 5 Meeting #100, August 2023</w:t>
      </w:r>
    </w:p>
    <w:p w14:paraId="5B3D30D3" w14:textId="6C6AB110" w:rsidR="00762716" w:rsidRPr="008C3E42" w:rsidRDefault="008C3E42" w:rsidP="008C3E42">
      <w:pPr>
        <w:pStyle w:val="EX"/>
        <w:numPr>
          <w:ilvl w:val="0"/>
          <w:numId w:val="0"/>
        </w:numPr>
        <w:ind w:left="369" w:hanging="369"/>
        <w:rPr>
          <w:sz w:val="24"/>
          <w:szCs w:val="24"/>
          <w:lang w:val="en-US"/>
        </w:rPr>
      </w:pPr>
      <w:r w:rsidRPr="008C3E42">
        <w:rPr>
          <w:sz w:val="24"/>
          <w:szCs w:val="24"/>
          <w:lang w:val="en-US"/>
        </w:rPr>
        <w:t>[7</w:t>
      </w:r>
      <w:proofErr w:type="gramStart"/>
      <w:r w:rsidRPr="008C3E42">
        <w:rPr>
          <w:sz w:val="24"/>
          <w:szCs w:val="24"/>
          <w:lang w:val="en-US"/>
        </w:rPr>
        <w:t xml:space="preserve">] </w:t>
      </w:r>
      <w:r w:rsidR="006E0371">
        <w:rPr>
          <w:sz w:val="24"/>
          <w:szCs w:val="24"/>
          <w:lang w:val="en-US"/>
        </w:rPr>
        <w:t xml:space="preserve"> </w:t>
      </w:r>
      <w:r w:rsidRPr="008C3E42">
        <w:rPr>
          <w:sz w:val="24"/>
          <w:szCs w:val="24"/>
          <w:lang w:val="en-US"/>
        </w:rPr>
        <w:t>R</w:t>
      </w:r>
      <w:proofErr w:type="gramEnd"/>
      <w:r w:rsidRPr="008C3E42">
        <w:rPr>
          <w:sz w:val="24"/>
          <w:szCs w:val="24"/>
          <w:lang w:val="en-US"/>
        </w:rPr>
        <w:t xml:space="preserve">5-230058, </w:t>
      </w:r>
      <w:r w:rsidRPr="008C3E42">
        <w:rPr>
          <w:sz w:val="24"/>
          <w:szCs w:val="24"/>
          <w:lang w:val="en-US"/>
        </w:rPr>
        <w:t>FR1 EVM for shorter transient period capability</w:t>
      </w:r>
      <w:r w:rsidRPr="008C3E42">
        <w:rPr>
          <w:sz w:val="24"/>
          <w:szCs w:val="24"/>
          <w:lang w:val="en-US"/>
        </w:rPr>
        <w:t xml:space="preserve">, Skyworks Solutions, </w:t>
      </w:r>
      <w:r w:rsidRPr="008C3E42">
        <w:rPr>
          <w:sz w:val="24"/>
          <w:szCs w:val="24"/>
          <w:lang w:val="en-US"/>
        </w:rPr>
        <w:t>3GPP TSG-RAN5 #98</w:t>
      </w:r>
    </w:p>
    <w:p w14:paraId="3363FD84" w14:textId="2EDB947D" w:rsidR="00762716" w:rsidRPr="008C3E42" w:rsidRDefault="008C3E42" w:rsidP="007138C7">
      <w:pPr>
        <w:pStyle w:val="EX"/>
        <w:numPr>
          <w:ilvl w:val="0"/>
          <w:numId w:val="0"/>
        </w:numPr>
        <w:ind w:left="369" w:hanging="369"/>
        <w:rPr>
          <w:sz w:val="24"/>
          <w:szCs w:val="24"/>
          <w:lang w:val="en-US"/>
        </w:rPr>
      </w:pPr>
      <w:r w:rsidRPr="008C3E42">
        <w:rPr>
          <w:sz w:val="24"/>
          <w:szCs w:val="24"/>
          <w:lang w:val="en-US"/>
        </w:rPr>
        <w:t xml:space="preserve">[8] </w:t>
      </w:r>
      <w:r w:rsidRPr="008C3E42">
        <w:rPr>
          <w:sz w:val="24"/>
          <w:szCs w:val="24"/>
          <w:lang w:val="en-US"/>
        </w:rPr>
        <w:t>R4-1912921, WF on Transient period capability, 3GPP TSG-RAN WG4 Meeting #92-</w:t>
      </w:r>
      <w:proofErr w:type="gramStart"/>
      <w:r w:rsidRPr="008C3E42">
        <w:rPr>
          <w:sz w:val="24"/>
          <w:szCs w:val="24"/>
          <w:lang w:val="en-US"/>
        </w:rPr>
        <w:t xml:space="preserve">bis, </w:t>
      </w:r>
      <w:r>
        <w:rPr>
          <w:sz w:val="24"/>
          <w:szCs w:val="24"/>
          <w:lang w:val="en-US"/>
        </w:rPr>
        <w:t xml:space="preserve">  </w:t>
      </w:r>
      <w:proofErr w:type="gramEnd"/>
      <w:r w:rsidRPr="008C3E42">
        <w:rPr>
          <w:sz w:val="24"/>
          <w:szCs w:val="24"/>
          <w:lang w:val="en-US"/>
        </w:rPr>
        <w:t>Qualcomm Incorporated.</w:t>
      </w:r>
    </w:p>
    <w:p w14:paraId="3A8732D1" w14:textId="79A6087A" w:rsidR="00762716" w:rsidRPr="009E2929" w:rsidRDefault="00712A6D" w:rsidP="00315AE1">
      <w:pPr>
        <w:pStyle w:val="EX"/>
        <w:numPr>
          <w:ilvl w:val="0"/>
          <w:numId w:val="0"/>
        </w:numPr>
        <w:rPr>
          <w:sz w:val="24"/>
          <w:szCs w:val="24"/>
          <w:lang w:val="en-US"/>
        </w:rPr>
      </w:pPr>
      <w:r w:rsidRPr="009E2929">
        <w:rPr>
          <w:sz w:val="24"/>
          <w:szCs w:val="24"/>
          <w:lang w:val="en-US"/>
        </w:rPr>
        <w:t>[9]</w:t>
      </w:r>
      <w:r w:rsidR="009E2929">
        <w:rPr>
          <w:sz w:val="24"/>
          <w:szCs w:val="24"/>
          <w:lang w:val="en-US"/>
        </w:rPr>
        <w:t xml:space="preserve"> </w:t>
      </w:r>
      <w:r w:rsidRPr="009E2929">
        <w:rPr>
          <w:sz w:val="24"/>
          <w:szCs w:val="24"/>
          <w:lang w:val="en-US"/>
        </w:rPr>
        <w:t xml:space="preserve"> R5</w:t>
      </w:r>
      <w:r w:rsidR="009E2929">
        <w:rPr>
          <w:sz w:val="24"/>
          <w:szCs w:val="24"/>
          <w:lang w:val="en-US"/>
        </w:rPr>
        <w:t>-</w:t>
      </w:r>
      <w:r w:rsidRPr="009E2929">
        <w:rPr>
          <w:sz w:val="24"/>
          <w:szCs w:val="24"/>
          <w:lang w:val="en-US"/>
        </w:rPr>
        <w:t xml:space="preserve">236341, “Discussion on FR1 EVM testing in shorter transient periods, </w:t>
      </w:r>
      <w:r w:rsidR="009E2929">
        <w:rPr>
          <w:sz w:val="24"/>
          <w:szCs w:val="24"/>
          <w:lang w:val="en-US"/>
        </w:rPr>
        <w:t xml:space="preserve">Keysight, </w:t>
      </w:r>
      <w:r w:rsidR="009E2929" w:rsidRPr="009E2929">
        <w:rPr>
          <w:bCs/>
          <w:sz w:val="24"/>
          <w:szCs w:val="24"/>
          <w:lang w:val="en-US"/>
        </w:rPr>
        <w:t xml:space="preserve">3GPP </w:t>
      </w:r>
      <w:r w:rsidR="009E2929">
        <w:rPr>
          <w:bCs/>
          <w:sz w:val="24"/>
          <w:szCs w:val="24"/>
          <w:lang w:val="en-US"/>
        </w:rPr>
        <w:t xml:space="preserve"> </w:t>
      </w:r>
      <w:r w:rsidR="009E2929" w:rsidRPr="009E2929">
        <w:rPr>
          <w:bCs/>
          <w:sz w:val="24"/>
          <w:szCs w:val="24"/>
          <w:lang w:val="en-US"/>
        </w:rPr>
        <w:t>TSG-</w:t>
      </w:r>
      <w:r w:rsidR="009E2929" w:rsidRPr="009E2929">
        <w:rPr>
          <w:bCs/>
          <w:sz w:val="24"/>
          <w:szCs w:val="24"/>
          <w:lang w:val="en-US"/>
        </w:rPr>
        <w:fldChar w:fldCharType="begin"/>
      </w:r>
      <w:r w:rsidR="009E2929" w:rsidRPr="009E2929">
        <w:rPr>
          <w:bCs/>
          <w:sz w:val="24"/>
          <w:szCs w:val="24"/>
          <w:lang w:val="en-US"/>
        </w:rPr>
        <w:instrText xml:space="preserve"> DOCPROPERTY  TSG/WGRef  \* MERGEFORMAT </w:instrText>
      </w:r>
      <w:r w:rsidR="009E2929" w:rsidRPr="009E2929">
        <w:rPr>
          <w:bCs/>
          <w:sz w:val="24"/>
          <w:szCs w:val="24"/>
          <w:lang w:val="en-US"/>
        </w:rPr>
        <w:fldChar w:fldCharType="separate"/>
      </w:r>
      <w:r w:rsidR="009E2929" w:rsidRPr="009E2929">
        <w:rPr>
          <w:bCs/>
          <w:sz w:val="24"/>
          <w:szCs w:val="24"/>
          <w:lang w:val="en-US"/>
        </w:rPr>
        <w:t>RAN5</w:t>
      </w:r>
      <w:r w:rsidR="009E2929" w:rsidRPr="009E2929">
        <w:rPr>
          <w:bCs/>
          <w:sz w:val="24"/>
          <w:szCs w:val="24"/>
          <w:lang w:val="en-US"/>
        </w:rPr>
        <w:fldChar w:fldCharType="end"/>
      </w:r>
      <w:r w:rsidR="009E2929" w:rsidRPr="009E2929">
        <w:rPr>
          <w:bCs/>
          <w:sz w:val="24"/>
          <w:szCs w:val="24"/>
          <w:lang w:val="en-US"/>
        </w:rPr>
        <w:t xml:space="preserve"> Meeting #</w:t>
      </w:r>
      <w:r w:rsidR="009E2929" w:rsidRPr="009E2929">
        <w:rPr>
          <w:bCs/>
          <w:sz w:val="24"/>
          <w:szCs w:val="24"/>
          <w:lang w:val="en-US"/>
        </w:rPr>
        <w:fldChar w:fldCharType="begin"/>
      </w:r>
      <w:r w:rsidR="009E2929" w:rsidRPr="009E2929">
        <w:rPr>
          <w:bCs/>
          <w:sz w:val="24"/>
          <w:szCs w:val="24"/>
          <w:lang w:val="en-US"/>
        </w:rPr>
        <w:instrText xml:space="preserve"> DOCPROPERTY  MtgSeq  \* MERGEFORMAT </w:instrText>
      </w:r>
      <w:r w:rsidR="009E2929" w:rsidRPr="009E2929">
        <w:rPr>
          <w:bCs/>
          <w:sz w:val="24"/>
          <w:szCs w:val="24"/>
          <w:lang w:val="en-US"/>
        </w:rPr>
        <w:fldChar w:fldCharType="separate"/>
      </w:r>
      <w:r w:rsidR="009E2929" w:rsidRPr="009E2929">
        <w:rPr>
          <w:bCs/>
          <w:sz w:val="24"/>
          <w:szCs w:val="24"/>
          <w:lang w:val="en-US"/>
        </w:rPr>
        <w:t>100</w:t>
      </w:r>
      <w:r w:rsidR="009E2929" w:rsidRPr="009E2929">
        <w:rPr>
          <w:bCs/>
          <w:sz w:val="24"/>
          <w:szCs w:val="24"/>
          <w:lang w:val="en-US"/>
        </w:rPr>
        <w:fldChar w:fldCharType="end"/>
      </w:r>
    </w:p>
    <w:p w14:paraId="7A7433C2" w14:textId="58D7E68A" w:rsidR="009E2929" w:rsidRDefault="009E2929" w:rsidP="00FD64D4">
      <w:pPr>
        <w:pStyle w:val="EX"/>
        <w:numPr>
          <w:ilvl w:val="0"/>
          <w:numId w:val="0"/>
        </w:numPr>
        <w:rPr>
          <w:bCs/>
          <w:sz w:val="24"/>
          <w:szCs w:val="24"/>
          <w:lang w:val="en-US"/>
        </w:rPr>
      </w:pPr>
      <w:r>
        <w:rPr>
          <w:sz w:val="24"/>
          <w:szCs w:val="24"/>
          <w:lang w:val="en-US"/>
        </w:rPr>
        <w:t xml:space="preserve">[10] R5-234178, </w:t>
      </w:r>
      <w:r w:rsidRPr="009E2929">
        <w:rPr>
          <w:sz w:val="24"/>
          <w:szCs w:val="24"/>
          <w:lang w:val="en-US"/>
        </w:rPr>
        <w:t>Discussion on FR1 EVM testing including symbols with transient period</w:t>
      </w:r>
      <w:r>
        <w:rPr>
          <w:sz w:val="24"/>
          <w:szCs w:val="24"/>
          <w:lang w:val="en-US"/>
        </w:rPr>
        <w:t xml:space="preserve">, Keysight, </w:t>
      </w:r>
      <w:r w:rsidRPr="009E2929">
        <w:rPr>
          <w:bCs/>
          <w:sz w:val="24"/>
          <w:szCs w:val="24"/>
          <w:lang w:val="en-US"/>
        </w:rPr>
        <w:t>3GPP TSG-</w:t>
      </w:r>
      <w:r w:rsidRPr="009E2929">
        <w:rPr>
          <w:bCs/>
          <w:sz w:val="24"/>
          <w:szCs w:val="24"/>
          <w:lang w:val="en-US"/>
        </w:rPr>
        <w:fldChar w:fldCharType="begin"/>
      </w:r>
      <w:r w:rsidRPr="009E2929">
        <w:rPr>
          <w:bCs/>
          <w:sz w:val="24"/>
          <w:szCs w:val="24"/>
          <w:lang w:val="en-US"/>
        </w:rPr>
        <w:instrText xml:space="preserve"> DOCPROPERTY  TSG/WGRef  \* MERGEFORMAT </w:instrText>
      </w:r>
      <w:r w:rsidRPr="009E2929">
        <w:rPr>
          <w:bCs/>
          <w:sz w:val="24"/>
          <w:szCs w:val="24"/>
          <w:lang w:val="en-US"/>
        </w:rPr>
        <w:fldChar w:fldCharType="separate"/>
      </w:r>
      <w:r w:rsidRPr="009E2929">
        <w:rPr>
          <w:bCs/>
          <w:sz w:val="24"/>
          <w:szCs w:val="24"/>
          <w:lang w:val="en-US"/>
        </w:rPr>
        <w:t>RAN5</w:t>
      </w:r>
      <w:r w:rsidRPr="009E2929">
        <w:rPr>
          <w:bCs/>
          <w:sz w:val="24"/>
          <w:szCs w:val="24"/>
          <w:lang w:val="en-US"/>
        </w:rPr>
        <w:fldChar w:fldCharType="end"/>
      </w:r>
      <w:r w:rsidRPr="009E2929">
        <w:rPr>
          <w:bCs/>
          <w:sz w:val="24"/>
          <w:szCs w:val="24"/>
          <w:lang w:val="en-US"/>
        </w:rPr>
        <w:t xml:space="preserve"> Meeting #</w:t>
      </w:r>
      <w:r w:rsidRPr="009E2929">
        <w:rPr>
          <w:bCs/>
          <w:sz w:val="24"/>
          <w:szCs w:val="24"/>
          <w:lang w:val="en-US"/>
        </w:rPr>
        <w:fldChar w:fldCharType="begin"/>
      </w:r>
      <w:r w:rsidRPr="009E2929">
        <w:rPr>
          <w:bCs/>
          <w:sz w:val="24"/>
          <w:szCs w:val="24"/>
          <w:lang w:val="en-US"/>
        </w:rPr>
        <w:instrText xml:space="preserve"> DOCPROPERTY  MtgSeq  \* MERGEFORMAT </w:instrText>
      </w:r>
      <w:r w:rsidRPr="009E2929">
        <w:rPr>
          <w:bCs/>
          <w:sz w:val="24"/>
          <w:szCs w:val="24"/>
          <w:lang w:val="en-US"/>
        </w:rPr>
        <w:fldChar w:fldCharType="separate"/>
      </w:r>
      <w:r w:rsidRPr="009E2929">
        <w:rPr>
          <w:bCs/>
          <w:sz w:val="24"/>
          <w:szCs w:val="24"/>
          <w:lang w:val="en-US"/>
        </w:rPr>
        <w:t>100</w:t>
      </w:r>
      <w:r w:rsidRPr="009E2929">
        <w:rPr>
          <w:bCs/>
          <w:sz w:val="24"/>
          <w:szCs w:val="24"/>
          <w:lang w:val="en-US"/>
        </w:rPr>
        <w:fldChar w:fldCharType="end"/>
      </w:r>
    </w:p>
    <w:p w14:paraId="6E155355" w14:textId="102D1F31" w:rsidR="00FD64D4" w:rsidRDefault="00FD64D4" w:rsidP="00FD64D4">
      <w:pPr>
        <w:pStyle w:val="EX"/>
        <w:numPr>
          <w:ilvl w:val="0"/>
          <w:numId w:val="0"/>
        </w:numPr>
        <w:rPr>
          <w:sz w:val="24"/>
          <w:szCs w:val="24"/>
          <w:lang w:val="en-US"/>
        </w:rPr>
      </w:pPr>
      <w:r>
        <w:rPr>
          <w:bCs/>
          <w:sz w:val="24"/>
          <w:szCs w:val="24"/>
          <w:lang w:val="en-US"/>
        </w:rPr>
        <w:t xml:space="preserve">[11] </w:t>
      </w:r>
      <w:r w:rsidRPr="00FD64D4">
        <w:rPr>
          <w:sz w:val="24"/>
          <w:szCs w:val="24"/>
          <w:lang w:val="en-US"/>
        </w:rPr>
        <w:t xml:space="preserve">R5-241356, On the MU for FR1 EVM including symbols with transient period, RAN5#102, </w:t>
      </w:r>
      <w:r w:rsidR="00A64F30">
        <w:rPr>
          <w:sz w:val="24"/>
          <w:szCs w:val="24"/>
          <w:lang w:val="en-US"/>
        </w:rPr>
        <w:t xml:space="preserve">R&amp;S, </w:t>
      </w:r>
      <w:r w:rsidRPr="00FD64D4">
        <w:rPr>
          <w:sz w:val="24"/>
          <w:szCs w:val="24"/>
          <w:lang w:val="en-US"/>
        </w:rPr>
        <w:t>Athens, Greece, 26th February – 1st March 2024</w:t>
      </w:r>
    </w:p>
    <w:p w14:paraId="432AD2A0" w14:textId="4CE44008" w:rsidR="00FD64D4" w:rsidRPr="00FD64D4" w:rsidRDefault="00FD64D4" w:rsidP="00FD64D4">
      <w:pPr>
        <w:pStyle w:val="EX"/>
        <w:numPr>
          <w:ilvl w:val="0"/>
          <w:numId w:val="0"/>
        </w:numPr>
        <w:rPr>
          <w:bCs/>
          <w:sz w:val="24"/>
          <w:szCs w:val="24"/>
          <w:lang w:val="en-US"/>
        </w:rPr>
      </w:pPr>
      <w:r>
        <w:rPr>
          <w:sz w:val="24"/>
          <w:szCs w:val="24"/>
          <w:lang w:val="en-US"/>
        </w:rPr>
        <w:t xml:space="preserve">[12] </w:t>
      </w:r>
      <w:r w:rsidRPr="00FD64D4">
        <w:rPr>
          <w:sz w:val="24"/>
          <w:szCs w:val="24"/>
          <w:lang w:val="en-US"/>
        </w:rPr>
        <w:t xml:space="preserve">R5-241088, MU discussion on FR1 EVM including symbols with transient period, </w:t>
      </w:r>
      <w:r w:rsidR="00A64F30">
        <w:rPr>
          <w:sz w:val="24"/>
          <w:szCs w:val="24"/>
          <w:lang w:val="en-US"/>
        </w:rPr>
        <w:t xml:space="preserve">Anritsu, </w:t>
      </w:r>
      <w:r w:rsidRPr="00FD64D4">
        <w:rPr>
          <w:sz w:val="24"/>
          <w:szCs w:val="24"/>
          <w:lang w:val="en-US"/>
        </w:rPr>
        <w:t>RAN5#102, Athens, Greece, 26th February – 1st March 2024</w:t>
      </w:r>
    </w:p>
    <w:p w14:paraId="269212ED" w14:textId="77777777" w:rsidR="00762716" w:rsidRPr="006E0371" w:rsidRDefault="00762716" w:rsidP="006E0371">
      <w:pPr>
        <w:overflowPunct w:val="0"/>
        <w:autoSpaceDE w:val="0"/>
        <w:autoSpaceDN w:val="0"/>
        <w:adjustRightInd w:val="0"/>
        <w:spacing w:after="180"/>
        <w:contextualSpacing/>
        <w:textAlignment w:val="baseline"/>
        <w:rPr>
          <w:bCs/>
        </w:rPr>
      </w:pPr>
    </w:p>
    <w:sectPr w:rsidR="00762716" w:rsidRPr="006E0371" w:rsidSect="00A037EB">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C049" w14:textId="77777777" w:rsidR="00A037EB" w:rsidRDefault="00A037EB">
      <w:r>
        <w:separator/>
      </w:r>
    </w:p>
  </w:endnote>
  <w:endnote w:type="continuationSeparator" w:id="0">
    <w:p w14:paraId="52B8B5DA" w14:textId="77777777" w:rsidR="00A037EB" w:rsidRDefault="00A0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C508" w14:textId="77777777" w:rsidR="00A037EB" w:rsidRDefault="00A037EB">
      <w:r>
        <w:separator/>
      </w:r>
    </w:p>
  </w:footnote>
  <w:footnote w:type="continuationSeparator" w:id="0">
    <w:p w14:paraId="4026B115" w14:textId="77777777" w:rsidR="00A037EB" w:rsidRDefault="00A03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C77AD"/>
    <w:multiLevelType w:val="hybridMultilevel"/>
    <w:tmpl w:val="F640846A"/>
    <w:lvl w:ilvl="0" w:tplc="5A12EDC0">
      <w:start w:val="1"/>
      <w:numFmt w:val="bullet"/>
      <w:lvlText w:val=""/>
      <w:lvlJc w:val="left"/>
      <w:pPr>
        <w:ind w:left="928" w:hanging="360"/>
      </w:pPr>
      <w:rPr>
        <w:rFonts w:ascii="Wingdings" w:hAnsi="Wingdings" w:hint="default"/>
      </w:rPr>
    </w:lvl>
    <w:lvl w:ilvl="1" w:tplc="0409000F">
      <w:start w:val="1"/>
      <w:numFmt w:val="decimal"/>
      <w:lvlText w:val="%2."/>
      <w:lvlJc w:val="left"/>
      <w:pPr>
        <w:ind w:left="1648" w:hanging="360"/>
      </w:pPr>
      <w:rPr>
        <w:rFont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5"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AFB427A"/>
    <w:multiLevelType w:val="hybridMultilevel"/>
    <w:tmpl w:val="E4402DD4"/>
    <w:lvl w:ilvl="0" w:tplc="F3767D9A">
      <w:start w:val="2"/>
      <w:numFmt w:val="bullet"/>
      <w:lvlText w:val="-"/>
      <w:lvlJc w:val="left"/>
      <w:pPr>
        <w:ind w:left="720" w:hanging="360"/>
      </w:pPr>
      <w:rPr>
        <w:rFonts w:ascii="Times New Roman" w:eastAsia="Times New Roman"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77311A"/>
    <w:multiLevelType w:val="hybridMultilevel"/>
    <w:tmpl w:val="B9E2B7F2"/>
    <w:lvl w:ilvl="0" w:tplc="5A12EDC0">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BF42B0"/>
    <w:multiLevelType w:val="hybridMultilevel"/>
    <w:tmpl w:val="F5F2F52C"/>
    <w:lvl w:ilvl="0" w:tplc="3440C9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637129E"/>
    <w:multiLevelType w:val="hybridMultilevel"/>
    <w:tmpl w:val="E724F0CC"/>
    <w:lvl w:ilvl="0" w:tplc="3A88E6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9375D9"/>
    <w:multiLevelType w:val="hybridMultilevel"/>
    <w:tmpl w:val="4D94792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43"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4"/>
  </w:num>
  <w:num w:numId="4" w16cid:durableId="1937906445">
    <w:abstractNumId w:val="37"/>
  </w:num>
  <w:num w:numId="5" w16cid:durableId="875122408">
    <w:abstractNumId w:val="5"/>
  </w:num>
  <w:num w:numId="6" w16cid:durableId="1872453778">
    <w:abstractNumId w:val="5"/>
  </w:num>
  <w:num w:numId="7" w16cid:durableId="1071662054">
    <w:abstractNumId w:val="21"/>
  </w:num>
  <w:num w:numId="8" w16cid:durableId="145049675">
    <w:abstractNumId w:val="9"/>
  </w:num>
  <w:num w:numId="9" w16cid:durableId="740836399">
    <w:abstractNumId w:val="33"/>
  </w:num>
  <w:num w:numId="10" w16cid:durableId="401952006">
    <w:abstractNumId w:val="20"/>
  </w:num>
  <w:num w:numId="11" w16cid:durableId="1611163366">
    <w:abstractNumId w:val="28"/>
  </w:num>
  <w:num w:numId="12" w16cid:durableId="1028337022">
    <w:abstractNumId w:val="30"/>
  </w:num>
  <w:num w:numId="13" w16cid:durableId="912664678">
    <w:abstractNumId w:val="34"/>
  </w:num>
  <w:num w:numId="14" w16cid:durableId="1469199730">
    <w:abstractNumId w:val="16"/>
  </w:num>
  <w:num w:numId="15" w16cid:durableId="802651799">
    <w:abstractNumId w:val="13"/>
  </w:num>
  <w:num w:numId="16" w16cid:durableId="906573600">
    <w:abstractNumId w:val="39"/>
  </w:num>
  <w:num w:numId="17" w16cid:durableId="1085766418">
    <w:abstractNumId w:val="19"/>
  </w:num>
  <w:num w:numId="18" w16cid:durableId="449666617">
    <w:abstractNumId w:val="25"/>
  </w:num>
  <w:num w:numId="19" w16cid:durableId="451748405">
    <w:abstractNumId w:val="36"/>
  </w:num>
  <w:num w:numId="20" w16cid:durableId="1863007903">
    <w:abstractNumId w:val="18"/>
  </w:num>
  <w:num w:numId="21" w16cid:durableId="898593065">
    <w:abstractNumId w:val="15"/>
  </w:num>
  <w:num w:numId="22" w16cid:durableId="1737320630">
    <w:abstractNumId w:val="14"/>
  </w:num>
  <w:num w:numId="23" w16cid:durableId="1622806666">
    <w:abstractNumId w:val="0"/>
  </w:num>
  <w:num w:numId="24" w16cid:durableId="853232396">
    <w:abstractNumId w:val="6"/>
  </w:num>
  <w:num w:numId="25" w16cid:durableId="1377849922">
    <w:abstractNumId w:val="42"/>
  </w:num>
  <w:num w:numId="26" w16cid:durableId="2059938780">
    <w:abstractNumId w:val="22"/>
  </w:num>
  <w:num w:numId="27" w16cid:durableId="1075667446">
    <w:abstractNumId w:val="24"/>
  </w:num>
  <w:num w:numId="28" w16cid:durableId="1671904141">
    <w:abstractNumId w:val="31"/>
  </w:num>
  <w:num w:numId="29" w16cid:durableId="1307975204">
    <w:abstractNumId w:val="2"/>
  </w:num>
  <w:num w:numId="30" w16cid:durableId="115106009">
    <w:abstractNumId w:val="7"/>
  </w:num>
  <w:num w:numId="31" w16cid:durableId="1952740669">
    <w:abstractNumId w:val="40"/>
  </w:num>
  <w:num w:numId="32" w16cid:durableId="908001970">
    <w:abstractNumId w:val="27"/>
  </w:num>
  <w:num w:numId="33" w16cid:durableId="369693943">
    <w:abstractNumId w:val="41"/>
  </w:num>
  <w:num w:numId="34" w16cid:durableId="1378748309">
    <w:abstractNumId w:val="5"/>
  </w:num>
  <w:num w:numId="35" w16cid:durableId="279070613">
    <w:abstractNumId w:val="23"/>
  </w:num>
  <w:num w:numId="36" w16cid:durableId="510878883">
    <w:abstractNumId w:val="11"/>
  </w:num>
  <w:num w:numId="37" w16cid:durableId="1761175372">
    <w:abstractNumId w:val="38"/>
  </w:num>
  <w:num w:numId="38" w16cid:durableId="359548235">
    <w:abstractNumId w:val="10"/>
  </w:num>
  <w:num w:numId="39" w16cid:durableId="866020769">
    <w:abstractNumId w:val="29"/>
  </w:num>
  <w:num w:numId="40" w16cid:durableId="1734547090">
    <w:abstractNumId w:val="32"/>
  </w:num>
  <w:num w:numId="41" w16cid:durableId="1825392828">
    <w:abstractNumId w:val="8"/>
  </w:num>
  <w:num w:numId="42" w16cid:durableId="777532281">
    <w:abstractNumId w:val="26"/>
  </w:num>
  <w:num w:numId="43" w16cid:durableId="131023523">
    <w:abstractNumId w:val="12"/>
  </w:num>
  <w:num w:numId="44" w16cid:durableId="1894274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3982956">
    <w:abstractNumId w:val="3"/>
  </w:num>
  <w:num w:numId="46" w16cid:durableId="1213038254">
    <w:abstractNumId w:val="35"/>
  </w:num>
  <w:num w:numId="47" w16cid:durableId="658272076">
    <w:abstractNumId w:val="17"/>
  </w:num>
  <w:num w:numId="48" w16cid:durableId="1334338923">
    <w:abstractNumId w:val="5"/>
  </w:num>
  <w:num w:numId="49" w16cid:durableId="50131488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42A42"/>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29AF"/>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A28"/>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0737"/>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6E87"/>
    <w:rsid w:val="00457F7D"/>
    <w:rsid w:val="00460485"/>
    <w:rsid w:val="00461E1F"/>
    <w:rsid w:val="00475989"/>
    <w:rsid w:val="004826A9"/>
    <w:rsid w:val="00483EAA"/>
    <w:rsid w:val="004862E4"/>
    <w:rsid w:val="00495F72"/>
    <w:rsid w:val="004967DE"/>
    <w:rsid w:val="00497247"/>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0371"/>
    <w:rsid w:val="006E20B1"/>
    <w:rsid w:val="006E5C86"/>
    <w:rsid w:val="006E69CA"/>
    <w:rsid w:val="006F31E0"/>
    <w:rsid w:val="007112F8"/>
    <w:rsid w:val="00712A6D"/>
    <w:rsid w:val="007138C7"/>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2716"/>
    <w:rsid w:val="00765F7C"/>
    <w:rsid w:val="00774DA4"/>
    <w:rsid w:val="00781F0F"/>
    <w:rsid w:val="00782C02"/>
    <w:rsid w:val="007835BC"/>
    <w:rsid w:val="0079098C"/>
    <w:rsid w:val="00793992"/>
    <w:rsid w:val="00794ED6"/>
    <w:rsid w:val="0079699F"/>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375D4"/>
    <w:rsid w:val="00847A61"/>
    <w:rsid w:val="008731F8"/>
    <w:rsid w:val="008768CA"/>
    <w:rsid w:val="00876A44"/>
    <w:rsid w:val="00886330"/>
    <w:rsid w:val="008942B3"/>
    <w:rsid w:val="00896D88"/>
    <w:rsid w:val="008A3891"/>
    <w:rsid w:val="008B24CD"/>
    <w:rsid w:val="008B4E0E"/>
    <w:rsid w:val="008C384C"/>
    <w:rsid w:val="008C3E42"/>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50070"/>
    <w:rsid w:val="00974E22"/>
    <w:rsid w:val="00975EE4"/>
    <w:rsid w:val="00985AC6"/>
    <w:rsid w:val="00997A64"/>
    <w:rsid w:val="009A2935"/>
    <w:rsid w:val="009A4A3B"/>
    <w:rsid w:val="009C04B4"/>
    <w:rsid w:val="009E2929"/>
    <w:rsid w:val="009E3807"/>
    <w:rsid w:val="009E515E"/>
    <w:rsid w:val="009E5CF7"/>
    <w:rsid w:val="009F19EF"/>
    <w:rsid w:val="009F37B7"/>
    <w:rsid w:val="009F5E43"/>
    <w:rsid w:val="009F6471"/>
    <w:rsid w:val="00A037EB"/>
    <w:rsid w:val="00A10F02"/>
    <w:rsid w:val="00A12A70"/>
    <w:rsid w:val="00A164B4"/>
    <w:rsid w:val="00A2404B"/>
    <w:rsid w:val="00A26956"/>
    <w:rsid w:val="00A400E1"/>
    <w:rsid w:val="00A40B6C"/>
    <w:rsid w:val="00A430C0"/>
    <w:rsid w:val="00A43620"/>
    <w:rsid w:val="00A53724"/>
    <w:rsid w:val="00A64EC2"/>
    <w:rsid w:val="00A64F30"/>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0862"/>
    <w:rsid w:val="00C318F0"/>
    <w:rsid w:val="00C31D48"/>
    <w:rsid w:val="00C33079"/>
    <w:rsid w:val="00C3446A"/>
    <w:rsid w:val="00C42462"/>
    <w:rsid w:val="00C45231"/>
    <w:rsid w:val="00C454BE"/>
    <w:rsid w:val="00C65694"/>
    <w:rsid w:val="00C70BC5"/>
    <w:rsid w:val="00C72833"/>
    <w:rsid w:val="00C75A22"/>
    <w:rsid w:val="00C80F1D"/>
    <w:rsid w:val="00C85A1A"/>
    <w:rsid w:val="00C86625"/>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61D7"/>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777C7"/>
    <w:rsid w:val="00EA7D48"/>
    <w:rsid w:val="00EB704C"/>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4D7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64D4"/>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列出段落,- Bullets,リスト段落,?? ??,?????,????,Lista1,列出段落1,中等深浅网格 1 - 着色 21,¥¡¡¡¡ì¬º¥¹¥È¶ÎÂä,ÁÐ³ö¶ÎÂä,列表段落1,—ño’i—Ž,¥ê¥¹¥È¶ÎÂä,1st level - Bullet List Paragraph,Lettre d'introduction,Paragrafo elenco,Normal bullet 2,Bullet list,列表段落,R4_bullets"/>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 w:type="character" w:customStyle="1" w:styleId="HeaderChar">
    <w:name w:val="Header Char"/>
    <w:basedOn w:val="DefaultParagraphFont"/>
    <w:link w:val="Header"/>
    <w:rsid w:val="00762716"/>
    <w:rPr>
      <w:rFonts w:ascii="Arial" w:hAnsi="Arial"/>
      <w:b/>
      <w:noProof/>
      <w:sz w:val="18"/>
      <w:lang w:val="en-GB" w:eastAsia="ja-JP"/>
    </w:rPr>
  </w:style>
  <w:style w:type="character" w:customStyle="1" w:styleId="ListParagraphChar">
    <w:name w:val="List Paragraph Char"/>
    <w:aliases w:val="列出段落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42A4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790</TotalTime>
  <Pages>4</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6</cp:revision>
  <cp:lastPrinted>2019-02-25T23:05:00Z</cp:lastPrinted>
  <dcterms:created xsi:type="dcterms:W3CDTF">2024-02-16T07:18:00Z</dcterms:created>
  <dcterms:modified xsi:type="dcterms:W3CDTF">2024-02-23T09:26:00Z</dcterms:modified>
  <cp:category/>
</cp:coreProperties>
</file>