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5DEC66E4"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413ECC">
        <w:rPr>
          <w:b/>
          <w:noProof/>
          <w:sz w:val="24"/>
        </w:rPr>
        <w:t>100</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413ECC">
        <w:rPr>
          <w:b/>
          <w:noProof/>
          <w:sz w:val="24"/>
        </w:rPr>
        <w:t>5188</w:t>
      </w:r>
    </w:p>
    <w:p w14:paraId="04143185" w14:textId="4B9EFC59" w:rsidR="001512D7" w:rsidRDefault="0051797F" w:rsidP="00DC5180">
      <w:pPr>
        <w:spacing w:after="60"/>
        <w:ind w:left="1985" w:hanging="1985"/>
        <w:rPr>
          <w:rFonts w:ascii="Arial" w:hAnsi="Arial" w:cs="Arial"/>
          <w:b/>
          <w:sz w:val="24"/>
        </w:rPr>
      </w:pPr>
      <w:r w:rsidRPr="0051797F">
        <w:rPr>
          <w:rFonts w:ascii="Arial" w:hAnsi="Arial" w:cs="Arial"/>
          <w:b/>
          <w:sz w:val="24"/>
        </w:rPr>
        <w:t>Toulouse, France, 21st August 2023-25th August 2023</w:t>
      </w:r>
    </w:p>
    <w:p w14:paraId="3E900284" w14:textId="77777777" w:rsidR="0051797F" w:rsidRPr="0010618D" w:rsidRDefault="0051797F" w:rsidP="00DC5180">
      <w:pPr>
        <w:spacing w:after="60"/>
        <w:ind w:left="1985" w:hanging="1985"/>
        <w:rPr>
          <w:rFonts w:ascii="Arial" w:hAnsi="Arial" w:cs="Arial"/>
          <w:bCs/>
        </w:rPr>
      </w:pPr>
    </w:p>
    <w:p w14:paraId="15BC7B88" w14:textId="24A57841"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EF54C5" w:rsidRPr="01488F56">
        <w:rPr>
          <w:rFonts w:ascii="Arial" w:eastAsia="Times New Roman" w:hAnsi="Arial" w:cs="Arial"/>
          <w:b/>
          <w:bCs/>
        </w:rPr>
        <w:t>Delay</w:t>
      </w:r>
      <w:r w:rsidR="07BFFB8A" w:rsidRPr="01488F56">
        <w:rPr>
          <w:rFonts w:ascii="Arial" w:eastAsia="Times New Roman" w:hAnsi="Arial" w:cs="Arial"/>
          <w:b/>
          <w:bCs/>
        </w:rPr>
        <w:t>s</w:t>
      </w:r>
      <w:r w:rsidR="00EF54C5" w:rsidRPr="01488F56">
        <w:rPr>
          <w:rFonts w:ascii="Arial" w:eastAsia="Times New Roman" w:hAnsi="Arial" w:cs="Arial"/>
          <w:b/>
          <w:bCs/>
        </w:rPr>
        <w:t xml:space="preserve"> in </w:t>
      </w:r>
      <w:r w:rsidR="00B61143">
        <w:rPr>
          <w:rFonts w:ascii="Arial" w:eastAsia="Times New Roman" w:hAnsi="Arial" w:cs="Arial"/>
          <w:b/>
          <w:bCs/>
        </w:rPr>
        <w:t xml:space="preserve">NR </w:t>
      </w:r>
      <w:r w:rsidR="00EF54C5" w:rsidRPr="01488F56">
        <w:rPr>
          <w:rFonts w:ascii="Arial" w:eastAsia="Times New Roman" w:hAnsi="Arial" w:cs="Arial"/>
          <w:b/>
          <w:bCs/>
        </w:rPr>
        <w:t>NTN communications</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7DB1CAB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Pr>
          <w:rFonts w:ascii="Arial" w:hAnsi="Arial" w:cs="Arial"/>
          <w:b/>
        </w:rPr>
        <w:t>5.3.</w:t>
      </w:r>
      <w:r w:rsidR="0051797F">
        <w:rPr>
          <w:rFonts w:ascii="Arial" w:hAnsi="Arial" w:cs="Arial"/>
          <w:b/>
        </w:rPr>
        <w:t>18</w:t>
      </w:r>
      <w:r w:rsidR="00A72929">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2368CF0E" w14:textId="760D5F56" w:rsidR="0066373C" w:rsidRDefault="0066373C" w:rsidP="00B176C7">
      <w:r>
        <w:t xml:space="preserve">3GPP has been discussing the </w:t>
      </w:r>
      <w:r w:rsidR="008819F7">
        <w:t>delays</w:t>
      </w:r>
      <w:r>
        <w:t xml:space="preserve"> present in Non-Terrestrial Networks Communications and the responsibilities of compensating such effect </w:t>
      </w:r>
      <w:r w:rsidR="00995661">
        <w:t xml:space="preserve">to enable </w:t>
      </w:r>
      <w:r>
        <w:t>the communication ([1]).</w:t>
      </w:r>
    </w:p>
    <w:p w14:paraId="1B630BC8" w14:textId="32D96D34" w:rsidR="0066373C" w:rsidRDefault="0066373C" w:rsidP="00B176C7">
      <w:r w:rsidRPr="002828BE">
        <w:t>This document analyses the outcome of such discussions and propose</w:t>
      </w:r>
      <w:r w:rsidR="00E216EA">
        <w:t>s</w:t>
      </w:r>
      <w:r w:rsidRPr="002828BE">
        <w:t xml:space="preserve"> a way forward to progress on test specifications implications related to this topic.</w:t>
      </w:r>
    </w:p>
    <w:p w14:paraId="273AE067" w14:textId="4AA8B596" w:rsidR="0051797F" w:rsidRPr="0066373C" w:rsidRDefault="0051797F" w:rsidP="00B176C7">
      <w:r>
        <w:t>This document is a re-submission from R5-</w:t>
      </w:r>
      <w:r w:rsidR="00243E46">
        <w:t>233227</w:t>
      </w:r>
      <w:r w:rsidR="00FC4BEA">
        <w:t xml:space="preserve"> ([13])</w:t>
      </w:r>
      <w:r w:rsidR="00243E46">
        <w:t>.</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123749C2" w14:textId="7E6EE2DF" w:rsidR="00607361" w:rsidRDefault="003D69ED" w:rsidP="00344758">
      <w:pPr>
        <w:pStyle w:val="Heading2"/>
      </w:pPr>
      <w:r w:rsidRPr="00344758">
        <w:t xml:space="preserve">2.1 </w:t>
      </w:r>
      <w:r w:rsidR="00183BEE">
        <w:t xml:space="preserve">Dynamic delay </w:t>
      </w:r>
      <w:r w:rsidR="00F719DF">
        <w:t>in service and feeder links</w:t>
      </w:r>
    </w:p>
    <w:p w14:paraId="2F2A57D4" w14:textId="77777777" w:rsidR="004700BF" w:rsidRDefault="00E6406C" w:rsidP="00E6406C">
      <w:pPr>
        <w:rPr>
          <w:vertAlign w:val="subscript"/>
        </w:rPr>
      </w:pPr>
      <w:r>
        <w:t>According to 3GPP TS 38.300 section 16.14.2.</w:t>
      </w:r>
      <w:r w:rsidR="00BC74FA">
        <w:t>1</w:t>
      </w:r>
      <w:r>
        <w:t xml:space="preserve"> ([</w:t>
      </w:r>
      <w:r w:rsidR="004E75E2">
        <w:t>1</w:t>
      </w:r>
      <w:r>
        <w:t xml:space="preserve">]), in Non-Terrestrial Networks communications there will be </w:t>
      </w:r>
      <w:r w:rsidR="00624E0B">
        <w:t>delays</w:t>
      </w:r>
      <w:r>
        <w:t xml:space="preserve"> </w:t>
      </w:r>
      <w:r w:rsidR="004E75E2">
        <w:t>associated</w:t>
      </w:r>
      <w:r>
        <w:t xml:space="preserve"> either </w:t>
      </w:r>
      <w:r w:rsidR="004E75E2">
        <w:t xml:space="preserve">to </w:t>
      </w:r>
      <w:r>
        <w:t xml:space="preserve">the service link </w:t>
      </w:r>
      <w:r w:rsidR="004E75E2">
        <w:t>as well as to</w:t>
      </w:r>
      <w:r>
        <w:t xml:space="preserve"> the feeder link</w:t>
      </w:r>
      <w:r w:rsidR="004E75E2">
        <w:t xml:space="preserve"> (refer to Figure 1)</w:t>
      </w:r>
      <w:r>
        <w:t xml:space="preserve">. </w:t>
      </w:r>
      <w:r w:rsidR="001452E1">
        <w:t>DL and UL are frame aligned at the uplink time synchronization reference point (RP) with an offset given by N</w:t>
      </w:r>
      <w:r w:rsidR="001452E1">
        <w:rPr>
          <w:vertAlign w:val="subscript"/>
        </w:rPr>
        <w:t xml:space="preserve">TA,offset </w:t>
      </w:r>
      <w:r w:rsidR="004700BF">
        <w:rPr>
          <w:vertAlign w:val="subscript"/>
        </w:rPr>
        <w:t>.</w:t>
      </w:r>
    </w:p>
    <w:p w14:paraId="5E3B8B1D" w14:textId="336BC013" w:rsidR="00E6406C" w:rsidRDefault="00984C27" w:rsidP="00E6406C">
      <w:pPr>
        <w:jc w:val="center"/>
      </w:pPr>
      <w:r>
        <w:rPr>
          <w:noProof/>
        </w:rPr>
        <w:drawing>
          <wp:inline distT="0" distB="0" distL="0" distR="0" wp14:anchorId="47B47823" wp14:editId="3780C048">
            <wp:extent cx="2706619" cy="15325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17659" cy="1538841"/>
                    </a:xfrm>
                    <a:prstGeom prst="rect">
                      <a:avLst/>
                    </a:prstGeom>
                  </pic:spPr>
                </pic:pic>
              </a:graphicData>
            </a:graphic>
          </wp:inline>
        </w:drawing>
      </w:r>
    </w:p>
    <w:p w14:paraId="2D54BB44" w14:textId="3485B17B" w:rsidR="00E6406C" w:rsidRDefault="00E6406C" w:rsidP="00E6406C">
      <w:pPr>
        <w:pStyle w:val="TF"/>
        <w:rPr>
          <w:lang w:eastAsia="en-US"/>
        </w:rPr>
      </w:pPr>
      <w:r>
        <w:t xml:space="preserve">Figure 1: </w:t>
      </w:r>
      <w:r w:rsidR="004E75E2" w:rsidRPr="004E75E2">
        <w:t>Illustration of timing relationship</w:t>
      </w:r>
    </w:p>
    <w:p w14:paraId="26A0F07A" w14:textId="3C8D8176" w:rsidR="00E6406C" w:rsidRDefault="00AE459F" w:rsidP="00E6406C">
      <w:r>
        <w:t>To enable the communications, pre-compensation is required by the UE:</w:t>
      </w:r>
    </w:p>
    <w:p w14:paraId="07364AD2" w14:textId="20AA433C" w:rsidR="00E6406C" w:rsidRDefault="00E6406C" w:rsidP="00E6406C">
      <w:pPr>
        <w:jc w:val="center"/>
      </w:pPr>
      <w:r>
        <w:rPr>
          <w:noProof/>
        </w:rPr>
        <mc:AlternateContent>
          <mc:Choice Requires="wps">
            <w:drawing>
              <wp:anchor distT="0" distB="0" distL="114300" distR="114300" simplePos="0" relativeHeight="251658240" behindDoc="0" locked="0" layoutInCell="1" allowOverlap="1" wp14:anchorId="4B012A88" wp14:editId="51139A7C">
                <wp:simplePos x="0" y="0"/>
                <wp:positionH relativeFrom="column">
                  <wp:posOffset>1149602</wp:posOffset>
                </wp:positionH>
                <wp:positionV relativeFrom="paragraph">
                  <wp:posOffset>186690</wp:posOffset>
                </wp:positionV>
                <wp:extent cx="3788410" cy="565816"/>
                <wp:effectExtent l="0" t="0" r="21590" b="24765"/>
                <wp:wrapNone/>
                <wp:docPr id="3" name="Rectangle: Rounded Corners 3"/>
                <wp:cNvGraphicFramePr/>
                <a:graphic xmlns:a="http://schemas.openxmlformats.org/drawingml/2006/main">
                  <a:graphicData uri="http://schemas.microsoft.com/office/word/2010/wordprocessingShape">
                    <wps:wsp>
                      <wps:cNvSpPr/>
                      <wps:spPr>
                        <a:xfrm>
                          <a:off x="0" y="0"/>
                          <a:ext cx="3788410" cy="565816"/>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D9C1E1" id="Rectangle: Rounded Corners 3" o:spid="_x0000_s1026" style="position:absolute;margin-left:90.5pt;margin-top:14.7pt;width:298.3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" fillcolor="#c00000" strokecolor="#c00000" strokeweight="1pt">
                <v:fill opacity="13107f"/>
                <v:stroke joinstyle="miter"/>
              </v:roundrect>
            </w:pict>
          </mc:Fallback>
        </mc:AlternateContent>
      </w:r>
      <w:r>
        <w:rPr>
          <w:noProof/>
        </w:rPr>
        <w:drawing>
          <wp:inline distT="0" distB="0" distL="0" distR="0" wp14:anchorId="24D7FFCA" wp14:editId="3EE20F64">
            <wp:extent cx="3711921" cy="2163103"/>
            <wp:effectExtent l="19050" t="19050" r="22225" b="279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18239" cy="2166784"/>
                    </a:xfrm>
                    <a:prstGeom prst="rect">
                      <a:avLst/>
                    </a:prstGeom>
                    <a:ln>
                      <a:solidFill>
                        <a:schemeClr val="tx1"/>
                      </a:solidFill>
                    </a:ln>
                  </pic:spPr>
                </pic:pic>
              </a:graphicData>
            </a:graphic>
          </wp:inline>
        </w:drawing>
      </w:r>
    </w:p>
    <w:p w14:paraId="5F60F76C" w14:textId="2087C72D" w:rsidR="00C768A2" w:rsidRDefault="006E7CDB" w:rsidP="00C768A2">
      <w:r>
        <w:lastRenderedPageBreak/>
        <w:t xml:space="preserve">The following parameters will play a key role on </w:t>
      </w:r>
      <w:r w:rsidR="004F2CDE">
        <w:t xml:space="preserve">achieving proper </w:t>
      </w:r>
      <w:r>
        <w:t>tim</w:t>
      </w:r>
      <w:r w:rsidR="00BB6A34">
        <w:t xml:space="preserve">ing and </w:t>
      </w:r>
      <w:r>
        <w:t>synchronization</w:t>
      </w:r>
      <w:r w:rsidR="00BB6A34">
        <w:t>:</w:t>
      </w:r>
    </w:p>
    <w:p w14:paraId="2F628352" w14:textId="77777777" w:rsidR="00CD0382" w:rsidRDefault="00C768A2" w:rsidP="00BD25C1">
      <w:pPr>
        <w:pStyle w:val="B1"/>
      </w:pPr>
      <w:r>
        <w:t>-</w:t>
      </w:r>
      <w:r>
        <w:tab/>
      </w:r>
      <m:oMath>
        <m:r>
          <m:rPr>
            <m:sty m:val="p"/>
          </m:rPr>
          <w:rPr>
            <w:rFonts w:ascii="Cambria Math" w:hAnsi="Cambria Math"/>
            <w:u w:val="single"/>
          </w:rPr>
          <m:t>Common TA</m:t>
        </m:r>
      </m:oMath>
      <w:r w:rsidRPr="00C768A2">
        <w:t xml:space="preserve"> is a configured offset that corresponds to the RTT between the Reference Point (RP) and the NTN payload.</w:t>
      </w:r>
      <w:r w:rsidR="00BD25C1">
        <w:t xml:space="preserve"> </w:t>
      </w:r>
    </w:p>
    <w:p w14:paraId="1DC10486" w14:textId="08EE1EED" w:rsidR="00DC311D" w:rsidRDefault="00DC311D" w:rsidP="00CD0382">
      <w:pPr>
        <w:pStyle w:val="B1"/>
        <w:ind w:left="852"/>
      </w:pPr>
      <w:r>
        <w:t xml:space="preserve">According to 3GPP TS 38.211 </w:t>
      </w:r>
      <w:r w:rsidR="00772613">
        <w:t xml:space="preserve">([2]) </w:t>
      </w:r>
      <w:r>
        <w:t xml:space="preserve">section 4.3.1 Uplink frame number </w:t>
      </w:r>
      <w:r w:rsidR="00BD25C1">
        <w:t>i</w:t>
      </w:r>
      <w:r>
        <w:t xml:space="preserve"> for transmission for the UE shall start at T</w:t>
      </w:r>
      <w:r w:rsidRPr="00FD0EE7">
        <w:rPr>
          <w:vertAlign w:val="subscript"/>
        </w:rPr>
        <w:t>TA</w:t>
      </w:r>
      <w:r w:rsidR="007A2105">
        <w:t xml:space="preserve"> before the start of the corresponding down</w:t>
      </w:r>
      <w:r w:rsidR="00FA3A25">
        <w:t>l</w:t>
      </w:r>
      <w:r w:rsidR="007A2105">
        <w:t xml:space="preserve">ink </w:t>
      </w:r>
      <w:r w:rsidR="00FA3A25">
        <w:t>frame at the UE</w:t>
      </w:r>
      <w:r>
        <w:t>:</w:t>
      </w:r>
    </w:p>
    <w:p w14:paraId="1E129A86" w14:textId="10D7478C" w:rsidR="00DC311D" w:rsidRDefault="00DC311D" w:rsidP="00DC311D">
      <w:pPr>
        <w:pStyle w:val="B1"/>
        <w:ind w:left="1724"/>
        <w:rPr>
          <w:lang w:eastAsia="ja-JP"/>
        </w:rPr>
      </w:pPr>
      <w:r>
        <w:rPr>
          <w:noProof/>
        </w:rPr>
        <w:drawing>
          <wp:inline distT="0" distB="0" distL="0" distR="0" wp14:anchorId="2DE0888C" wp14:editId="0A257EE8">
            <wp:extent cx="3722781" cy="20832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2181" cy="2094099"/>
                    </a:xfrm>
                    <a:prstGeom prst="rect">
                      <a:avLst/>
                    </a:prstGeom>
                  </pic:spPr>
                </pic:pic>
              </a:graphicData>
            </a:graphic>
          </wp:inline>
        </w:drawing>
      </w:r>
    </w:p>
    <w:p w14:paraId="3F2DE7A6" w14:textId="76052C77" w:rsidR="00C55977" w:rsidRDefault="00C55977" w:rsidP="00C55977">
      <w:pPr>
        <w:pStyle w:val="B1"/>
        <w:ind w:left="1004"/>
        <w:rPr>
          <w:lang w:eastAsia="ja-JP"/>
        </w:rPr>
      </w:pPr>
      <w:r>
        <w:rPr>
          <w:lang w:eastAsia="ja-JP"/>
        </w:rPr>
        <w:t>Addition</w:t>
      </w:r>
      <w:r w:rsidR="000E3B40">
        <w:rPr>
          <w:lang w:eastAsia="ja-JP"/>
        </w:rPr>
        <w:t>a</w:t>
      </w:r>
      <w:r>
        <w:rPr>
          <w:lang w:eastAsia="ja-JP"/>
        </w:rPr>
        <w:t>lly, according to 3GPP</w:t>
      </w:r>
      <w:r w:rsidR="000E3B40">
        <w:rPr>
          <w:lang w:eastAsia="ja-JP"/>
        </w:rPr>
        <w:t xml:space="preserve"> TS 38.213 </w:t>
      </w:r>
      <w:r w:rsidR="00C60A22">
        <w:rPr>
          <w:lang w:eastAsia="ja-JP"/>
        </w:rPr>
        <w:t xml:space="preserve">([3]) </w:t>
      </w:r>
      <w:r w:rsidR="000E3B40">
        <w:rPr>
          <w:lang w:eastAsia="ja-JP"/>
        </w:rPr>
        <w:t>section 4.2:</w:t>
      </w:r>
    </w:p>
    <w:p w14:paraId="43F9AC97" w14:textId="7CB1E765" w:rsidR="00F96379" w:rsidRPr="00C768A2" w:rsidRDefault="00F96379" w:rsidP="00F96379">
      <w:pPr>
        <w:pStyle w:val="B1"/>
        <w:ind w:left="1004"/>
        <w:jc w:val="center"/>
        <w:rPr>
          <w:lang w:eastAsia="ja-JP"/>
        </w:rPr>
      </w:pPr>
      <w:r>
        <w:rPr>
          <w:noProof/>
        </w:rPr>
        <w:drawing>
          <wp:inline distT="0" distB="0" distL="0" distR="0" wp14:anchorId="5006FCA9" wp14:editId="0786B93D">
            <wp:extent cx="4439078" cy="14747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6470" cy="1480555"/>
                    </a:xfrm>
                    <a:prstGeom prst="rect">
                      <a:avLst/>
                    </a:prstGeom>
                  </pic:spPr>
                </pic:pic>
              </a:graphicData>
            </a:graphic>
          </wp:inline>
        </w:drawing>
      </w:r>
    </w:p>
    <w:p w14:paraId="337051C5" w14:textId="77777777" w:rsidR="00C768A2" w:rsidRPr="00C768A2" w:rsidRDefault="00C768A2" w:rsidP="00C768A2">
      <w:pPr>
        <w:pStyle w:val="B1"/>
      </w:pPr>
      <w:r w:rsidRPr="00C768A2">
        <w:t>-</w:t>
      </w:r>
      <w:r w:rsidRPr="00C768A2">
        <w:tab/>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p>
    <w:p w14:paraId="76FDBE04" w14:textId="77777777" w:rsidR="00C768A2" w:rsidRPr="00C768A2" w:rsidRDefault="00C768A2" w:rsidP="00C768A2">
      <w:pPr>
        <w:pStyle w:val="B1"/>
      </w:pPr>
      <w:r w:rsidRPr="00C768A2">
        <w:t>-</w:t>
      </w:r>
      <w:r w:rsidRPr="00C768A2">
        <w:tab/>
      </w:r>
      <m:oMath>
        <m:sSub>
          <m:sSubPr>
            <m:ctrlPr>
              <w:rPr>
                <w:rFonts w:ascii="Cambria Math" w:eastAsia="Times New Roman" w:hAnsi="Cambria Math"/>
                <w:i/>
                <w:lang w:eastAsia="ja-JP"/>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C768A2">
        <w:t>is a configured offset that need to be larger or equal to the RTT between the RP and the gNB.</w:t>
      </w:r>
    </w:p>
    <w:p w14:paraId="5E3A2685" w14:textId="352E61C0" w:rsidR="006E7CDB" w:rsidRDefault="006E7CDB" w:rsidP="00C768A2">
      <w:r>
        <w:t xml:space="preserve"> </w:t>
      </w:r>
      <w:r w:rsidR="00363890">
        <w:t xml:space="preserve">All these values are </w:t>
      </w:r>
      <w:r w:rsidR="001C455C">
        <w:t>provided by the network in the specific SIB message for NTN</w:t>
      </w:r>
      <w:r w:rsidR="004A6686">
        <w:t xml:space="preserve"> (SIB19)</w:t>
      </w:r>
      <w:r w:rsidR="001C455C">
        <w:t>.</w:t>
      </w:r>
    </w:p>
    <w:p w14:paraId="440A8E42" w14:textId="6F82BCCD" w:rsidR="00A441B1" w:rsidRDefault="00A441B1" w:rsidP="00C768A2">
      <w:r>
        <w:t>Additionally, these parameters are somehow related to the satellite orbit emulation</w:t>
      </w:r>
      <w:r w:rsidR="007C33F7">
        <w:t>, i.e. to the ephemeris</w:t>
      </w:r>
      <w:r w:rsidR="00C33FCB">
        <w:t xml:space="preserve"> of the satellite</w:t>
      </w:r>
      <w:r w:rsidR="00086D01">
        <w:t>.</w:t>
      </w:r>
      <w:r w:rsidR="009B66EA">
        <w:t xml:space="preserve"> In the test cases it is important that TE emulates appropriate delays in both feeder and service links accordi</w:t>
      </w:r>
      <w:r w:rsidR="00620003">
        <w:t>ng to information in NTN SIB message</w:t>
      </w:r>
      <w:r w:rsidR="007D2CE0">
        <w:t xml:space="preserve"> (SIB19)</w:t>
      </w:r>
      <w:r w:rsidR="00620003">
        <w:t>.</w:t>
      </w:r>
    </w:p>
    <w:p w14:paraId="5E9F89F2" w14:textId="680C8BAC" w:rsidR="00AB0EA0" w:rsidRDefault="00AB0EA0" w:rsidP="00AB0EA0">
      <w:pPr>
        <w:rPr>
          <w:b/>
          <w:bCs/>
          <w:i/>
          <w:iCs/>
        </w:rPr>
      </w:pPr>
      <w:bookmarkStart w:id="2" w:name="Prop1"/>
      <w:r>
        <w:rPr>
          <w:b/>
          <w:bCs/>
          <w:i/>
          <w:iCs/>
        </w:rPr>
        <w:t xml:space="preserve">Proposal 1: Test </w:t>
      </w:r>
      <w:r w:rsidR="00B55B00">
        <w:rPr>
          <w:b/>
          <w:bCs/>
          <w:i/>
          <w:iCs/>
        </w:rPr>
        <w:t>equipment</w:t>
      </w:r>
      <w:r>
        <w:rPr>
          <w:b/>
          <w:bCs/>
          <w:i/>
          <w:iCs/>
        </w:rPr>
        <w:t xml:space="preserve"> shall emulate the delay in both feeder and service link</w:t>
      </w:r>
      <w:r w:rsidR="00EC10C0">
        <w:rPr>
          <w:b/>
          <w:bCs/>
          <w:i/>
          <w:iCs/>
        </w:rPr>
        <w:t>s</w:t>
      </w:r>
      <w:r w:rsidR="0032416B">
        <w:rPr>
          <w:b/>
          <w:bCs/>
          <w:i/>
          <w:iCs/>
        </w:rPr>
        <w:t xml:space="preserve"> according to information in</w:t>
      </w:r>
      <w:r w:rsidR="00A10B26">
        <w:rPr>
          <w:b/>
          <w:bCs/>
          <w:i/>
          <w:iCs/>
        </w:rPr>
        <w:t xml:space="preserve"> NTN SIB message</w:t>
      </w:r>
      <w:r>
        <w:rPr>
          <w:b/>
          <w:bCs/>
          <w:i/>
          <w:iCs/>
        </w:rPr>
        <w:t xml:space="preserve">. </w:t>
      </w:r>
    </w:p>
    <w:bookmarkEnd w:id="2"/>
    <w:p w14:paraId="3B52A335" w14:textId="378172E8" w:rsidR="00520CE0" w:rsidRDefault="00520CE0" w:rsidP="00520CE0">
      <w:pPr>
        <w:pStyle w:val="Heading2"/>
      </w:pPr>
      <w:r w:rsidRPr="003D69ED">
        <w:t>2.</w:t>
      </w:r>
      <w:r>
        <w:t>2</w:t>
      </w:r>
      <w:r w:rsidRPr="003D69ED">
        <w:t xml:space="preserve"> </w:t>
      </w:r>
      <w:r>
        <w:t>K</w:t>
      </w:r>
      <w:r w:rsidRPr="001966A1">
        <w:rPr>
          <w:vertAlign w:val="subscript"/>
        </w:rPr>
        <w:t>mac</w:t>
      </w:r>
      <w:r w:rsidR="003C2188">
        <w:t xml:space="preserve"> and Common TA parameters</w:t>
      </w:r>
    </w:p>
    <w:p w14:paraId="67CA58B6" w14:textId="52816125" w:rsidR="00FB2B2B" w:rsidRDefault="00086D01" w:rsidP="004A45A7">
      <w:pPr>
        <w:rPr>
          <w:vertAlign w:val="subscript"/>
        </w:rPr>
      </w:pPr>
      <w:r>
        <w:t>As described in section 2.1</w:t>
      </w:r>
      <w:r w:rsidR="00E24C7C">
        <w:t xml:space="preserve"> </w:t>
      </w:r>
      <w:r w:rsidR="00620003">
        <w:t>in this document</w:t>
      </w:r>
      <w:r>
        <w:t>,</w:t>
      </w:r>
      <w:r w:rsidR="00FB2B2B">
        <w:t xml:space="preserve"> DL and UL are frame aligned at the uplink time synchronization reference point (RP) with an offset given by N</w:t>
      </w:r>
      <w:r w:rsidR="00FB2B2B">
        <w:rPr>
          <w:vertAlign w:val="subscript"/>
        </w:rPr>
        <w:t>TA,offset .</w:t>
      </w:r>
    </w:p>
    <w:p w14:paraId="51763A6A" w14:textId="5F751851" w:rsidR="00F80E22" w:rsidRDefault="00DA4F9A" w:rsidP="004A45A7">
      <w:r>
        <w:t>Hence, th</w:t>
      </w:r>
      <w:r w:rsidR="00FB2B2B" w:rsidRPr="00FB2B2B">
        <w:t xml:space="preserve">ere are </w:t>
      </w:r>
      <w:r w:rsidR="00FB2B2B">
        <w:t>t</w:t>
      </w:r>
      <w:r w:rsidR="00F80E22">
        <w:t>wo options for the definition of the reference point (RP):</w:t>
      </w:r>
    </w:p>
    <w:p w14:paraId="6FF86CDC" w14:textId="4FC21557" w:rsidR="00F80E22" w:rsidRDefault="00F80E22" w:rsidP="004A45A7">
      <w:r>
        <w:tab/>
        <w:t xml:space="preserve">- </w:t>
      </w:r>
      <w:r w:rsidR="007D7DB9">
        <w:t xml:space="preserve">Option 1: </w:t>
      </w:r>
      <w:r w:rsidR="00373071">
        <w:t>DL and UL frame boundaries aligned at gNB (</w:t>
      </w:r>
      <w:r w:rsidR="001966A1">
        <w:t>k</w:t>
      </w:r>
      <w:r w:rsidR="00373071" w:rsidRPr="001966A1">
        <w:rPr>
          <w:vertAlign w:val="subscript"/>
        </w:rPr>
        <w:t>mac</w:t>
      </w:r>
      <w:r w:rsidR="00373071">
        <w:t>=0</w:t>
      </w:r>
      <w:r w:rsidR="00EA7FAD">
        <w:t xml:space="preserve">, </w:t>
      </w:r>
      <w:r w:rsidR="001966A1">
        <w:t>k</w:t>
      </w:r>
      <w:r w:rsidR="00EA7FAD" w:rsidRPr="001966A1">
        <w:rPr>
          <w:vertAlign w:val="subscript"/>
        </w:rPr>
        <w:t>offset</w:t>
      </w:r>
      <w:r w:rsidR="00EA7FAD">
        <w:t>=2x</w:t>
      </w:r>
      <w:r w:rsidR="00762D09">
        <w:t>Delay</w:t>
      </w:r>
      <w:r w:rsidR="00EA7FAD">
        <w:t>)</w:t>
      </w:r>
    </w:p>
    <w:p w14:paraId="00B8782C" w14:textId="1766D349" w:rsidR="00EA7FAD" w:rsidRDefault="00EA7FAD" w:rsidP="004A45A7">
      <w:r>
        <w:tab/>
        <w:t xml:space="preserve">- </w:t>
      </w:r>
      <w:r w:rsidR="007D7DB9">
        <w:t xml:space="preserve">Option 2: </w:t>
      </w:r>
      <w:r>
        <w:t>DL and UL not aligned at gNB</w:t>
      </w:r>
      <w:r w:rsidR="00762D09">
        <w:t xml:space="preserve"> (</w:t>
      </w:r>
      <w:r w:rsidR="001966A1">
        <w:t>k</w:t>
      </w:r>
      <w:r w:rsidR="00762D09" w:rsidRPr="001966A1">
        <w:rPr>
          <w:vertAlign w:val="subscript"/>
        </w:rPr>
        <w:t>mac</w:t>
      </w:r>
      <w:r w:rsidR="00762D09">
        <w:t>≠0, K</w:t>
      </w:r>
      <w:r w:rsidR="00762D09" w:rsidRPr="001966A1">
        <w:rPr>
          <w:vertAlign w:val="subscript"/>
        </w:rPr>
        <w:t>offset</w:t>
      </w:r>
      <w:r w:rsidR="00762D09">
        <w:t>≠2xDelay)</w:t>
      </w:r>
    </w:p>
    <w:p w14:paraId="796FD9E8" w14:textId="77777777" w:rsidR="00987D74" w:rsidRDefault="00DA4F9A" w:rsidP="00DA4F9A">
      <w:r>
        <w:t>Considering that</w:t>
      </w:r>
      <w:r w:rsidR="00987D74">
        <w:t>:</w:t>
      </w:r>
    </w:p>
    <w:p w14:paraId="689C5325" w14:textId="5C5B3C2B" w:rsidR="009E136D" w:rsidRDefault="001966A1" w:rsidP="00EB4EAE">
      <w:pPr>
        <w:pStyle w:val="ListParagraph"/>
        <w:numPr>
          <w:ilvl w:val="0"/>
          <w:numId w:val="45"/>
        </w:numPr>
        <w:ind w:left="720" w:hanging="360"/>
      </w:pPr>
      <w:r>
        <w:lastRenderedPageBreak/>
        <w:t>k</w:t>
      </w:r>
      <w:r w:rsidR="00EC34E7" w:rsidRPr="00CD66AB">
        <w:rPr>
          <w:vertAlign w:val="subscript"/>
        </w:rPr>
        <w:t>mac</w:t>
      </w:r>
      <w:r w:rsidR="001C039B">
        <w:t xml:space="preserve"> </w:t>
      </w:r>
      <w:r w:rsidR="00DA4F9A">
        <w:t xml:space="preserve">needs to be </w:t>
      </w:r>
      <w:r w:rsidR="001C039B">
        <w:t xml:space="preserve">larger </w:t>
      </w:r>
      <w:r w:rsidR="006E63FF">
        <w:t xml:space="preserve">than </w:t>
      </w:r>
      <w:r w:rsidR="001C039B">
        <w:t>or equal to the RTT between the RP and the gNB (</w:t>
      </w:r>
      <w:r w:rsidR="006272F5">
        <w:t xml:space="preserve">as per 3GPP TS </w:t>
      </w:r>
      <w:r w:rsidR="001C039B">
        <w:t>38.300</w:t>
      </w:r>
      <w:r w:rsidR="00A65432">
        <w:t xml:space="preserve"> </w:t>
      </w:r>
      <w:r w:rsidR="006272F5">
        <w:t xml:space="preserve">section </w:t>
      </w:r>
      <w:r w:rsidR="005A7B0C">
        <w:t>16.14.2.1</w:t>
      </w:r>
      <w:r w:rsidR="004223D4">
        <w:t xml:space="preserve"> ([1])</w:t>
      </w:r>
      <w:r w:rsidR="005A7B0C">
        <w:t>)</w:t>
      </w:r>
      <w:r w:rsidR="000A6937">
        <w:t>, having a value larger than RTT between the RP and the gNB w</w:t>
      </w:r>
      <w:r w:rsidR="00313799">
        <w:t>ould</w:t>
      </w:r>
      <w:r w:rsidR="000A6937">
        <w:t xml:space="preserve"> require</w:t>
      </w:r>
      <w:r w:rsidR="003E5A74">
        <w:t xml:space="preserve"> a consensus on how larger </w:t>
      </w:r>
      <w:r>
        <w:t>k</w:t>
      </w:r>
      <w:r w:rsidR="003E5A74" w:rsidRPr="00CD66AB">
        <w:rPr>
          <w:vertAlign w:val="subscript"/>
        </w:rPr>
        <w:t xml:space="preserve">mac </w:t>
      </w:r>
      <w:r w:rsidR="003E5A74">
        <w:t>needs to be compared to the RTT between the RP and the gNB</w:t>
      </w:r>
      <w:r w:rsidR="00313799">
        <w:t>,</w:t>
      </w:r>
      <w:r w:rsidR="00B4402E">
        <w:t xml:space="preserve"> </w:t>
      </w:r>
    </w:p>
    <w:p w14:paraId="10C01B1D" w14:textId="0BD71F50" w:rsidR="00A46BCD" w:rsidRPr="00412440" w:rsidRDefault="009E136D" w:rsidP="00A46BCD">
      <w:pPr>
        <w:pStyle w:val="ListParagraph"/>
        <w:numPr>
          <w:ilvl w:val="0"/>
          <w:numId w:val="45"/>
        </w:numPr>
        <w:ind w:left="720" w:hanging="360"/>
      </w:pPr>
      <w:r>
        <w:t>According to R4-2</w:t>
      </w:r>
      <w:r w:rsidR="00714D7D">
        <w:t>214473</w:t>
      </w:r>
      <w:r w:rsidR="00313799">
        <w:t xml:space="preserve"> ([4])</w:t>
      </w:r>
      <w:r>
        <w:t>, during RRM discussions</w:t>
      </w:r>
      <w:r w:rsidR="009847B1">
        <w:t xml:space="preserve"> for NR NTN, it was indicated that </w:t>
      </w:r>
      <w:r w:rsidR="00A46BCD" w:rsidRPr="004604CF">
        <w:rPr>
          <w:i/>
          <w:iCs/>
        </w:rPr>
        <w:t>“</w:t>
      </w:r>
      <w:r w:rsidR="00007DCD" w:rsidRPr="004604CF">
        <w:rPr>
          <w:i/>
          <w:iCs/>
        </w:rPr>
        <w:t>In order to alleviate the impact of uncertainty on UE uplink transmission timing due to quantized feeder link delay information, the feeder link delay can be set to zero.</w:t>
      </w:r>
      <w:r w:rsidR="00A46BCD" w:rsidRPr="004604CF">
        <w:rPr>
          <w:i/>
          <w:iCs/>
        </w:rPr>
        <w:t>”</w:t>
      </w:r>
      <w:r w:rsidR="00576E8D">
        <w:rPr>
          <w:i/>
          <w:iCs/>
        </w:rPr>
        <w:t xml:space="preserve"> </w:t>
      </w:r>
      <w:r w:rsidR="00412440">
        <w:t>s</w:t>
      </w:r>
      <w:r w:rsidR="00576E8D" w:rsidRPr="00412440">
        <w:t xml:space="preserve">o the agreement in RRM test cases was to use </w:t>
      </w:r>
      <w:r w:rsidR="001966A1">
        <w:t>k</w:t>
      </w:r>
      <w:r w:rsidR="00576E8D" w:rsidRPr="00CD66AB">
        <w:rPr>
          <w:vertAlign w:val="subscript"/>
        </w:rPr>
        <w:t>mac</w:t>
      </w:r>
      <w:r w:rsidR="009E7800">
        <w:t>as not configured</w:t>
      </w:r>
      <w:r w:rsidR="00391B36">
        <w:t xml:space="preserve">, ta-Common=ta-CommonDrift=ta-CommonDriftVariant=0 </w:t>
      </w:r>
      <w:r w:rsidR="00576E8D" w:rsidRPr="00412440">
        <w:t xml:space="preserve">(as per </w:t>
      </w:r>
      <w:r w:rsidR="00412440">
        <w:t>R</w:t>
      </w:r>
      <w:r w:rsidR="00576E8D" w:rsidRPr="00412440">
        <w:t>4-</w:t>
      </w:r>
      <w:r w:rsidR="00412440" w:rsidRPr="00412440">
        <w:t>23</w:t>
      </w:r>
      <w:r w:rsidR="00391B36">
        <w:t>03147</w:t>
      </w:r>
      <w:r w:rsidR="00412440">
        <w:t xml:space="preserve"> ([5])</w:t>
      </w:r>
      <w:r w:rsidR="00412440" w:rsidRPr="00412440">
        <w:t>)</w:t>
      </w:r>
      <w:r w:rsidR="00C219B9">
        <w:t>.</w:t>
      </w:r>
    </w:p>
    <w:p w14:paraId="2506D054" w14:textId="59D7D8C7" w:rsidR="002221AF" w:rsidRDefault="00C219B9" w:rsidP="002221AF">
      <w:r>
        <w:t xml:space="preserve">As the same </w:t>
      </w:r>
      <w:r w:rsidR="00591046">
        <w:t xml:space="preserve">uncertainty impact </w:t>
      </w:r>
      <w:r w:rsidR="003E53FB">
        <w:t>d</w:t>
      </w:r>
      <w:r w:rsidR="00591046">
        <w:t>ue to quantized feeder link delay might impact all test cases, i</w:t>
      </w:r>
      <w:r w:rsidR="00412440">
        <w:t xml:space="preserve">t is proposed to </w:t>
      </w:r>
      <w:r w:rsidR="00A42CBA">
        <w:t>define reference point so DL and UL frame boundaries are aligned at gNB (</w:t>
      </w:r>
      <w:r w:rsidR="005E4D50">
        <w:t>k</w:t>
      </w:r>
      <w:r w:rsidR="00A42CBA" w:rsidRPr="00CD66AB">
        <w:rPr>
          <w:vertAlign w:val="subscript"/>
        </w:rPr>
        <w:t>mac</w:t>
      </w:r>
      <w:r w:rsidR="00A42CBA">
        <w:t>=0 or not configured)</w:t>
      </w:r>
      <w:r w:rsidR="009E02E8">
        <w:t xml:space="preserve"> and </w:t>
      </w:r>
      <w:r w:rsidR="009E02E8" w:rsidRPr="009E02E8">
        <w:t>ta-Common=ta-CommonDrift=ta-CommonDriftVariant=0.</w:t>
      </w:r>
      <w:r w:rsidR="002221AF">
        <w:t xml:space="preserve"> </w:t>
      </w:r>
      <w:r w:rsidR="008B15F5">
        <w:t>t</w:t>
      </w:r>
      <w:r w:rsidR="002221AF" w:rsidRPr="0073374B">
        <w:t xml:space="preserve">a-Report </w:t>
      </w:r>
      <w:r w:rsidR="002221AF">
        <w:t>seems to be not needed.</w:t>
      </w:r>
    </w:p>
    <w:p w14:paraId="04FFDFAF" w14:textId="316A97A6" w:rsidR="00132D54" w:rsidRDefault="00132D54" w:rsidP="00132D54">
      <w:pPr>
        <w:rPr>
          <w:b/>
          <w:bCs/>
          <w:i/>
          <w:iCs/>
        </w:rPr>
      </w:pPr>
      <w:bookmarkStart w:id="3" w:name="Prop2"/>
      <w:r w:rsidRPr="00480FA4">
        <w:rPr>
          <w:b/>
          <w:bCs/>
          <w:i/>
          <w:iCs/>
        </w:rPr>
        <w:t xml:space="preserve">Proposal </w:t>
      </w:r>
      <w:r w:rsidR="00AB0EA0">
        <w:rPr>
          <w:b/>
          <w:bCs/>
          <w:i/>
          <w:iCs/>
        </w:rPr>
        <w:t>2</w:t>
      </w:r>
      <w:r w:rsidRPr="00480FA4">
        <w:rPr>
          <w:b/>
          <w:bCs/>
          <w:i/>
          <w:iCs/>
        </w:rPr>
        <w:t xml:space="preserve">: </w:t>
      </w:r>
      <w:r>
        <w:rPr>
          <w:b/>
          <w:bCs/>
          <w:i/>
          <w:iCs/>
        </w:rPr>
        <w:t xml:space="preserve">Define </w:t>
      </w:r>
      <w:r w:rsidR="009D66BC">
        <w:rPr>
          <w:b/>
          <w:bCs/>
          <w:i/>
          <w:iCs/>
        </w:rPr>
        <w:t>Reference point so DL and UL frame boundaries are aligned at gNB</w:t>
      </w:r>
      <w:r w:rsidR="000F02A9">
        <w:rPr>
          <w:b/>
          <w:bCs/>
          <w:i/>
          <w:iCs/>
        </w:rPr>
        <w:t xml:space="preserve"> (</w:t>
      </w:r>
      <w:r w:rsidR="005E4D50">
        <w:rPr>
          <w:b/>
          <w:bCs/>
          <w:i/>
          <w:iCs/>
        </w:rPr>
        <w:t>k</w:t>
      </w:r>
      <w:r w:rsidR="000F02A9" w:rsidRPr="00CD66AB">
        <w:rPr>
          <w:b/>
          <w:bCs/>
          <w:i/>
          <w:iCs/>
          <w:vertAlign w:val="subscript"/>
        </w:rPr>
        <w:t>mac</w:t>
      </w:r>
      <w:r w:rsidR="000F02A9">
        <w:rPr>
          <w:b/>
          <w:bCs/>
          <w:i/>
          <w:iCs/>
        </w:rPr>
        <w:t>=0</w:t>
      </w:r>
      <w:r w:rsidR="002A53B4">
        <w:rPr>
          <w:b/>
          <w:bCs/>
          <w:i/>
          <w:iCs/>
        </w:rPr>
        <w:t xml:space="preserve"> or not configured</w:t>
      </w:r>
      <w:r w:rsidR="000F02A9">
        <w:rPr>
          <w:b/>
          <w:bCs/>
          <w:i/>
          <w:iCs/>
        </w:rPr>
        <w:t>)</w:t>
      </w:r>
      <w:r w:rsidR="002A53B4">
        <w:rPr>
          <w:b/>
          <w:bCs/>
          <w:i/>
          <w:iCs/>
        </w:rPr>
        <w:t>.</w:t>
      </w:r>
    </w:p>
    <w:p w14:paraId="35E53CC4" w14:textId="2CC2B57F" w:rsidR="002A53B4" w:rsidRDefault="002A53B4" w:rsidP="00132D54">
      <w:pPr>
        <w:rPr>
          <w:b/>
          <w:bCs/>
          <w:i/>
          <w:iCs/>
        </w:rPr>
      </w:pPr>
      <w:bookmarkStart w:id="4" w:name="Prop3"/>
      <w:bookmarkEnd w:id="3"/>
      <w:r>
        <w:rPr>
          <w:b/>
          <w:bCs/>
          <w:i/>
          <w:iCs/>
        </w:rPr>
        <w:t xml:space="preserve">Proposal 3: Define </w:t>
      </w:r>
      <w:r w:rsidRPr="002A53B4">
        <w:rPr>
          <w:b/>
          <w:bCs/>
          <w:i/>
          <w:iCs/>
        </w:rPr>
        <w:t>ta-Common=ta-CommonDrift=ta-CommonDriftVariant=0</w:t>
      </w:r>
      <w:r w:rsidR="00B765E1">
        <w:rPr>
          <w:b/>
          <w:bCs/>
          <w:i/>
          <w:iCs/>
        </w:rPr>
        <w:t>.</w:t>
      </w:r>
    </w:p>
    <w:p w14:paraId="01C179EE" w14:textId="0E342D96" w:rsidR="00B33680" w:rsidRPr="00B33680" w:rsidRDefault="00B33680" w:rsidP="00132D54">
      <w:pPr>
        <w:rPr>
          <w:b/>
          <w:bCs/>
          <w:i/>
          <w:iCs/>
        </w:rPr>
      </w:pPr>
      <w:bookmarkStart w:id="5" w:name="Prop4"/>
      <w:bookmarkEnd w:id="4"/>
      <w:r w:rsidRPr="00B33680">
        <w:rPr>
          <w:b/>
          <w:bCs/>
          <w:i/>
          <w:iCs/>
        </w:rPr>
        <w:t>Proposal 4: Define ta-Report as Not configured</w:t>
      </w:r>
      <w:r w:rsidR="003A46A9">
        <w:rPr>
          <w:b/>
          <w:bCs/>
          <w:i/>
          <w:iCs/>
        </w:rPr>
        <w:t>.</w:t>
      </w:r>
    </w:p>
    <w:bookmarkEnd w:id="5"/>
    <w:p w14:paraId="64AB5EFB" w14:textId="77777777" w:rsidR="00CF209C" w:rsidRDefault="003D69ED" w:rsidP="00344758">
      <w:pPr>
        <w:pStyle w:val="Heading2"/>
      </w:pPr>
      <w:r w:rsidRPr="003D69ED">
        <w:t>2.</w:t>
      </w:r>
      <w:r w:rsidR="00520CE0">
        <w:t>3</w:t>
      </w:r>
      <w:r w:rsidRPr="003D69ED">
        <w:t xml:space="preserve"> </w:t>
      </w:r>
      <w:r w:rsidR="00CF209C">
        <w:t>K</w:t>
      </w:r>
      <w:r w:rsidR="00CF209C" w:rsidRPr="00CD66AB">
        <w:rPr>
          <w:vertAlign w:val="subscript"/>
        </w:rPr>
        <w:t>offset</w:t>
      </w:r>
    </w:p>
    <w:p w14:paraId="54A68426" w14:textId="3D7C3C01" w:rsidR="00A70BF7" w:rsidRDefault="00B75A30" w:rsidP="00CF209C">
      <w:r>
        <w:t xml:space="preserve">According to 3GPP TS38.300 ([1]), </w:t>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A70BF7">
        <w:t xml:space="preserve"> Having </w:t>
      </w:r>
      <w:r w:rsidR="005E4D50">
        <w:t>k</w:t>
      </w:r>
      <w:r w:rsidR="00A70BF7" w:rsidRPr="005E4D50">
        <w:rPr>
          <w:vertAlign w:val="subscript"/>
        </w:rPr>
        <w:t>mac</w:t>
      </w:r>
      <w:r w:rsidR="00A70BF7">
        <w:t xml:space="preserve">=0 implies that </w:t>
      </w:r>
      <w:r w:rsidR="005E4D50">
        <w:t>k</w:t>
      </w:r>
      <w:r w:rsidR="00CD66AB" w:rsidRPr="005E4D50">
        <w:rPr>
          <w:vertAlign w:val="subscript"/>
        </w:rPr>
        <w:t>offset</w:t>
      </w:r>
      <w:r w:rsidR="00CD66AB">
        <w:t xml:space="preserve"> should be </w:t>
      </w:r>
      <w:r w:rsidR="00CD66AB" w:rsidRPr="00D86417">
        <w:t>equal to or greater than twice</w:t>
      </w:r>
      <w:r w:rsidR="00CD66AB">
        <w:t xml:space="preserve"> of</w:t>
      </w:r>
      <w:r w:rsidR="00CD66AB" w:rsidRPr="00D86417">
        <w:t xml:space="preserve"> the satellite-UE one-way delay</w:t>
      </w:r>
      <w:r w:rsidR="00FF3C47">
        <w:t>.</w:t>
      </w:r>
    </w:p>
    <w:p w14:paraId="5F3764A5" w14:textId="4803C1C8" w:rsidR="0041486C" w:rsidRDefault="0041486C" w:rsidP="0041486C">
      <w:pPr>
        <w:overflowPunct w:val="0"/>
        <w:autoSpaceDE w:val="0"/>
        <w:autoSpaceDN w:val="0"/>
        <w:adjustRightInd w:val="0"/>
        <w:spacing w:after="120"/>
        <w:textAlignment w:val="baseline"/>
      </w:pPr>
      <w:r>
        <w:t>k</w:t>
      </w:r>
      <w:r w:rsidRPr="0041486C">
        <w:rPr>
          <w:vertAlign w:val="subscript"/>
        </w:rPr>
        <w:t>offset</w:t>
      </w:r>
      <w:r>
        <w:t xml:space="preserve"> (= </w:t>
      </w:r>
      <w:r w:rsidRPr="00B40E2C">
        <w:t>k</w:t>
      </w:r>
      <w:r w:rsidRPr="0041486C">
        <w:rPr>
          <w:vertAlign w:val="subscript"/>
        </w:rPr>
        <w:t xml:space="preserve">cell,offset </w:t>
      </w:r>
      <w:r>
        <w:t xml:space="preserve">- </w:t>
      </w:r>
      <w:r w:rsidRPr="00B40E2C">
        <w:t>k</w:t>
      </w:r>
      <w:r w:rsidRPr="0041486C">
        <w:rPr>
          <w:vertAlign w:val="subscript"/>
        </w:rPr>
        <w:t>UE,offset</w:t>
      </w:r>
      <w:r>
        <w:t xml:space="preserve">) , where </w:t>
      </w:r>
      <w:r w:rsidRPr="0041486C">
        <w:rPr>
          <w:rFonts w:ascii="Cambria Math" w:hAnsi="Cambria Math" w:cs="Cambria Math"/>
        </w:rPr>
        <w:t>k</w:t>
      </w:r>
      <w:r w:rsidRPr="0041486C">
        <w:rPr>
          <w:vertAlign w:val="subscript"/>
        </w:rPr>
        <w:t>cell,offset</w:t>
      </w:r>
      <w:r>
        <w:t xml:space="preserve"> is provided by </w:t>
      </w:r>
      <w:r w:rsidRPr="0041486C">
        <w:rPr>
          <w:i/>
          <w:iCs/>
        </w:rPr>
        <w:t>cellSpecificKoffset</w:t>
      </w:r>
      <w:r>
        <w:t xml:space="preserve"> and </w:t>
      </w:r>
      <w:r w:rsidRPr="0041486C">
        <w:rPr>
          <w:rFonts w:ascii="Cambria Math" w:hAnsi="Cambria Math" w:cs="Cambria Math"/>
        </w:rPr>
        <w:t>k</w:t>
      </w:r>
      <w:r w:rsidRPr="0041486C">
        <w:rPr>
          <w:vertAlign w:val="subscript"/>
        </w:rPr>
        <w:t>UE,offset</w:t>
      </w:r>
      <w:r>
        <w:t xml:space="preserve"> is provided by a Differential </w:t>
      </w:r>
      <w:r w:rsidR="00452B5D">
        <w:t>k</w:t>
      </w:r>
      <w:r w:rsidRPr="00452B5D">
        <w:rPr>
          <w:vertAlign w:val="subscript"/>
        </w:rPr>
        <w:t>offset</w:t>
      </w:r>
      <w:r>
        <w:t xml:space="preserve"> MAC CE command; otherwise, if not respectively provided, </w:t>
      </w:r>
      <w:r w:rsidRPr="0041486C">
        <w:rPr>
          <w:rFonts w:ascii="Cambria Math" w:hAnsi="Cambria Math" w:cs="Cambria Math"/>
        </w:rPr>
        <w:t>k</w:t>
      </w:r>
      <w:r w:rsidRPr="0041486C">
        <w:rPr>
          <w:vertAlign w:val="subscript"/>
        </w:rPr>
        <w:t>cell,offset</w:t>
      </w:r>
      <w:r>
        <w:t xml:space="preserve"> = 0 or </w:t>
      </w:r>
      <w:r w:rsidRPr="0041486C">
        <w:rPr>
          <w:rFonts w:ascii="Cambria Math" w:hAnsi="Cambria Math" w:cs="Cambria Math"/>
        </w:rPr>
        <w:t>k</w:t>
      </w:r>
      <w:r w:rsidRPr="0041486C">
        <w:rPr>
          <w:vertAlign w:val="subscript"/>
        </w:rPr>
        <w:t>UE,offset</w:t>
      </w:r>
      <w:r>
        <w:t xml:space="preserve"> = 0 according to 3GPP TS 38.213 ([</w:t>
      </w:r>
      <w:r w:rsidR="008B5226">
        <w:t>3</w:t>
      </w:r>
      <w:r>
        <w:t>]) section 4.2.</w:t>
      </w:r>
    </w:p>
    <w:p w14:paraId="200D08D6" w14:textId="47CBE7F4" w:rsidR="00E9555E" w:rsidRDefault="00D87318" w:rsidP="00CF209C">
      <w:r>
        <w:t>During R</w:t>
      </w:r>
      <w:r w:rsidR="00FC65AA">
        <w:t>AN4 discussion</w:t>
      </w:r>
      <w:r w:rsidR="002E6D67">
        <w:t xml:space="preserve">s, one analysis on the </w:t>
      </w:r>
      <w:r w:rsidR="00575499">
        <w:t xml:space="preserve">Satellite-UE RTT delay and associated </w:t>
      </w:r>
      <w:r w:rsidR="00E9555E">
        <w:t>k</w:t>
      </w:r>
      <w:r w:rsidR="00E9555E" w:rsidRPr="001A0DBE">
        <w:rPr>
          <w:vertAlign w:val="subscript"/>
        </w:rPr>
        <w:t>offset</w:t>
      </w:r>
      <w:r w:rsidR="00E9555E">
        <w:t xml:space="preserve"> values was carried out (R4-2213860</w:t>
      </w:r>
      <w:r w:rsidR="00D03071">
        <w:t xml:space="preserve"> ([6])</w:t>
      </w:r>
      <w:r w:rsidR="00E9555E">
        <w:t>)</w:t>
      </w:r>
      <w:r w:rsidR="00093768">
        <w:t xml:space="preserve"> as shown below:</w:t>
      </w:r>
    </w:p>
    <w:p w14:paraId="6429A771" w14:textId="793B2F48" w:rsidR="00E9555E" w:rsidRDefault="00C7030B" w:rsidP="00C7030B">
      <w:pPr>
        <w:jc w:val="center"/>
      </w:pPr>
      <w:r>
        <w:rPr>
          <w:noProof/>
        </w:rPr>
        <w:drawing>
          <wp:inline distT="0" distB="0" distL="0" distR="0" wp14:anchorId="6E91C4DB" wp14:editId="081FF1F5">
            <wp:extent cx="3604540" cy="212686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1345" cy="2130879"/>
                    </a:xfrm>
                    <a:prstGeom prst="rect">
                      <a:avLst/>
                    </a:prstGeom>
                  </pic:spPr>
                </pic:pic>
              </a:graphicData>
            </a:graphic>
          </wp:inline>
        </w:drawing>
      </w:r>
    </w:p>
    <w:p w14:paraId="113A3545" w14:textId="4AAAEEBA" w:rsidR="001039FE" w:rsidRDefault="001039FE" w:rsidP="00C7030B">
      <w:pPr>
        <w:jc w:val="center"/>
      </w:pPr>
      <w:r>
        <w:rPr>
          <w:noProof/>
        </w:rPr>
        <w:lastRenderedPageBreak/>
        <w:drawing>
          <wp:inline distT="0" distB="0" distL="0" distR="0" wp14:anchorId="1A9528BE" wp14:editId="0948D010">
            <wp:extent cx="3591925" cy="2492097"/>
            <wp:effectExtent l="0" t="0" r="889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0495" cy="2504981"/>
                    </a:xfrm>
                    <a:prstGeom prst="rect">
                      <a:avLst/>
                    </a:prstGeom>
                  </pic:spPr>
                </pic:pic>
              </a:graphicData>
            </a:graphic>
          </wp:inline>
        </w:drawing>
      </w:r>
    </w:p>
    <w:p w14:paraId="59169F80" w14:textId="77777777" w:rsidR="0096457C" w:rsidRDefault="001357D8" w:rsidP="00CF209C">
      <w:r>
        <w:t>As it can be seen in</w:t>
      </w:r>
      <w:r w:rsidR="00045377">
        <w:t xml:space="preserve"> the above analysis, </w:t>
      </w:r>
      <w:r>
        <w:t>k</w:t>
      </w:r>
      <w:r w:rsidR="00FB210A" w:rsidRPr="001357D8">
        <w:rPr>
          <w:vertAlign w:val="subscript"/>
        </w:rPr>
        <w:t>offset</w:t>
      </w:r>
      <w:r w:rsidR="00FB210A">
        <w:t xml:space="preserve"> value is dependent on the type of satellite as well as on the minimum elevation angle</w:t>
      </w:r>
      <w:r w:rsidR="00791A86">
        <w:t xml:space="preserve"> (</w:t>
      </w:r>
      <w:r w:rsidR="0054457F">
        <w:t>α in the figure above)</w:t>
      </w:r>
      <w:r w:rsidR="0096457C">
        <w:t>.</w:t>
      </w:r>
    </w:p>
    <w:p w14:paraId="5AA087F8" w14:textId="12FE75E7" w:rsidR="00752EE2" w:rsidRDefault="00A16C1C" w:rsidP="00CF209C">
      <w:r w:rsidRPr="00A16C1C">
        <w:t xml:space="preserve">In RRM, </w:t>
      </w:r>
      <w:r w:rsidR="008843F7">
        <w:t xml:space="preserve">according to </w:t>
      </w:r>
      <w:r w:rsidR="00035DD5">
        <w:t>R4-2303147</w:t>
      </w:r>
      <w:r w:rsidR="00E57FE1">
        <w:t xml:space="preserve"> ([5])</w:t>
      </w:r>
      <w:r w:rsidR="00035DD5">
        <w:t xml:space="preserve">, </w:t>
      </w:r>
      <w:r w:rsidRPr="00A16C1C">
        <w:t xml:space="preserve">the following </w:t>
      </w:r>
      <w:r w:rsidR="006B45C2">
        <w:t>agreement was achieved</w:t>
      </w:r>
      <w:r w:rsidR="00B0371E">
        <w:t xml:space="preserve"> based on R4-2300</w:t>
      </w:r>
      <w:r w:rsidR="00F412AF">
        <w:t>7</w:t>
      </w:r>
      <w:r w:rsidR="00B0371E">
        <w:t>75</w:t>
      </w:r>
      <w:r w:rsidR="00CB205B">
        <w:t xml:space="preserve"> ([</w:t>
      </w:r>
      <w:r w:rsidR="0060115C">
        <w:t>7</w:t>
      </w:r>
      <w:r w:rsidR="00CB205B">
        <w:t>])</w:t>
      </w:r>
      <w:r w:rsidR="00752EE2">
        <w:t>:</w:t>
      </w:r>
    </w:p>
    <w:p w14:paraId="3B8B395B" w14:textId="77777777" w:rsidR="00752EE2" w:rsidRDefault="00752EE2" w:rsidP="00752EE2">
      <w:pPr>
        <w:jc w:val="center"/>
      </w:pPr>
      <w:r>
        <w:rPr>
          <w:noProof/>
        </w:rPr>
        <w:drawing>
          <wp:inline distT="0" distB="0" distL="0" distR="0" wp14:anchorId="46F1D317" wp14:editId="01C951B0">
            <wp:extent cx="3705358" cy="6366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33800" cy="641553"/>
                    </a:xfrm>
                    <a:prstGeom prst="rect">
                      <a:avLst/>
                    </a:prstGeom>
                  </pic:spPr>
                </pic:pic>
              </a:graphicData>
            </a:graphic>
          </wp:inline>
        </w:drawing>
      </w:r>
    </w:p>
    <w:p w14:paraId="5E219269" w14:textId="14C4C41D" w:rsidR="00373D22" w:rsidRDefault="00373D22" w:rsidP="00395D2D">
      <w:r>
        <w:t xml:space="preserve">The above agreement was </w:t>
      </w:r>
      <w:r w:rsidR="00395D2D">
        <w:t>based on 30º minimum elevation angle agreement in R4-2303295 ([</w:t>
      </w:r>
      <w:r w:rsidR="0060115C">
        <w:t>8</w:t>
      </w:r>
      <w:r w:rsidR="00395D2D">
        <w:t>]):</w:t>
      </w:r>
    </w:p>
    <w:p w14:paraId="685A08B7" w14:textId="161809E6" w:rsidR="00EA2056" w:rsidRDefault="00EA2056" w:rsidP="00EA2056">
      <w:pPr>
        <w:jc w:val="center"/>
      </w:pPr>
      <w:r>
        <w:rPr>
          <w:noProof/>
        </w:rPr>
        <mc:AlternateContent>
          <mc:Choice Requires="wps">
            <w:drawing>
              <wp:anchor distT="0" distB="0" distL="114300" distR="114300" simplePos="0" relativeHeight="251658241" behindDoc="0" locked="0" layoutInCell="1" allowOverlap="1" wp14:anchorId="33406B89" wp14:editId="45C61C82">
                <wp:simplePos x="0" y="0"/>
                <wp:positionH relativeFrom="column">
                  <wp:posOffset>1114397</wp:posOffset>
                </wp:positionH>
                <wp:positionV relativeFrom="paragraph">
                  <wp:posOffset>1340418</wp:posOffset>
                </wp:positionV>
                <wp:extent cx="3883660" cy="207130"/>
                <wp:effectExtent l="0" t="0" r="21590" b="21590"/>
                <wp:wrapNone/>
                <wp:docPr id="14" name="Rectangle: Rounded Corners 14"/>
                <wp:cNvGraphicFramePr/>
                <a:graphic xmlns:a="http://schemas.openxmlformats.org/drawingml/2006/main">
                  <a:graphicData uri="http://schemas.microsoft.com/office/word/2010/wordprocessingShape">
                    <wps:wsp>
                      <wps:cNvSpPr/>
                      <wps:spPr>
                        <a:xfrm>
                          <a:off x="0" y="0"/>
                          <a:ext cx="3883660" cy="20713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8BFC55" id="Rectangle: Rounded Corners 14" o:spid="_x0000_s1026" style="position:absolute;margin-left:87.75pt;margin-top:105.55pt;width:305.8pt;height:16.3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" fillcolor="#c00000" strokecolor="#c00000" strokeweight="1pt">
                <v:fill opacity="13107f"/>
                <v:stroke joinstyle="miter"/>
              </v:roundrect>
            </w:pict>
          </mc:Fallback>
        </mc:AlternateContent>
      </w:r>
      <w:r>
        <w:rPr>
          <w:noProof/>
        </w:rPr>
        <w:drawing>
          <wp:inline distT="0" distB="0" distL="0" distR="0" wp14:anchorId="49153855" wp14:editId="399A323D">
            <wp:extent cx="4023954" cy="18540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7488" cy="1855688"/>
                    </a:xfrm>
                    <a:prstGeom prst="rect">
                      <a:avLst/>
                    </a:prstGeom>
                  </pic:spPr>
                </pic:pic>
              </a:graphicData>
            </a:graphic>
          </wp:inline>
        </w:drawing>
      </w:r>
    </w:p>
    <w:p w14:paraId="6DEC738B" w14:textId="397C038A" w:rsidR="002E77DC" w:rsidRDefault="0035122E" w:rsidP="00752EE2">
      <w:r>
        <w:t>R4-211</w:t>
      </w:r>
      <w:r w:rsidR="005C1BD0">
        <w:t>9586</w:t>
      </w:r>
      <w:r w:rsidR="00E57FE1">
        <w:t xml:space="preserve"> ([</w:t>
      </w:r>
      <w:r w:rsidR="0060115C">
        <w:t>9</w:t>
      </w:r>
      <w:r w:rsidR="00E57FE1">
        <w:t>])</w:t>
      </w:r>
      <w:r w:rsidR="005C1BD0">
        <w:t xml:space="preserve"> and </w:t>
      </w:r>
      <w:r w:rsidR="00E16694">
        <w:t>R4-2218407</w:t>
      </w:r>
      <w:r w:rsidR="0005654F">
        <w:t xml:space="preserve"> ([</w:t>
      </w:r>
      <w:r w:rsidR="0060115C">
        <w:t>10</w:t>
      </w:r>
      <w:r w:rsidR="0005654F">
        <w:t>]) describe somehow the trade</w:t>
      </w:r>
      <w:r w:rsidR="00F549CB">
        <w:t>-</w:t>
      </w:r>
      <w:r w:rsidR="0005654F">
        <w:t xml:space="preserve">off required </w:t>
      </w:r>
      <w:r w:rsidR="00584283">
        <w:t xml:space="preserve">between </w:t>
      </w:r>
      <w:r w:rsidR="00F549CB">
        <w:t xml:space="preserve">satellite </w:t>
      </w:r>
      <w:r w:rsidR="00584283">
        <w:t>visibility duration and performance (SNR/RSRP/SINR)</w:t>
      </w:r>
      <w:r w:rsidR="0054059D">
        <w:t>:</w:t>
      </w:r>
    </w:p>
    <w:p w14:paraId="5ECCCDAE" w14:textId="2F6238B2" w:rsidR="0054059D" w:rsidRDefault="0054059D" w:rsidP="0054059D">
      <w:pPr>
        <w:jc w:val="center"/>
      </w:pPr>
      <w:r>
        <w:rPr>
          <w:noProof/>
        </w:rPr>
        <w:drawing>
          <wp:inline distT="0" distB="0" distL="0" distR="0" wp14:anchorId="6625C40D" wp14:editId="6C4CC3E8">
            <wp:extent cx="3883824" cy="474591"/>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28996" cy="480111"/>
                    </a:xfrm>
                    <a:prstGeom prst="rect">
                      <a:avLst/>
                    </a:prstGeom>
                  </pic:spPr>
                </pic:pic>
              </a:graphicData>
            </a:graphic>
          </wp:inline>
        </w:drawing>
      </w:r>
    </w:p>
    <w:p w14:paraId="7F43A29C" w14:textId="14216DF9" w:rsidR="003F7F47" w:rsidRDefault="003F7F47" w:rsidP="0054059D">
      <w:pPr>
        <w:jc w:val="center"/>
      </w:pPr>
      <w:r>
        <w:rPr>
          <w:noProof/>
        </w:rPr>
        <w:drawing>
          <wp:inline distT="0" distB="0" distL="0" distR="0" wp14:anchorId="6184A985" wp14:editId="18F5A737">
            <wp:extent cx="3724689" cy="204564"/>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59195" cy="222935"/>
                    </a:xfrm>
                    <a:prstGeom prst="rect">
                      <a:avLst/>
                    </a:prstGeom>
                  </pic:spPr>
                </pic:pic>
              </a:graphicData>
            </a:graphic>
          </wp:inline>
        </w:drawing>
      </w:r>
    </w:p>
    <w:p w14:paraId="3A764C60" w14:textId="0C1B69E2" w:rsidR="00A16C1C" w:rsidRPr="00A16C1C" w:rsidRDefault="00435C02" w:rsidP="00752EE2">
      <w:r>
        <w:t>In de</w:t>
      </w:r>
      <w:r w:rsidR="008A3D03">
        <w:t xml:space="preserve">mod test cases, as only PDSCH for NGSO was defined, the </w:t>
      </w:r>
      <w:r w:rsidR="00E542DD">
        <w:t>k</w:t>
      </w:r>
      <w:r w:rsidR="008A3D03" w:rsidRPr="000644B4">
        <w:rPr>
          <w:vertAlign w:val="subscript"/>
        </w:rPr>
        <w:t>offset</w:t>
      </w:r>
      <w:r w:rsidR="008A3D03">
        <w:t xml:space="preserve"> value agreed was also 8 slots</w:t>
      </w:r>
      <w:r w:rsidR="00B67FBA">
        <w:t xml:space="preserve"> (refer to R4</w:t>
      </w:r>
      <w:r w:rsidR="00B669D8">
        <w:t>-</w:t>
      </w:r>
      <w:r w:rsidR="00B67FBA">
        <w:t xml:space="preserve">2214386 </w:t>
      </w:r>
      <w:r w:rsidR="00A12523">
        <w:t xml:space="preserve">([11]) </w:t>
      </w:r>
      <w:r w:rsidR="00B67FBA">
        <w:t>and R4-2217480</w:t>
      </w:r>
      <w:r w:rsidR="00A12523">
        <w:t xml:space="preserve"> </w:t>
      </w:r>
      <w:r w:rsidR="00767C0A">
        <w:t xml:space="preserve">Issue </w:t>
      </w:r>
      <w:r w:rsidR="00495D64">
        <w:t xml:space="preserve">2-1 </w:t>
      </w:r>
      <w:r w:rsidR="00A12523">
        <w:t>([12])).</w:t>
      </w:r>
    </w:p>
    <w:p w14:paraId="2434DE0F" w14:textId="4492244D" w:rsidR="00127E79" w:rsidRDefault="00DC2569" w:rsidP="003D3099">
      <w:pPr>
        <w:overflowPunct w:val="0"/>
        <w:autoSpaceDE w:val="0"/>
        <w:autoSpaceDN w:val="0"/>
        <w:adjustRightInd w:val="0"/>
        <w:spacing w:after="120"/>
        <w:ind w:left="147"/>
        <w:textAlignment w:val="baseline"/>
      </w:pPr>
      <w:r w:rsidRPr="003D3099">
        <w:t>A</w:t>
      </w:r>
      <w:r w:rsidR="00141650" w:rsidRPr="003D3099">
        <w:t xml:space="preserve">s according to </w:t>
      </w:r>
      <w:r w:rsidR="003D3099" w:rsidRPr="003D3099">
        <w:t xml:space="preserve">[7], </w:t>
      </w:r>
      <w:r w:rsidR="003348A4" w:rsidRPr="003D3099">
        <w:t>k</w:t>
      </w:r>
      <w:r w:rsidR="003348A4" w:rsidRPr="003D3099">
        <w:rPr>
          <w:vertAlign w:val="subscript"/>
        </w:rPr>
        <w:t>UE,offset</w:t>
      </w:r>
      <w:r w:rsidR="003348A4" w:rsidRPr="003D3099">
        <w:t xml:space="preserve"> has been </w:t>
      </w:r>
      <w:r w:rsidR="003D3099" w:rsidRPr="003D3099">
        <w:t>agreed as 0, i</w:t>
      </w:r>
      <w:r w:rsidR="00715CCA" w:rsidRPr="003D3099">
        <w:t xml:space="preserve">t is proposed that same </w:t>
      </w:r>
      <w:r w:rsidR="007F6069" w:rsidRPr="003D3099">
        <w:t>k</w:t>
      </w:r>
      <w:r w:rsidR="007F6069" w:rsidRPr="003D3099">
        <w:rPr>
          <w:vertAlign w:val="subscript"/>
        </w:rPr>
        <w:t>cell,offset</w:t>
      </w:r>
      <w:r w:rsidR="00941E0A" w:rsidRPr="003D3099">
        <w:t xml:space="preserve"> </w:t>
      </w:r>
      <w:r w:rsidR="00FC2AC7" w:rsidRPr="003D3099">
        <w:t xml:space="preserve">values </w:t>
      </w:r>
      <w:r w:rsidR="000735B5" w:rsidRPr="003D3099">
        <w:t>agreed in</w:t>
      </w:r>
      <w:r w:rsidR="00024834" w:rsidRPr="003D3099">
        <w:t xml:space="preserve"> demod and RRM </w:t>
      </w:r>
      <w:r w:rsidR="00941E0A" w:rsidRPr="003D3099">
        <w:t xml:space="preserve">are used for </w:t>
      </w:r>
      <w:r w:rsidR="007F6069" w:rsidRPr="003D3099">
        <w:t>all</w:t>
      </w:r>
      <w:r w:rsidR="00941E0A" w:rsidRPr="003D3099">
        <w:t xml:space="preserve"> test cases</w:t>
      </w:r>
      <w:r w:rsidR="00127E79" w:rsidRPr="003D3099">
        <w:t>: 256 slots for GSO and 8 slots for NGSO</w:t>
      </w:r>
      <w:r w:rsidR="00C46546" w:rsidRPr="003D3099">
        <w:t>.</w:t>
      </w:r>
      <w:r w:rsidR="00C46546" w:rsidRPr="00FC2AC7">
        <w:t xml:space="preserve"> </w:t>
      </w:r>
    </w:p>
    <w:p w14:paraId="5C9A94BE" w14:textId="5B825FB6" w:rsidR="00A16C1C" w:rsidRPr="00462309" w:rsidRDefault="00C46546" w:rsidP="00941E0A">
      <w:r w:rsidRPr="00FC2AC7">
        <w:t xml:space="preserve">Value for NGSO </w:t>
      </w:r>
      <w:r w:rsidR="000735B5">
        <w:t>might</w:t>
      </w:r>
      <w:r w:rsidRPr="00FC2AC7">
        <w:t xml:space="preserve"> </w:t>
      </w:r>
      <w:r w:rsidR="008F23AA" w:rsidRPr="00FC2AC7">
        <w:t>require further updates</w:t>
      </w:r>
      <w:r w:rsidR="00542D91" w:rsidRPr="00FC2AC7">
        <w:t xml:space="preserve"> </w:t>
      </w:r>
      <w:r w:rsidR="008F23AA" w:rsidRPr="00FC2AC7">
        <w:t xml:space="preserve">for NGSO satellites in case it is necessary to </w:t>
      </w:r>
      <w:r w:rsidR="00E219EA" w:rsidRPr="00FC2AC7">
        <w:t>maximize satellite visibility duration</w:t>
      </w:r>
      <w:r w:rsidR="00220D4D">
        <w:t xml:space="preserve"> in some RF test cases</w:t>
      </w:r>
      <w:r w:rsidR="00127E79">
        <w:t>.</w:t>
      </w:r>
    </w:p>
    <w:p w14:paraId="743A9F8C" w14:textId="1AC38761" w:rsidR="00A435A5" w:rsidRPr="00A435A5" w:rsidRDefault="00CF209C" w:rsidP="00D95E37">
      <w:pPr>
        <w:rPr>
          <w:b/>
          <w:bCs/>
          <w:i/>
          <w:iCs/>
        </w:rPr>
      </w:pPr>
      <w:bookmarkStart w:id="6" w:name="Prop5"/>
      <w:r w:rsidRPr="00A435A5">
        <w:rPr>
          <w:b/>
          <w:bCs/>
          <w:i/>
          <w:iCs/>
        </w:rPr>
        <w:t xml:space="preserve">Proposal </w:t>
      </w:r>
      <w:r w:rsidR="000735B5" w:rsidRPr="00A435A5">
        <w:rPr>
          <w:b/>
          <w:bCs/>
          <w:i/>
          <w:iCs/>
        </w:rPr>
        <w:t>5</w:t>
      </w:r>
      <w:r w:rsidRPr="00A435A5">
        <w:rPr>
          <w:b/>
          <w:bCs/>
          <w:i/>
          <w:iCs/>
        </w:rPr>
        <w:t xml:space="preserve">: </w:t>
      </w:r>
      <w:r w:rsidR="00D95E37" w:rsidRPr="00A435A5">
        <w:rPr>
          <w:b/>
          <w:bCs/>
          <w:i/>
          <w:iCs/>
        </w:rPr>
        <w:t xml:space="preserve">Use </w:t>
      </w:r>
      <w:r w:rsidR="002B625D" w:rsidRPr="002B625D">
        <w:rPr>
          <w:b/>
          <w:bCs/>
          <w:i/>
          <w:iCs/>
        </w:rPr>
        <w:t>k</w:t>
      </w:r>
      <w:r w:rsidR="002B625D" w:rsidRPr="00DB1AD2">
        <w:rPr>
          <w:b/>
          <w:bCs/>
          <w:i/>
          <w:iCs/>
          <w:vertAlign w:val="subscript"/>
        </w:rPr>
        <w:t>cell,offset</w:t>
      </w:r>
      <w:r w:rsidR="002B625D" w:rsidRPr="002B625D">
        <w:rPr>
          <w:b/>
          <w:bCs/>
          <w:i/>
          <w:iCs/>
        </w:rPr>
        <w:t xml:space="preserve"> </w:t>
      </w:r>
      <w:r w:rsidR="00A435A5" w:rsidRPr="00A435A5">
        <w:rPr>
          <w:b/>
          <w:bCs/>
          <w:i/>
          <w:iCs/>
        </w:rPr>
        <w:t>equal to 256 slots for GSO and 8 slots for NGSO in all test cases.</w:t>
      </w:r>
    </w:p>
    <w:bookmarkEnd w:id="6"/>
    <w:p w14:paraId="7BD3610D" w14:textId="6F267D79" w:rsidR="0057490C" w:rsidRDefault="0057490C" w:rsidP="0057490C">
      <w:pPr>
        <w:pStyle w:val="Heading1"/>
      </w:pPr>
      <w:r>
        <w:lastRenderedPageBreak/>
        <w:t xml:space="preserve">3. </w:t>
      </w:r>
      <w:r>
        <w:tab/>
        <w:t>Conclusion</w:t>
      </w:r>
    </w:p>
    <w:p w14:paraId="13C733E9" w14:textId="0A243CF9" w:rsidR="00BF507A" w:rsidRDefault="00BF507A" w:rsidP="00BF507A">
      <w:pPr>
        <w:rPr>
          <w:rStyle w:val="eop"/>
          <w:color w:val="000000"/>
          <w:shd w:val="clear" w:color="auto" w:fill="FFFFFF"/>
        </w:rPr>
      </w:pPr>
      <w:r>
        <w:rPr>
          <w:rStyle w:val="normaltextrun"/>
          <w:color w:val="000000"/>
          <w:shd w:val="clear" w:color="auto" w:fill="FFFFFF"/>
        </w:rPr>
        <w:t>This document analyses discussions in different 3GPP working groups regarding the propagation delays in Non-Terrestrial Network communications and propose</w:t>
      </w:r>
      <w:r w:rsidR="00537129">
        <w:rPr>
          <w:rStyle w:val="normaltextrun"/>
          <w:color w:val="000000"/>
          <w:shd w:val="clear" w:color="auto" w:fill="FFFFFF"/>
        </w:rPr>
        <w:t>s</w:t>
      </w:r>
      <w:r>
        <w:rPr>
          <w:rStyle w:val="normaltextrun"/>
          <w:color w:val="000000"/>
          <w:shd w:val="clear" w:color="auto" w:fill="FFFFFF"/>
        </w:rPr>
        <w:t xml:space="preserve"> a way forward to progress on test specifications implications related to this topic.</w:t>
      </w:r>
      <w:r>
        <w:rPr>
          <w:rStyle w:val="eop"/>
          <w:color w:val="000000"/>
          <w:shd w:val="clear" w:color="auto" w:fill="FFFFFF"/>
        </w:rPr>
        <w:t> </w:t>
      </w:r>
    </w:p>
    <w:p w14:paraId="33C44BBB" w14:textId="3D125EC5" w:rsidR="00ED774A" w:rsidRDefault="00ED774A" w:rsidP="00BF507A">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1D1B1DD6" w14:textId="77777777" w:rsidR="00AE760F" w:rsidRDefault="00ED774A" w:rsidP="00AB0EA0">
      <w:pPr>
        <w:rPr>
          <w:b/>
          <w:bCs/>
          <w:i/>
          <w:iCs/>
        </w:rPr>
      </w:pPr>
      <w:r>
        <w:rPr>
          <w:rStyle w:val="eop"/>
          <w:color w:val="000000"/>
          <w:shd w:val="clear" w:color="auto" w:fill="FFFFFF"/>
        </w:rPr>
        <w:fldChar w:fldCharType="begin"/>
      </w:r>
      <w:r>
        <w:instrText xml:space="preserve"> REF Prop1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1: Test equipment shall emulate the delay in both feeder and service links according to information in NTN SIB message. </w:t>
      </w:r>
    </w:p>
    <w:p w14:paraId="60296AB9"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Prop2 \h </w:instrText>
      </w:r>
      <w:r>
        <w:rPr>
          <w:rStyle w:val="eop"/>
          <w:color w:val="000000"/>
          <w:shd w:val="clear" w:color="auto" w:fill="FFFFFF"/>
        </w:rPr>
      </w:r>
      <w:r>
        <w:rPr>
          <w:rStyle w:val="eop"/>
          <w:color w:val="000000"/>
          <w:shd w:val="clear" w:color="auto" w:fill="FFFFFF"/>
        </w:rPr>
        <w:fldChar w:fldCharType="separate"/>
      </w:r>
      <w:r w:rsidR="00AE760F" w:rsidRPr="00480FA4">
        <w:rPr>
          <w:b/>
          <w:bCs/>
          <w:i/>
          <w:iCs/>
        </w:rPr>
        <w:t xml:space="preserve">Proposal </w:t>
      </w:r>
      <w:r w:rsidR="00AE760F">
        <w:rPr>
          <w:b/>
          <w:bCs/>
          <w:i/>
          <w:iCs/>
        </w:rPr>
        <w:t>2</w:t>
      </w:r>
      <w:r w:rsidR="00AE760F" w:rsidRPr="00480FA4">
        <w:rPr>
          <w:b/>
          <w:bCs/>
          <w:i/>
          <w:iCs/>
        </w:rPr>
        <w:t xml:space="preserve">: </w:t>
      </w:r>
      <w:r w:rsidR="00AE760F">
        <w:rPr>
          <w:b/>
          <w:bCs/>
          <w:i/>
          <w:iCs/>
        </w:rPr>
        <w:t>Define Reference point so DL and UL frame boundaries are aligned at gNB (k</w:t>
      </w:r>
      <w:r w:rsidR="00AE760F" w:rsidRPr="00CD66AB">
        <w:rPr>
          <w:b/>
          <w:bCs/>
          <w:i/>
          <w:iCs/>
          <w:vertAlign w:val="subscript"/>
        </w:rPr>
        <w:t>mac</w:t>
      </w:r>
      <w:r w:rsidR="00AE760F">
        <w:rPr>
          <w:b/>
          <w:bCs/>
          <w:i/>
          <w:iCs/>
        </w:rPr>
        <w:t>=0 or not configured).</w:t>
      </w:r>
    </w:p>
    <w:p w14:paraId="246995A3"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Prop3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3: Define </w:t>
      </w:r>
      <w:r w:rsidR="00AE760F" w:rsidRPr="002A53B4">
        <w:rPr>
          <w:b/>
          <w:bCs/>
          <w:i/>
          <w:iCs/>
        </w:rPr>
        <w:t>ta-Common=ta-CommonDrift=ta-CommonDriftVariant=0</w:t>
      </w:r>
      <w:r w:rsidR="00AE760F">
        <w:rPr>
          <w:b/>
          <w:bCs/>
          <w:i/>
          <w:iCs/>
        </w:rPr>
        <w:t>.</w:t>
      </w:r>
    </w:p>
    <w:p w14:paraId="754C6071" w14:textId="77777777" w:rsidR="00AE760F" w:rsidRPr="00B33680"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Prop4 \h </w:instrText>
      </w:r>
      <w:r>
        <w:rPr>
          <w:rStyle w:val="eop"/>
          <w:color w:val="000000"/>
          <w:shd w:val="clear" w:color="auto" w:fill="FFFFFF"/>
        </w:rPr>
      </w:r>
      <w:r>
        <w:rPr>
          <w:rStyle w:val="eop"/>
          <w:color w:val="000000"/>
          <w:shd w:val="clear" w:color="auto" w:fill="FFFFFF"/>
        </w:rPr>
        <w:fldChar w:fldCharType="separate"/>
      </w:r>
      <w:r w:rsidR="00AE760F" w:rsidRPr="00B33680">
        <w:rPr>
          <w:b/>
          <w:bCs/>
          <w:i/>
          <w:iCs/>
        </w:rPr>
        <w:t>Proposal 4: Define ta-Report as Not configured</w:t>
      </w:r>
      <w:r w:rsidR="00AE760F">
        <w:rPr>
          <w:b/>
          <w:bCs/>
          <w:i/>
          <w:iCs/>
        </w:rPr>
        <w:t>.</w:t>
      </w:r>
    </w:p>
    <w:p w14:paraId="1DFF29FA" w14:textId="77777777" w:rsidR="00AE760F" w:rsidRPr="00A435A5" w:rsidRDefault="00ED774A" w:rsidP="00D95E37">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Prop5 \h </w:instrText>
      </w:r>
      <w:r>
        <w:rPr>
          <w:rStyle w:val="eop"/>
          <w:color w:val="000000"/>
          <w:shd w:val="clear" w:color="auto" w:fill="FFFFFF"/>
        </w:rPr>
      </w:r>
      <w:r>
        <w:rPr>
          <w:rStyle w:val="eop"/>
          <w:color w:val="000000"/>
          <w:shd w:val="clear" w:color="auto" w:fill="FFFFFF"/>
        </w:rPr>
        <w:fldChar w:fldCharType="separate"/>
      </w:r>
      <w:r w:rsidR="00AE760F" w:rsidRPr="00A435A5">
        <w:rPr>
          <w:b/>
          <w:bCs/>
          <w:i/>
          <w:iCs/>
        </w:rPr>
        <w:t xml:space="preserve">Proposal 5: Use </w:t>
      </w:r>
      <w:r w:rsidR="00AE760F" w:rsidRPr="002B625D">
        <w:rPr>
          <w:b/>
          <w:bCs/>
          <w:i/>
          <w:iCs/>
        </w:rPr>
        <w:t>k</w:t>
      </w:r>
      <w:r w:rsidR="00AE760F" w:rsidRPr="00DB1AD2">
        <w:rPr>
          <w:b/>
          <w:bCs/>
          <w:i/>
          <w:iCs/>
          <w:vertAlign w:val="subscript"/>
        </w:rPr>
        <w:t>cell,offset</w:t>
      </w:r>
      <w:r w:rsidR="00AE760F" w:rsidRPr="002B625D">
        <w:rPr>
          <w:b/>
          <w:bCs/>
          <w:i/>
          <w:iCs/>
        </w:rPr>
        <w:t xml:space="preserve"> </w:t>
      </w:r>
      <w:r w:rsidR="00AE760F" w:rsidRPr="00A435A5">
        <w:rPr>
          <w:b/>
          <w:bCs/>
          <w:i/>
          <w:iCs/>
        </w:rPr>
        <w:t>equal to 256 slots for GSO and 8 slots for NGSO in all test cases.</w:t>
      </w:r>
    </w:p>
    <w:p w14:paraId="11B53131" w14:textId="54790E29" w:rsidR="00ED774A" w:rsidRPr="00BF507A" w:rsidRDefault="00ED774A" w:rsidP="00BF507A">
      <w:r>
        <w:rPr>
          <w:rStyle w:val="eop"/>
          <w:color w:val="000000"/>
          <w:shd w:val="clear" w:color="auto" w:fill="FFFFFF"/>
        </w:rPr>
        <w:fldChar w:fldCharType="end"/>
      </w:r>
    </w:p>
    <w:p w14:paraId="1F63889B" w14:textId="5724B8F3" w:rsidR="0045428D" w:rsidRDefault="0057490C" w:rsidP="00534C0E">
      <w:pPr>
        <w:pStyle w:val="Heading1"/>
      </w:pPr>
      <w:r>
        <w:t>4</w:t>
      </w:r>
      <w:r w:rsidR="00534C0E">
        <w:t xml:space="preserve">. </w:t>
      </w:r>
      <w:r w:rsidR="00534C0E">
        <w:tab/>
      </w:r>
      <w:r w:rsidR="00934DE1" w:rsidRPr="00534C0E">
        <w:t>References</w:t>
      </w:r>
    </w:p>
    <w:p w14:paraId="4FFCBBD0" w14:textId="77777777" w:rsidR="00135A56" w:rsidRDefault="00135A56" w:rsidP="00135A56">
      <w:pPr>
        <w:numPr>
          <w:ilvl w:val="0"/>
          <w:numId w:val="1"/>
        </w:numPr>
      </w:pPr>
      <w:r>
        <w:t>3GPP TS 38.300, “NR; NR and NG-RAN Overall Description; Stage 2 (Release 17)”</w:t>
      </w:r>
    </w:p>
    <w:p w14:paraId="2CE87757" w14:textId="53B68297" w:rsidR="00772613" w:rsidRDefault="00772613" w:rsidP="00772613">
      <w:pPr>
        <w:numPr>
          <w:ilvl w:val="0"/>
          <w:numId w:val="1"/>
        </w:numPr>
      </w:pPr>
      <w:r>
        <w:t>3GPP TS 38.211, “</w:t>
      </w:r>
      <w:r w:rsidR="00C60A22">
        <w:t xml:space="preserve">NR; </w:t>
      </w:r>
      <w:r w:rsidR="001D2024" w:rsidRPr="001D2024">
        <w:t xml:space="preserve">Physical channels and modulation </w:t>
      </w:r>
      <w:r>
        <w:t>(Release 17)”</w:t>
      </w:r>
    </w:p>
    <w:p w14:paraId="4D0B34FB" w14:textId="216A72F9" w:rsidR="000F4E57" w:rsidRDefault="001D2024" w:rsidP="000F4E57">
      <w:pPr>
        <w:numPr>
          <w:ilvl w:val="0"/>
          <w:numId w:val="1"/>
        </w:numPr>
      </w:pPr>
      <w:r>
        <w:t>3GPP TS 38.213, “</w:t>
      </w:r>
      <w:r w:rsidR="00C60A22">
        <w:t xml:space="preserve">NR; </w:t>
      </w:r>
      <w:r w:rsidR="00C60A22" w:rsidRPr="00C60A22">
        <w:t xml:space="preserve">Physical layer procedures for control </w:t>
      </w:r>
      <w:r>
        <w:t>(Release 17)</w:t>
      </w:r>
      <w:r w:rsidR="000F4E57">
        <w:t>”</w:t>
      </w:r>
    </w:p>
    <w:p w14:paraId="106048EB" w14:textId="392B4BE4" w:rsidR="00BE2768" w:rsidRDefault="007B5F33" w:rsidP="000F4E57">
      <w:pPr>
        <w:numPr>
          <w:ilvl w:val="0"/>
          <w:numId w:val="1"/>
        </w:numPr>
      </w:pPr>
      <w:r>
        <w:t>R4-2214473</w:t>
      </w:r>
      <w:r w:rsidR="0089071E">
        <w:t>, “</w:t>
      </w:r>
      <w:r w:rsidR="0089071E" w:rsidRPr="0089071E">
        <w:t>WF on performance part for NR NTN</w:t>
      </w:r>
      <w:r w:rsidR="0089071E">
        <w:t>”, Xiaomi, RAN4#10</w:t>
      </w:r>
      <w:r w:rsidR="000F4E57">
        <w:t>4-e</w:t>
      </w:r>
    </w:p>
    <w:p w14:paraId="1C47F627" w14:textId="3C978094" w:rsidR="00E20903" w:rsidRDefault="00982FFB" w:rsidP="000F4E57">
      <w:pPr>
        <w:numPr>
          <w:ilvl w:val="0"/>
          <w:numId w:val="1"/>
        </w:numPr>
      </w:pPr>
      <w:r>
        <w:t>R4-23</w:t>
      </w:r>
      <w:r w:rsidR="000C290D">
        <w:t>03147,</w:t>
      </w:r>
      <w:r>
        <w:t xml:space="preserve"> “</w:t>
      </w:r>
      <w:r w:rsidR="00311A72" w:rsidRPr="00311A72">
        <w:t>WF on Rel-17 NR NTN RRM Performance requirements</w:t>
      </w:r>
      <w:r>
        <w:t xml:space="preserve">”, </w:t>
      </w:r>
      <w:r w:rsidR="00311A72">
        <w:t>Xiaomi</w:t>
      </w:r>
      <w:r>
        <w:t>, RAN4#106</w:t>
      </w:r>
    </w:p>
    <w:p w14:paraId="582E18A6" w14:textId="77777777" w:rsidR="0060115C" w:rsidRDefault="0060115C" w:rsidP="0060115C">
      <w:pPr>
        <w:numPr>
          <w:ilvl w:val="0"/>
          <w:numId w:val="1"/>
        </w:numPr>
      </w:pPr>
      <w:r>
        <w:t>R4-2213860, “</w:t>
      </w:r>
      <w:r w:rsidRPr="00D03071">
        <w:t>Discussion on UE NTN demod PDSCH</w:t>
      </w:r>
      <w:r>
        <w:t>”, Huawei, HiSilicon, RAN4#104-e</w:t>
      </w:r>
    </w:p>
    <w:p w14:paraId="3BD651FA" w14:textId="5C3D865D" w:rsidR="00F412AF" w:rsidRDefault="00F412AF" w:rsidP="000F4E57">
      <w:pPr>
        <w:numPr>
          <w:ilvl w:val="0"/>
          <w:numId w:val="1"/>
        </w:numPr>
      </w:pPr>
      <w:r>
        <w:t>R4-2300775, “</w:t>
      </w:r>
      <w:r w:rsidR="00CB205B" w:rsidRPr="00CB205B">
        <w:t>Discussion on RRM test parameter configuration for NTN</w:t>
      </w:r>
      <w:r w:rsidR="00CB205B">
        <w:t>”, CMCC, RAN4#106</w:t>
      </w:r>
    </w:p>
    <w:p w14:paraId="589538A4" w14:textId="77777777" w:rsidR="00556F4A" w:rsidRDefault="00556F4A" w:rsidP="00556F4A">
      <w:pPr>
        <w:numPr>
          <w:ilvl w:val="0"/>
          <w:numId w:val="1"/>
        </w:numPr>
      </w:pPr>
      <w:r>
        <w:t>R4-2303295, “</w:t>
      </w:r>
      <w:r w:rsidRPr="00CF0637">
        <w:t>draftCR on setup for NTN RRM test cases</w:t>
      </w:r>
      <w:r>
        <w:t>”, Huawei, HiSilicon, RAN4#106</w:t>
      </w:r>
    </w:p>
    <w:p w14:paraId="5A885763" w14:textId="3B4E806B" w:rsidR="00F722E8" w:rsidRDefault="00F722E8" w:rsidP="000F4E57">
      <w:pPr>
        <w:numPr>
          <w:ilvl w:val="0"/>
          <w:numId w:val="1"/>
        </w:numPr>
      </w:pPr>
      <w:r>
        <w:t xml:space="preserve">R4-2119586, </w:t>
      </w:r>
      <w:r w:rsidR="00271982">
        <w:t>“</w:t>
      </w:r>
      <w:r w:rsidR="00271982" w:rsidRPr="007F4D43">
        <w:t>General and RRM requirements impacts</w:t>
      </w:r>
      <w:r w:rsidR="00271982">
        <w:t>”, Qualcomm Incorporated, RAN4#101-e</w:t>
      </w:r>
    </w:p>
    <w:p w14:paraId="26BF27A3" w14:textId="227CF85C" w:rsidR="002E77DC" w:rsidRDefault="002E77DC" w:rsidP="000F4E57">
      <w:pPr>
        <w:numPr>
          <w:ilvl w:val="0"/>
          <w:numId w:val="1"/>
        </w:numPr>
      </w:pPr>
      <w:r>
        <w:t>R4-2218407, “</w:t>
      </w:r>
      <w:r w:rsidRPr="002E77DC">
        <w:t>Open Issues in UE and Satellite position details</w:t>
      </w:r>
      <w:r>
        <w:t>”, RAN4#105</w:t>
      </w:r>
    </w:p>
    <w:p w14:paraId="43121AAE" w14:textId="32AA2F38" w:rsidR="00A12523" w:rsidRDefault="003B0397" w:rsidP="000F4E57">
      <w:pPr>
        <w:numPr>
          <w:ilvl w:val="0"/>
          <w:numId w:val="1"/>
        </w:numPr>
      </w:pPr>
      <w:r>
        <w:t>R4-2214386, “</w:t>
      </w:r>
      <w:r w:rsidR="00985664" w:rsidRPr="00985664">
        <w:t>WF for NTN demodulation requirements - general and PDSCH</w:t>
      </w:r>
      <w:r>
        <w:t>”</w:t>
      </w:r>
      <w:r w:rsidR="00985664">
        <w:t>, Qualcomm Incorporated, RAN4#104</w:t>
      </w:r>
      <w:r w:rsidR="00B27876">
        <w:t>-e</w:t>
      </w:r>
    </w:p>
    <w:p w14:paraId="1752D934" w14:textId="5E009E25" w:rsidR="003B0397" w:rsidRDefault="003B0397" w:rsidP="000F4E57">
      <w:pPr>
        <w:numPr>
          <w:ilvl w:val="0"/>
          <w:numId w:val="1"/>
        </w:numPr>
      </w:pPr>
      <w:r>
        <w:t>R4-2217480, “</w:t>
      </w:r>
      <w:r w:rsidR="00855B23" w:rsidRPr="00855B23">
        <w:t>Email discussion summary for [104-bis-e][317] NR_NTN_Demod_Part1</w:t>
      </w:r>
      <w:r>
        <w:t>”</w:t>
      </w:r>
      <w:r w:rsidR="00855B23">
        <w:t>, Moderator (Qualcomm incorporated), RAN4-bis-e</w:t>
      </w:r>
    </w:p>
    <w:p w14:paraId="530D8875" w14:textId="60CC964C" w:rsidR="00243E46" w:rsidRDefault="00243E46" w:rsidP="000F4E57">
      <w:pPr>
        <w:numPr>
          <w:ilvl w:val="0"/>
          <w:numId w:val="1"/>
        </w:numPr>
      </w:pPr>
      <w:r>
        <w:t>R5-23</w:t>
      </w:r>
      <w:r w:rsidR="00FC4BEA">
        <w:t>3227, “</w:t>
      </w:r>
      <w:r w:rsidR="00FC4BEA" w:rsidRPr="00FC4BEA">
        <w:t>Delays in NR NTN communications</w:t>
      </w:r>
      <w:r w:rsidR="00FC4BEA">
        <w:t>”, Keysight Technologies UK Ltd, RAN5#99</w:t>
      </w:r>
    </w:p>
    <w:sectPr w:rsidR="00243E4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3.25pt;height:75pt" o:bullet="t">
        <v:imagedata r:id="rId1" o:title=""/>
      </v:shape>
    </w:pict>
  </w:numPicBullet>
  <w:abstractNum w:abstractNumId="0"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4"/>
  </w:num>
  <w:num w:numId="2" w16cid:durableId="674573466">
    <w:abstractNumId w:val="23"/>
  </w:num>
  <w:num w:numId="3" w16cid:durableId="1215123748">
    <w:abstractNumId w:val="30"/>
  </w:num>
  <w:num w:numId="4" w16cid:durableId="598829358">
    <w:abstractNumId w:val="10"/>
  </w:num>
  <w:num w:numId="5" w16cid:durableId="1197962686">
    <w:abstractNumId w:val="9"/>
  </w:num>
  <w:num w:numId="6" w16cid:durableId="1340962127">
    <w:abstractNumId w:val="2"/>
  </w:num>
  <w:num w:numId="7" w16cid:durableId="701638251">
    <w:abstractNumId w:val="28"/>
  </w:num>
  <w:num w:numId="8" w16cid:durableId="299697757">
    <w:abstractNumId w:val="27"/>
  </w:num>
  <w:num w:numId="9" w16cid:durableId="14897082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1"/>
  </w:num>
  <w:num w:numId="11" w16cid:durableId="294676756">
    <w:abstractNumId w:val="12"/>
  </w:num>
  <w:num w:numId="12" w16cid:durableId="1659845480">
    <w:abstractNumId w:val="8"/>
  </w:num>
  <w:num w:numId="13" w16cid:durableId="987200632">
    <w:abstractNumId w:val="12"/>
  </w:num>
  <w:num w:numId="14" w16cid:durableId="1808625454">
    <w:abstractNumId w:val="5"/>
  </w:num>
  <w:num w:numId="15" w16cid:durableId="2076538487">
    <w:abstractNumId w:val="29"/>
  </w:num>
  <w:num w:numId="16" w16cid:durableId="45227462">
    <w:abstractNumId w:val="8"/>
  </w:num>
  <w:num w:numId="17" w16cid:durableId="1950314364">
    <w:abstractNumId w:val="0"/>
  </w:num>
  <w:num w:numId="18" w16cid:durableId="1228416169">
    <w:abstractNumId w:val="22"/>
  </w:num>
  <w:num w:numId="19" w16cid:durableId="568423750">
    <w:abstractNumId w:val="7"/>
  </w:num>
  <w:num w:numId="20" w16cid:durableId="1049836871">
    <w:abstractNumId w:val="15"/>
  </w:num>
  <w:num w:numId="21" w16cid:durableId="2063555603">
    <w:abstractNumId w:val="6"/>
  </w:num>
  <w:num w:numId="22" w16cid:durableId="199784192">
    <w:abstractNumId w:val="17"/>
  </w:num>
  <w:num w:numId="23" w16cid:durableId="489100371">
    <w:abstractNumId w:val="26"/>
  </w:num>
  <w:num w:numId="24" w16cid:durableId="1947732740">
    <w:abstractNumId w:val="36"/>
  </w:num>
  <w:num w:numId="25" w16cid:durableId="949319967">
    <w:abstractNumId w:val="20"/>
  </w:num>
  <w:num w:numId="26" w16cid:durableId="1745175478">
    <w:abstractNumId w:val="16"/>
  </w:num>
  <w:num w:numId="27" w16cid:durableId="1901289480">
    <w:abstractNumId w:val="25"/>
  </w:num>
  <w:num w:numId="28" w16cid:durableId="1570731475">
    <w:abstractNumId w:val="8"/>
  </w:num>
  <w:num w:numId="29" w16cid:durableId="1935942132">
    <w:abstractNumId w:val="6"/>
  </w:num>
  <w:num w:numId="30" w16cid:durableId="1280382125">
    <w:abstractNumId w:val="15"/>
  </w:num>
  <w:num w:numId="31" w16cid:durableId="1863544644">
    <w:abstractNumId w:val="7"/>
  </w:num>
  <w:num w:numId="32" w16cid:durableId="1134564539">
    <w:abstractNumId w:val="17"/>
  </w:num>
  <w:num w:numId="33" w16cid:durableId="2092385262">
    <w:abstractNumId w:val="4"/>
  </w:num>
  <w:num w:numId="34" w16cid:durableId="889420891">
    <w:abstractNumId w:val="13"/>
  </w:num>
  <w:num w:numId="35" w16cid:durableId="2135175162">
    <w:abstractNumId w:val="33"/>
  </w:num>
  <w:num w:numId="36" w16cid:durableId="1477332319">
    <w:abstractNumId w:val="1"/>
  </w:num>
  <w:num w:numId="37" w16cid:durableId="105731332">
    <w:abstractNumId w:val="14"/>
  </w:num>
  <w:num w:numId="38" w16cid:durableId="847057103">
    <w:abstractNumId w:val="11"/>
  </w:num>
  <w:num w:numId="39" w16cid:durableId="52434079">
    <w:abstractNumId w:val="32"/>
  </w:num>
  <w:num w:numId="40" w16cid:durableId="1380864455">
    <w:abstractNumId w:val="19"/>
  </w:num>
  <w:num w:numId="41" w16cid:durableId="19162608">
    <w:abstractNumId w:val="3"/>
  </w:num>
  <w:num w:numId="42" w16cid:durableId="2097171641">
    <w:abstractNumId w:val="34"/>
  </w:num>
  <w:num w:numId="43" w16cid:durableId="199439540">
    <w:abstractNumId w:val="35"/>
  </w:num>
  <w:num w:numId="44" w16cid:durableId="613025637">
    <w:abstractNumId w:val="21"/>
  </w:num>
  <w:num w:numId="45" w16cid:durableId="135079225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1D95"/>
    <w:rsid w:val="000F1FA9"/>
    <w:rsid w:val="000F2295"/>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D1D"/>
    <w:rsid w:val="00141650"/>
    <w:rsid w:val="00141789"/>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4505"/>
    <w:rsid w:val="00164571"/>
    <w:rsid w:val="00164EE1"/>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5166"/>
    <w:rsid w:val="001E74D4"/>
    <w:rsid w:val="001F193B"/>
    <w:rsid w:val="001F1B7D"/>
    <w:rsid w:val="001F23DF"/>
    <w:rsid w:val="001F28E4"/>
    <w:rsid w:val="001F302F"/>
    <w:rsid w:val="001F415A"/>
    <w:rsid w:val="001F4818"/>
    <w:rsid w:val="001F52D2"/>
    <w:rsid w:val="001F5365"/>
    <w:rsid w:val="001F5513"/>
    <w:rsid w:val="001F560B"/>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17AC"/>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21AF"/>
    <w:rsid w:val="00222D66"/>
    <w:rsid w:val="00222E55"/>
    <w:rsid w:val="0022333C"/>
    <w:rsid w:val="00223BB0"/>
    <w:rsid w:val="00224004"/>
    <w:rsid w:val="00224375"/>
    <w:rsid w:val="00225172"/>
    <w:rsid w:val="0022764A"/>
    <w:rsid w:val="0022768E"/>
    <w:rsid w:val="0022788C"/>
    <w:rsid w:val="00227CA3"/>
    <w:rsid w:val="00227DD5"/>
    <w:rsid w:val="002302DD"/>
    <w:rsid w:val="002308DD"/>
    <w:rsid w:val="00230CC7"/>
    <w:rsid w:val="00232E87"/>
    <w:rsid w:val="0023389E"/>
    <w:rsid w:val="00233A0E"/>
    <w:rsid w:val="00233A76"/>
    <w:rsid w:val="00235273"/>
    <w:rsid w:val="002356C4"/>
    <w:rsid w:val="00235A4B"/>
    <w:rsid w:val="00235C36"/>
    <w:rsid w:val="00237300"/>
    <w:rsid w:val="00237BD5"/>
    <w:rsid w:val="00237F26"/>
    <w:rsid w:val="002405A6"/>
    <w:rsid w:val="002414AB"/>
    <w:rsid w:val="00241665"/>
    <w:rsid w:val="00241773"/>
    <w:rsid w:val="00242909"/>
    <w:rsid w:val="00243E46"/>
    <w:rsid w:val="00244785"/>
    <w:rsid w:val="0024666D"/>
    <w:rsid w:val="0024690C"/>
    <w:rsid w:val="00246B35"/>
    <w:rsid w:val="002476C8"/>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65F7"/>
    <w:rsid w:val="00366859"/>
    <w:rsid w:val="003700B1"/>
    <w:rsid w:val="003702C7"/>
    <w:rsid w:val="00370D0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2095B"/>
    <w:rsid w:val="00421CC7"/>
    <w:rsid w:val="004223D4"/>
    <w:rsid w:val="004234E9"/>
    <w:rsid w:val="00424797"/>
    <w:rsid w:val="00424A39"/>
    <w:rsid w:val="0043180B"/>
    <w:rsid w:val="00431A16"/>
    <w:rsid w:val="00432734"/>
    <w:rsid w:val="0043290B"/>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D9E"/>
    <w:rsid w:val="0047003F"/>
    <w:rsid w:val="004700BF"/>
    <w:rsid w:val="00470C09"/>
    <w:rsid w:val="00471253"/>
    <w:rsid w:val="0047165E"/>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6686"/>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D13F6"/>
    <w:rsid w:val="004D1622"/>
    <w:rsid w:val="004D17AA"/>
    <w:rsid w:val="004D3585"/>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4334"/>
    <w:rsid w:val="00514836"/>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B6D"/>
    <w:rsid w:val="00532DE4"/>
    <w:rsid w:val="005341AC"/>
    <w:rsid w:val="00534C0E"/>
    <w:rsid w:val="00534D95"/>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505E"/>
    <w:rsid w:val="00555667"/>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CAA"/>
    <w:rsid w:val="005C7AB3"/>
    <w:rsid w:val="005C7E26"/>
    <w:rsid w:val="005D1530"/>
    <w:rsid w:val="005D1EA9"/>
    <w:rsid w:val="005D2BEE"/>
    <w:rsid w:val="005D3879"/>
    <w:rsid w:val="005D3A05"/>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75B3"/>
    <w:rsid w:val="006D0475"/>
    <w:rsid w:val="006D04F2"/>
    <w:rsid w:val="006D0C24"/>
    <w:rsid w:val="006D1C32"/>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D43"/>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5AB"/>
    <w:rsid w:val="008843F7"/>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220C"/>
    <w:rsid w:val="008F23AA"/>
    <w:rsid w:val="008F2B04"/>
    <w:rsid w:val="008F2D12"/>
    <w:rsid w:val="008F302B"/>
    <w:rsid w:val="008F3089"/>
    <w:rsid w:val="008F314B"/>
    <w:rsid w:val="008F3697"/>
    <w:rsid w:val="008F3EA8"/>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652F"/>
    <w:rsid w:val="00A86585"/>
    <w:rsid w:val="00A9051F"/>
    <w:rsid w:val="00A90CFF"/>
    <w:rsid w:val="00A9131D"/>
    <w:rsid w:val="00A92091"/>
    <w:rsid w:val="00A931F4"/>
    <w:rsid w:val="00A93337"/>
    <w:rsid w:val="00A93A41"/>
    <w:rsid w:val="00A946C9"/>
    <w:rsid w:val="00A948A5"/>
    <w:rsid w:val="00A94933"/>
    <w:rsid w:val="00A94A25"/>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E31"/>
    <w:rsid w:val="00B60568"/>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442F"/>
    <w:rsid w:val="00BB52E6"/>
    <w:rsid w:val="00BB5DFD"/>
    <w:rsid w:val="00BB5E63"/>
    <w:rsid w:val="00BB6A34"/>
    <w:rsid w:val="00BB7CEA"/>
    <w:rsid w:val="00BC23EB"/>
    <w:rsid w:val="00BC2FCB"/>
    <w:rsid w:val="00BC38AC"/>
    <w:rsid w:val="00BC3AAF"/>
    <w:rsid w:val="00BC3BBE"/>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3841"/>
    <w:rsid w:val="00C63EF5"/>
    <w:rsid w:val="00C64EA8"/>
    <w:rsid w:val="00C65438"/>
    <w:rsid w:val="00C6572F"/>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6D69"/>
    <w:rsid w:val="00D16F95"/>
    <w:rsid w:val="00D17A5C"/>
    <w:rsid w:val="00D17D18"/>
    <w:rsid w:val="00D222A5"/>
    <w:rsid w:val="00D22597"/>
    <w:rsid w:val="00D2278A"/>
    <w:rsid w:val="00D22D26"/>
    <w:rsid w:val="00D22EAB"/>
    <w:rsid w:val="00D23AD9"/>
    <w:rsid w:val="00D2529E"/>
    <w:rsid w:val="00D267A7"/>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A14"/>
    <w:rsid w:val="00D42DA1"/>
    <w:rsid w:val="00D43155"/>
    <w:rsid w:val="00D43454"/>
    <w:rsid w:val="00D4380A"/>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C81"/>
    <w:rsid w:val="00D77DC0"/>
    <w:rsid w:val="00D818D7"/>
    <w:rsid w:val="00D81AA4"/>
    <w:rsid w:val="00D81C65"/>
    <w:rsid w:val="00D827D7"/>
    <w:rsid w:val="00D84406"/>
    <w:rsid w:val="00D84C49"/>
    <w:rsid w:val="00D8571B"/>
    <w:rsid w:val="00D86166"/>
    <w:rsid w:val="00D86BF9"/>
    <w:rsid w:val="00D87318"/>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F0574"/>
    <w:rsid w:val="00DF0961"/>
    <w:rsid w:val="00DF0DB1"/>
    <w:rsid w:val="00DF1D40"/>
    <w:rsid w:val="00DF2DFA"/>
    <w:rsid w:val="00DF2FB5"/>
    <w:rsid w:val="00DF34AD"/>
    <w:rsid w:val="00DF3B8A"/>
    <w:rsid w:val="00DF3E2D"/>
    <w:rsid w:val="00DF5388"/>
    <w:rsid w:val="00DF61FA"/>
    <w:rsid w:val="00DF7479"/>
    <w:rsid w:val="00E01775"/>
    <w:rsid w:val="00E01DFD"/>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B97"/>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1163</Words>
  <Characters>6632</Characters>
  <Application>Microsoft Office Word</Application>
  <DocSecurity>0</DocSecurity>
  <Lines>55</Lines>
  <Paragraphs>15</Paragraphs>
  <ScaleCrop>false</ScaleCrop>
  <Company>ETSI Sophia-Antipolis</Company>
  <LinksUpToDate>false</LinksUpToDate>
  <CharactersWithSpaces>7780</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7</cp:revision>
  <dcterms:created xsi:type="dcterms:W3CDTF">2023-08-12T02:38:00Z</dcterms:created>
  <dcterms:modified xsi:type="dcterms:W3CDTF">2023-08-12T02:41:00Z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