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AF278D" w14:textId="3D0A34AE" w:rsidR="009B4566" w:rsidRPr="00C371AE" w:rsidRDefault="00C371AE" w:rsidP="009B4566">
      <w:pPr>
        <w:pStyle w:val="CRCoverPage"/>
        <w:tabs>
          <w:tab w:val="right" w:pos="9639"/>
        </w:tabs>
        <w:spacing w:after="0"/>
        <w:rPr>
          <w:b/>
          <w:i/>
          <w:noProof/>
          <w:sz w:val="28"/>
          <w:lang w:eastAsia="ja-JP"/>
        </w:rPr>
      </w:pPr>
      <w:r w:rsidRPr="00AF5D42">
        <w:rPr>
          <w:b/>
          <w:noProof/>
          <w:sz w:val="24"/>
        </w:rPr>
        <w:t xml:space="preserve">3GPP TSG-RAN WG5 Meeting </w:t>
      </w:r>
      <w:r w:rsidRPr="00AF5D42">
        <w:rPr>
          <w:b/>
          <w:noProof/>
          <w:sz w:val="24"/>
          <w:lang w:eastAsia="ja-JP"/>
        </w:rPr>
        <w:t>#</w:t>
      </w:r>
      <w:r w:rsidR="00177EEE">
        <w:rPr>
          <w:rFonts w:hint="eastAsia"/>
          <w:b/>
          <w:noProof/>
          <w:sz w:val="24"/>
          <w:lang w:eastAsia="ja-JP"/>
        </w:rPr>
        <w:t>80</w:t>
      </w:r>
      <w:r w:rsidR="00526F08">
        <w:rPr>
          <w:b/>
          <w:noProof/>
          <w:sz w:val="24"/>
          <w:lang w:eastAsia="ja-JP"/>
        </w:rPr>
        <w:t xml:space="preserve"> Ad-hoc</w:t>
      </w:r>
      <w:r w:rsidR="009B4566" w:rsidRPr="00AF5D42">
        <w:rPr>
          <w:b/>
          <w:noProof/>
          <w:sz w:val="28"/>
        </w:rPr>
        <w:tab/>
      </w:r>
      <w:r w:rsidR="005A2619" w:rsidRPr="005A2619">
        <w:rPr>
          <w:b/>
          <w:i/>
          <w:noProof/>
          <w:sz w:val="28"/>
        </w:rPr>
        <w:t>R5-18</w:t>
      </w:r>
      <w:r w:rsidR="001C20F6">
        <w:rPr>
          <w:b/>
          <w:i/>
          <w:noProof/>
          <w:sz w:val="28"/>
        </w:rPr>
        <w:t>5989</w:t>
      </w:r>
    </w:p>
    <w:p w14:paraId="698D2144" w14:textId="77777777" w:rsidR="009B4566" w:rsidRPr="00641215" w:rsidRDefault="00526F08" w:rsidP="009B4566">
      <w:pPr>
        <w:pStyle w:val="CRCoverPage"/>
        <w:outlineLvl w:val="0"/>
        <w:rPr>
          <w:b/>
          <w:noProof/>
          <w:sz w:val="24"/>
        </w:rPr>
      </w:pPr>
      <w:r>
        <w:rPr>
          <w:b/>
          <w:noProof/>
          <w:sz w:val="24"/>
        </w:rPr>
        <w:t>Jaipur</w:t>
      </w:r>
      <w:r w:rsidR="005646A1">
        <w:rPr>
          <w:b/>
          <w:noProof/>
          <w:sz w:val="24"/>
        </w:rPr>
        <w:t xml:space="preserve">, </w:t>
      </w:r>
      <w:r>
        <w:rPr>
          <w:b/>
          <w:noProof/>
          <w:sz w:val="24"/>
        </w:rPr>
        <w:t>India</w:t>
      </w:r>
      <w:r w:rsidR="005646A1">
        <w:rPr>
          <w:b/>
          <w:noProof/>
          <w:sz w:val="24"/>
        </w:rPr>
        <w:t xml:space="preserve">, </w:t>
      </w:r>
      <w:r w:rsidR="007723D5">
        <w:rPr>
          <w:b/>
          <w:noProof/>
          <w:sz w:val="24"/>
        </w:rPr>
        <w:t>8</w:t>
      </w:r>
      <w:r w:rsidR="005646A1" w:rsidRPr="005646A1">
        <w:rPr>
          <w:b/>
          <w:noProof/>
          <w:sz w:val="24"/>
          <w:vertAlign w:val="superscript"/>
        </w:rPr>
        <w:t>th</w:t>
      </w:r>
      <w:r w:rsidR="005646A1">
        <w:rPr>
          <w:b/>
          <w:noProof/>
          <w:sz w:val="24"/>
        </w:rPr>
        <w:t xml:space="preserve"> - </w:t>
      </w:r>
      <w:r w:rsidR="007723D5">
        <w:rPr>
          <w:b/>
          <w:noProof/>
          <w:sz w:val="24"/>
        </w:rPr>
        <w:t>12</w:t>
      </w:r>
      <w:r w:rsidR="005646A1" w:rsidRPr="005646A1">
        <w:rPr>
          <w:b/>
          <w:noProof/>
          <w:sz w:val="24"/>
          <w:vertAlign w:val="superscript"/>
        </w:rPr>
        <w:t>th</w:t>
      </w:r>
      <w:r w:rsidR="005646A1">
        <w:rPr>
          <w:b/>
          <w:noProof/>
          <w:sz w:val="24"/>
        </w:rPr>
        <w:t xml:space="preserve"> </w:t>
      </w:r>
      <w:r>
        <w:rPr>
          <w:b/>
          <w:noProof/>
          <w:sz w:val="24"/>
        </w:rPr>
        <w:t>Oct</w:t>
      </w:r>
      <w:r w:rsidR="005646A1">
        <w:rPr>
          <w:b/>
          <w:noProof/>
          <w:sz w:val="24"/>
        </w:rPr>
        <w:t xml:space="preserve"> 2018</w:t>
      </w:r>
    </w:p>
    <w:p w14:paraId="66420DC2" w14:textId="77777777" w:rsidR="009B4566" w:rsidRPr="00FB133E" w:rsidRDefault="009B4566" w:rsidP="009B4566">
      <w:pPr>
        <w:rPr>
          <w:rFonts w:ascii="Arial" w:hAnsi="Arial" w:cs="Arial"/>
          <w:lang w:eastAsia="ja-JP"/>
        </w:rPr>
      </w:pPr>
    </w:p>
    <w:p w14:paraId="0F16C670" w14:textId="0E554357" w:rsidR="009B4566" w:rsidRPr="00F27276" w:rsidRDefault="00B57965" w:rsidP="00BB62E5">
      <w:pPr>
        <w:ind w:left="2023" w:hangingChars="850" w:hanging="2023"/>
        <w:rPr>
          <w:rFonts w:ascii="Arial" w:hAnsi="Arial" w:cs="Arial"/>
          <w:b/>
          <w:sz w:val="22"/>
          <w:lang w:eastAsia="ja-JP"/>
        </w:rPr>
      </w:pPr>
      <w:r w:rsidRPr="00264F77">
        <w:rPr>
          <w:rFonts w:ascii="Arial" w:hAnsi="Arial" w:cs="Arial" w:hint="eastAsia"/>
          <w:b/>
          <w:sz w:val="22"/>
          <w:lang w:eastAsia="ja-JP"/>
        </w:rPr>
        <w:t>Title</w:t>
      </w:r>
      <w:r w:rsidR="009B4566" w:rsidRPr="00264F77">
        <w:rPr>
          <w:rFonts w:ascii="Arial" w:hAnsi="Arial" w:cs="Arial" w:hint="eastAsia"/>
          <w:b/>
          <w:sz w:val="22"/>
          <w:lang w:eastAsia="ja-JP"/>
        </w:rPr>
        <w:t>:</w:t>
      </w:r>
      <w:r w:rsidR="006B4CA5" w:rsidRPr="00264F77">
        <w:rPr>
          <w:rFonts w:ascii="Arial" w:hAnsi="Arial" w:cs="Arial" w:hint="eastAsia"/>
          <w:b/>
          <w:sz w:val="22"/>
          <w:lang w:eastAsia="ja-JP"/>
        </w:rPr>
        <w:tab/>
      </w:r>
      <w:r w:rsidR="009A00AA" w:rsidRPr="009A00AA">
        <w:rPr>
          <w:rFonts w:ascii="Arial" w:hAnsi="Arial" w:cs="Arial"/>
          <w:b/>
          <w:sz w:val="22"/>
          <w:lang w:eastAsia="ja-JP"/>
        </w:rPr>
        <w:t>Consideration of MU study in different frequency ranges</w:t>
      </w:r>
    </w:p>
    <w:p w14:paraId="77C76CEF" w14:textId="50E2E43C" w:rsidR="009B4566" w:rsidRPr="00641215" w:rsidRDefault="00641215" w:rsidP="00BB62E5">
      <w:pPr>
        <w:ind w:left="2023" w:hangingChars="850" w:hanging="2023"/>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005A2619" w:rsidRPr="005A2619">
        <w:rPr>
          <w:rFonts w:ascii="Arial" w:hAnsi="Arial" w:cs="Arial"/>
          <w:b/>
          <w:sz w:val="22"/>
          <w:lang w:eastAsia="ja-JP"/>
        </w:rPr>
        <w:t>Apple Inc.</w:t>
      </w:r>
      <w:r w:rsidR="007779F6">
        <w:rPr>
          <w:rFonts w:ascii="Arial" w:hAnsi="Arial" w:cs="Arial"/>
          <w:b/>
          <w:sz w:val="22"/>
          <w:lang w:eastAsia="ja-JP"/>
        </w:rPr>
        <w:t>,</w:t>
      </w:r>
      <w:r w:rsidR="00D5204F">
        <w:rPr>
          <w:rFonts w:ascii="Arial" w:hAnsi="Arial" w:cs="Arial"/>
          <w:b/>
          <w:sz w:val="22"/>
          <w:lang w:eastAsia="ja-JP"/>
        </w:rPr>
        <w:t xml:space="preserve"> Intel</w:t>
      </w:r>
      <w:r w:rsidR="007779F6">
        <w:rPr>
          <w:rFonts w:ascii="Arial" w:hAnsi="Arial" w:cs="Arial"/>
          <w:b/>
          <w:sz w:val="22"/>
          <w:lang w:eastAsia="ja-JP"/>
        </w:rPr>
        <w:t xml:space="preserve"> Corporation, OPPO, vivo</w:t>
      </w:r>
      <w:r w:rsidR="00D5204F">
        <w:rPr>
          <w:rFonts w:ascii="Arial" w:hAnsi="Arial" w:cs="Arial"/>
          <w:b/>
          <w:sz w:val="22"/>
          <w:lang w:eastAsia="ja-JP"/>
        </w:rPr>
        <w:t xml:space="preserve">, </w:t>
      </w:r>
      <w:proofErr w:type="spellStart"/>
      <w:r w:rsidR="00D5204F">
        <w:rPr>
          <w:rFonts w:ascii="Arial" w:hAnsi="Arial" w:cs="Arial"/>
          <w:b/>
          <w:sz w:val="22"/>
          <w:lang w:eastAsia="ja-JP"/>
        </w:rPr>
        <w:t>Xiaomi</w:t>
      </w:r>
      <w:proofErr w:type="spellEnd"/>
      <w:r w:rsidR="00467A63">
        <w:rPr>
          <w:rFonts w:ascii="Arial" w:hAnsi="Arial" w:cs="Arial"/>
          <w:b/>
          <w:sz w:val="22"/>
          <w:lang w:eastAsia="ja-JP"/>
        </w:rPr>
        <w:t>, Hua</w:t>
      </w:r>
      <w:r w:rsidR="00D16AE0">
        <w:rPr>
          <w:rFonts w:ascii="Arial" w:hAnsi="Arial" w:cs="Arial"/>
          <w:b/>
          <w:sz w:val="22"/>
          <w:lang w:eastAsia="ja-JP"/>
        </w:rPr>
        <w:t>w</w:t>
      </w:r>
      <w:bookmarkStart w:id="0" w:name="_GoBack"/>
      <w:bookmarkEnd w:id="0"/>
      <w:r w:rsidR="00D16AE0">
        <w:rPr>
          <w:rFonts w:ascii="Arial" w:hAnsi="Arial" w:cs="Arial"/>
          <w:b/>
          <w:sz w:val="22"/>
          <w:lang w:eastAsia="ja-JP"/>
        </w:rPr>
        <w:t>ei</w:t>
      </w:r>
    </w:p>
    <w:p w14:paraId="38AAFA25" w14:textId="1D4455A0" w:rsidR="006B4CA5" w:rsidRPr="00BB62E5" w:rsidRDefault="00B011B3" w:rsidP="00BB62E5">
      <w:pPr>
        <w:ind w:left="2023" w:hangingChars="850" w:hanging="2023"/>
        <w:rPr>
          <w:rFonts w:ascii="Arial" w:hAnsi="Arial" w:cs="Arial"/>
          <w:b/>
          <w:sz w:val="22"/>
          <w:lang w:eastAsia="ja-JP"/>
        </w:rPr>
      </w:pPr>
      <w:r w:rsidRPr="00BB62E5">
        <w:rPr>
          <w:rFonts w:ascii="Arial" w:hAnsi="Arial" w:cs="Arial"/>
          <w:b/>
          <w:sz w:val="22"/>
          <w:lang w:eastAsia="ja-JP"/>
        </w:rPr>
        <w:t>Agenda Item</w:t>
      </w:r>
      <w:r w:rsidR="009B4566" w:rsidRPr="00BB62E5">
        <w:rPr>
          <w:rFonts w:ascii="Arial" w:hAnsi="Arial" w:cs="Arial"/>
          <w:b/>
          <w:sz w:val="22"/>
          <w:lang w:eastAsia="ja-JP"/>
        </w:rPr>
        <w:t>:</w:t>
      </w:r>
      <w:r w:rsidRPr="00BB62E5">
        <w:rPr>
          <w:rFonts w:ascii="Arial" w:hAnsi="Arial" w:cs="Arial"/>
          <w:b/>
          <w:sz w:val="22"/>
          <w:lang w:eastAsia="ja-JP"/>
        </w:rPr>
        <w:tab/>
      </w:r>
      <w:r w:rsidR="009A00AA" w:rsidRPr="00BB62E5">
        <w:rPr>
          <w:rFonts w:ascii="Arial" w:hAnsi="Arial" w:cs="Arial"/>
          <w:b/>
          <w:sz w:val="22"/>
          <w:lang w:eastAsia="ja-JP"/>
        </w:rPr>
        <w:t>5.1.12</w:t>
      </w:r>
    </w:p>
    <w:p w14:paraId="124B37E2" w14:textId="61958D8D" w:rsidR="009B4566" w:rsidRPr="00BB62E5" w:rsidRDefault="009B4566" w:rsidP="00BB62E5">
      <w:pPr>
        <w:ind w:left="2023" w:hangingChars="850" w:hanging="2023"/>
        <w:rPr>
          <w:rFonts w:ascii="Arial" w:hAnsi="Arial" w:cs="Arial"/>
          <w:b/>
          <w:sz w:val="22"/>
          <w:lang w:eastAsia="ja-JP"/>
        </w:rPr>
      </w:pPr>
      <w:r w:rsidRPr="00BB62E5">
        <w:rPr>
          <w:rFonts w:ascii="Arial" w:hAnsi="Arial" w:cs="Arial"/>
          <w:b/>
          <w:sz w:val="22"/>
          <w:lang w:eastAsia="ja-JP"/>
        </w:rPr>
        <w:t>Document for:</w:t>
      </w:r>
      <w:r w:rsidRPr="00BB62E5">
        <w:rPr>
          <w:rFonts w:ascii="Arial" w:hAnsi="Arial" w:cs="Arial"/>
          <w:b/>
          <w:sz w:val="22"/>
          <w:lang w:eastAsia="ja-JP"/>
        </w:rPr>
        <w:tab/>
      </w:r>
      <w:r w:rsidR="00DA3F00" w:rsidRPr="00BB62E5">
        <w:rPr>
          <w:rFonts w:ascii="Arial" w:hAnsi="Arial" w:cs="Arial"/>
          <w:b/>
          <w:sz w:val="22"/>
          <w:lang w:eastAsia="ja-JP"/>
        </w:rPr>
        <w:t xml:space="preserve">Discussion and </w:t>
      </w:r>
      <w:r w:rsidR="009A7341" w:rsidRPr="00BB62E5">
        <w:rPr>
          <w:rFonts w:ascii="Arial" w:hAnsi="Arial" w:cs="Arial"/>
          <w:b/>
          <w:sz w:val="22"/>
          <w:lang w:eastAsia="ja-JP"/>
        </w:rPr>
        <w:t>Endorsement</w:t>
      </w:r>
    </w:p>
    <w:p w14:paraId="6AAB95CB" w14:textId="77777777" w:rsidR="009B4566" w:rsidRPr="00641215" w:rsidRDefault="009B4566" w:rsidP="009B4566">
      <w:pPr>
        <w:pStyle w:val="Heading1"/>
        <w:rPr>
          <w:lang w:eastAsia="ja-JP"/>
        </w:rPr>
      </w:pPr>
      <w:r w:rsidRPr="00641215">
        <w:rPr>
          <w:rFonts w:hint="eastAsia"/>
          <w:lang w:eastAsia="ja-JP"/>
        </w:rPr>
        <w:t>Introduction</w:t>
      </w:r>
    </w:p>
    <w:p w14:paraId="38FABF1F" w14:textId="49BA4B2B" w:rsidR="009A00AA" w:rsidRPr="00626247" w:rsidRDefault="00510229" w:rsidP="009A00AA">
      <w:pPr>
        <w:tabs>
          <w:tab w:val="num" w:pos="720"/>
        </w:tabs>
        <w:jc w:val="both"/>
        <w:rPr>
          <w:lang w:eastAsia="ja-JP"/>
        </w:rPr>
      </w:pPr>
      <w:r w:rsidRPr="00510229">
        <w:rPr>
          <w:lang w:eastAsia="ja-JP"/>
        </w:rPr>
        <w:t xml:space="preserve">During RAN5#77 meeting, discussion about Test Tolerance (TT) for Sub-6 GHz bands was started in RAN5. </w:t>
      </w:r>
      <w:r w:rsidR="009A00AA">
        <w:rPr>
          <w:lang w:eastAsia="ja-JP"/>
        </w:rPr>
        <w:t>The offline discussion on FR2 UE common test setup during the RAN5 Meeting #80 [1] captured the following options related to the frequency test points used to estimate the MU values as well as the eventual agreement:</w:t>
      </w:r>
    </w:p>
    <w:p w14:paraId="0682E374" w14:textId="77777777" w:rsidR="009A00AA" w:rsidRDefault="009A00AA" w:rsidP="009A00AA">
      <w:pPr>
        <w:tabs>
          <w:tab w:val="num" w:pos="720"/>
        </w:tabs>
        <w:jc w:val="both"/>
        <w:rPr>
          <w:lang w:val="en-US" w:eastAsia="ja-JP"/>
        </w:rPr>
      </w:pPr>
      <w:r>
        <w:rPr>
          <w:noProof/>
          <w:lang w:val="en-US"/>
        </w:rPr>
        <mc:AlternateContent>
          <mc:Choice Requires="wps">
            <w:drawing>
              <wp:inline distT="0" distB="0" distL="0" distR="0" wp14:anchorId="665C8ECA" wp14:editId="59B2FE3B">
                <wp:extent cx="6120765" cy="1662430"/>
                <wp:effectExtent l="0" t="0" r="1333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662430"/>
                        </a:xfrm>
                        <a:prstGeom prst="rect">
                          <a:avLst/>
                        </a:prstGeom>
                        <a:solidFill>
                          <a:srgbClr val="FFFFFF"/>
                        </a:solidFill>
                        <a:ln w="9525">
                          <a:solidFill>
                            <a:srgbClr val="000000"/>
                          </a:solidFill>
                          <a:miter lim="800000"/>
                          <a:headEnd/>
                          <a:tailEnd/>
                        </a:ln>
                      </wps:spPr>
                      <wps:txbx>
                        <w:txbxContent>
                          <w:p w14:paraId="5A43AFC2" w14:textId="77777777" w:rsidR="00467A63" w:rsidRPr="0055467C" w:rsidRDefault="00467A63" w:rsidP="009A00AA">
                            <w:pPr>
                              <w:ind w:left="284"/>
                              <w:rPr>
                                <w:lang w:eastAsia="ja-JP"/>
                              </w:rPr>
                            </w:pPr>
                            <w:r w:rsidRPr="0055467C">
                              <w:rPr>
                                <w:rFonts w:hint="eastAsia"/>
                                <w:lang w:eastAsia="ja-JP"/>
                              </w:rPr>
                              <w:t>Option 1: Per band (n257, n258, n260, n261)</w:t>
                            </w:r>
                          </w:p>
                          <w:p w14:paraId="71BA9D5C" w14:textId="77777777" w:rsidR="00467A63" w:rsidRPr="0055467C" w:rsidRDefault="00467A63" w:rsidP="009A00AA">
                            <w:pPr>
                              <w:ind w:left="284"/>
                              <w:rPr>
                                <w:lang w:eastAsia="ja-JP"/>
                              </w:rPr>
                            </w:pPr>
                            <w:r w:rsidRPr="0055467C">
                              <w:rPr>
                                <w:rFonts w:hint="eastAsia"/>
                                <w:lang w:eastAsia="ja-JP"/>
                              </w:rPr>
                              <w:t xml:space="preserve">Option 2: Both </w:t>
                            </w:r>
                            <w:proofErr w:type="gramStart"/>
                            <w:r w:rsidRPr="0055467C">
                              <w:rPr>
                                <w:rFonts w:hint="eastAsia"/>
                                <w:lang w:eastAsia="ja-JP"/>
                              </w:rPr>
                              <w:t>edge</w:t>
                            </w:r>
                            <w:proofErr w:type="gramEnd"/>
                            <w:r w:rsidRPr="0055467C">
                              <w:rPr>
                                <w:rFonts w:hint="eastAsia"/>
                                <w:lang w:eastAsia="ja-JP"/>
                              </w:rPr>
                              <w:t xml:space="preserve"> of FR2a and FR2b (22.65 GHz, 31.1 GHz, 35.4GHz, 45.1GHz)</w:t>
                            </w:r>
                          </w:p>
                          <w:p w14:paraId="1F33C43E" w14:textId="77777777" w:rsidR="00467A63" w:rsidRDefault="00467A63" w:rsidP="009A00AA">
                            <w:pPr>
                              <w:rPr>
                                <w:lang w:eastAsia="ja-JP"/>
                              </w:rPr>
                            </w:pPr>
                            <w:r w:rsidRPr="0055467C">
                              <w:rPr>
                                <w:rFonts w:hint="eastAsia"/>
                                <w:lang w:eastAsia="ja-JP"/>
                              </w:rPr>
                              <w:tab/>
                              <w:t>Option 3: other</w:t>
                            </w:r>
                            <w:r>
                              <w:rPr>
                                <w:rFonts w:hint="eastAsia"/>
                                <w:lang w:eastAsia="ja-JP"/>
                              </w:rPr>
                              <w:t xml:space="preserve"> (</w:t>
                            </w:r>
                            <w:proofErr w:type="spellStart"/>
                            <w:r>
                              <w:rPr>
                                <w:rFonts w:hint="eastAsia"/>
                                <w:lang w:eastAsia="ja-JP"/>
                              </w:rPr>
                              <w:t>e.g</w:t>
                            </w:r>
                            <w:proofErr w:type="spellEnd"/>
                            <w:r>
                              <w:rPr>
                                <w:rFonts w:hint="eastAsia"/>
                                <w:lang w:eastAsia="ja-JP"/>
                              </w:rPr>
                              <w:t xml:space="preserve"> excluding band n259)</w:t>
                            </w:r>
                          </w:p>
                          <w:p w14:paraId="1FFC2EB4" w14:textId="77777777" w:rsidR="00467A63" w:rsidRDefault="00467A63" w:rsidP="009A00AA">
                            <w:pPr>
                              <w:rPr>
                                <w:lang w:eastAsia="ja-JP"/>
                              </w:rPr>
                            </w:pPr>
                            <w:r>
                              <w:rPr>
                                <w:rFonts w:hint="eastAsia"/>
                                <w:lang w:eastAsia="ja-JP"/>
                              </w:rPr>
                              <w:tab/>
                              <w:t>Option 4: 800 MHz extended to each FR2a and FR2b. (23.45GHz, 30.3GHz, 36.2GHz, 44.3GHz)</w:t>
                            </w:r>
                          </w:p>
                          <w:p w14:paraId="2898815D" w14:textId="77777777" w:rsidR="00467A63" w:rsidRDefault="00467A63" w:rsidP="009A00AA">
                            <w:pPr>
                              <w:rPr>
                                <w:lang w:eastAsia="ja-JP"/>
                              </w:rPr>
                            </w:pPr>
                            <w:r>
                              <w:rPr>
                                <w:rFonts w:hint="eastAsia"/>
                                <w:lang w:eastAsia="ja-JP"/>
                              </w:rPr>
                              <w:tab/>
                              <w:t>Option 5: Additional analysis needed at centre of 30.3 GHz and 36.2 GHz?? (</w:t>
                            </w:r>
                            <w:proofErr w:type="gramStart"/>
                            <w:r>
                              <w:rPr>
                                <w:rFonts w:hint="eastAsia"/>
                                <w:lang w:eastAsia="ja-JP"/>
                              </w:rPr>
                              <w:t>for</w:t>
                            </w:r>
                            <w:proofErr w:type="gramEnd"/>
                            <w:r>
                              <w:rPr>
                                <w:rFonts w:hint="eastAsia"/>
                                <w:lang w:eastAsia="ja-JP"/>
                              </w:rPr>
                              <w:t xml:space="preserve"> band agnostic approach)</w:t>
                            </w:r>
                          </w:p>
                          <w:p w14:paraId="220C6CAE" w14:textId="6B9651BA" w:rsidR="00467A63" w:rsidRDefault="00467A63" w:rsidP="009A00AA">
                            <w:pPr>
                              <w:rPr>
                                <w:lang w:eastAsia="ja-JP"/>
                              </w:rPr>
                            </w:pPr>
                            <w:r>
                              <w:rPr>
                                <w:rFonts w:hint="eastAsia"/>
                                <w:lang w:eastAsia="ja-JP"/>
                              </w:rPr>
                              <w:tab/>
                              <w:t>Option 6: 23.45 GHz, 32.125GHz and 40.8GHz (for band agnostic approach)</w:t>
                            </w:r>
                          </w:p>
                          <w:p w14:paraId="72332539" w14:textId="77777777" w:rsidR="00467A63" w:rsidRDefault="00467A63" w:rsidP="009A00AA">
                            <w:pPr>
                              <w:rPr>
                                <w:lang w:eastAsia="ja-JP"/>
                              </w:rPr>
                            </w:pPr>
                            <w:r>
                              <w:rPr>
                                <w:rFonts w:hint="eastAsia"/>
                                <w:lang w:eastAsia="ja-JP"/>
                              </w:rPr>
                              <w:t xml:space="preserve">Agreement </w:t>
                            </w:r>
                          </w:p>
                          <w:p w14:paraId="2F27F59E" w14:textId="77777777" w:rsidR="00467A63" w:rsidRPr="00A340B3" w:rsidRDefault="00467A63" w:rsidP="009A00AA">
                            <w:pPr>
                              <w:rPr>
                                <w:highlight w:val="green"/>
                                <w:lang w:eastAsia="ja-JP"/>
                              </w:rPr>
                            </w:pPr>
                            <w:r>
                              <w:rPr>
                                <w:rFonts w:hint="eastAsia"/>
                                <w:lang w:eastAsia="ja-JP"/>
                              </w:rPr>
                              <w:tab/>
                            </w:r>
                            <w:proofErr w:type="gramStart"/>
                            <w:r w:rsidRPr="00A340B3">
                              <w:rPr>
                                <w:rFonts w:hint="eastAsia"/>
                                <w:highlight w:val="green"/>
                                <w:lang w:eastAsia="ja-JP"/>
                              </w:rPr>
                              <w:t>Option 6 for band agnostic approach.</w:t>
                            </w:r>
                            <w:proofErr w:type="gramEnd"/>
                          </w:p>
                          <w:p w14:paraId="2B067642" w14:textId="77777777" w:rsidR="00467A63" w:rsidRPr="00A340B3" w:rsidRDefault="00467A63" w:rsidP="009A00AA">
                            <w:pPr>
                              <w:rPr>
                                <w:highlight w:val="green"/>
                                <w:lang w:eastAsia="ja-JP"/>
                              </w:rPr>
                            </w:pPr>
                            <w:r w:rsidRPr="00A340B3">
                              <w:rPr>
                                <w:rFonts w:hint="eastAsia"/>
                                <w:highlight w:val="green"/>
                                <w:lang w:eastAsia="ja-JP"/>
                              </w:rPr>
                              <w:tab/>
                              <w:t>Additional 800MHz has to be considered even with the band dependent approach.</w:t>
                            </w:r>
                          </w:p>
                          <w:p w14:paraId="1B2EA674" w14:textId="70FEC152" w:rsidR="00467A63" w:rsidRPr="002352D0" w:rsidRDefault="00467A63" w:rsidP="009A00AA">
                            <w:pPr>
                              <w:rPr>
                                <w:lang w:eastAsia="ja-JP"/>
                              </w:rPr>
                            </w:pPr>
                            <w:r w:rsidRPr="00A340B3">
                              <w:rPr>
                                <w:rFonts w:hint="eastAsia"/>
                                <w:highlight w:val="green"/>
                                <w:lang w:eastAsia="ja-JP"/>
                              </w:rPr>
                              <w:tab/>
                              <w:t xml:space="preserve">Band dependent approach has to </w:t>
                            </w:r>
                            <w:proofErr w:type="gramStart"/>
                            <w:r w:rsidRPr="00A340B3">
                              <w:rPr>
                                <w:rFonts w:hint="eastAsia"/>
                                <w:highlight w:val="green"/>
                                <w:lang w:eastAsia="ja-JP"/>
                              </w:rPr>
                              <w:t>state which</w:t>
                            </w:r>
                            <w:proofErr w:type="gramEnd"/>
                            <w:r w:rsidRPr="00A340B3">
                              <w:rPr>
                                <w:rFonts w:hint="eastAsia"/>
                                <w:highlight w:val="green"/>
                                <w:lang w:eastAsia="ja-JP"/>
                              </w:rPr>
                              <w:t xml:space="preserve"> band is covered and which is not,</w:t>
                            </w:r>
                          </w:p>
                        </w:txbxContent>
                      </wps:txbx>
                      <wps:bodyPr rot="0" vert="horz" wrap="square" lIns="91440" tIns="45720" rIns="91440" bIns="45720" anchor="t" anchorCtr="0" upright="1">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65C8ECA" id="_x0000_t202" coordsize="21600,21600" o:spt="202" path="m,l,21600r21600,l21600,xe">
                <v:stroke joinstyle="miter"/>
                <v:path gradientshapeok="t" o:connecttype="rect"/>
              </v:shapetype>
              <v:shape id="Text Box 2" o:spid="_x0000_s1026" type="#_x0000_t202" style="width:481.95pt;height:1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">
                <v:path arrowok="t"/>
                <v:textbox style="mso-fit-shape-to-text:t">
                  <w:txbxContent>
                    <w:p w14:paraId="5A43AFC2" w14:textId="77777777" w:rsidR="009A00AA" w:rsidRPr="0055467C" w:rsidRDefault="009A00AA" w:rsidP="009A00AA">
                      <w:pPr>
                        <w:ind w:left="284"/>
                        <w:rPr>
                          <w:lang w:eastAsia="ja-JP"/>
                        </w:rPr>
                      </w:pPr>
                      <w:r w:rsidRPr="0055467C">
                        <w:rPr>
                          <w:rFonts w:hint="eastAsia"/>
                          <w:lang w:eastAsia="ja-JP"/>
                        </w:rPr>
                        <w:t>Option 1: Per band (n257, n258, n260, n261)</w:t>
                      </w:r>
                    </w:p>
                    <w:p w14:paraId="71BA9D5C" w14:textId="77777777" w:rsidR="009A00AA" w:rsidRPr="0055467C" w:rsidRDefault="009A00AA" w:rsidP="009A00AA">
                      <w:pPr>
                        <w:ind w:left="284"/>
                        <w:rPr>
                          <w:lang w:eastAsia="ja-JP"/>
                        </w:rPr>
                      </w:pPr>
                      <w:r w:rsidRPr="0055467C">
                        <w:rPr>
                          <w:rFonts w:hint="eastAsia"/>
                          <w:lang w:eastAsia="ja-JP"/>
                        </w:rPr>
                        <w:t>Option 2: Both edge of FR2a and FR2b (22.65 GHz, 31.1 GHz, 35.4GHz, 45.1GHz)</w:t>
                      </w:r>
                    </w:p>
                    <w:p w14:paraId="1F33C43E" w14:textId="77777777" w:rsidR="009A00AA" w:rsidRDefault="009A00AA" w:rsidP="009A00AA">
                      <w:pPr>
                        <w:rPr>
                          <w:lang w:eastAsia="ja-JP"/>
                        </w:rPr>
                      </w:pPr>
                      <w:r w:rsidRPr="0055467C">
                        <w:rPr>
                          <w:rFonts w:hint="eastAsia"/>
                          <w:lang w:eastAsia="ja-JP"/>
                        </w:rPr>
                        <w:tab/>
                        <w:t>Option 3: other</w:t>
                      </w:r>
                      <w:r>
                        <w:rPr>
                          <w:rFonts w:hint="eastAsia"/>
                          <w:lang w:eastAsia="ja-JP"/>
                        </w:rPr>
                        <w:t xml:space="preserve"> (e.g excluding band n259)</w:t>
                      </w:r>
                    </w:p>
                    <w:p w14:paraId="1FFC2EB4" w14:textId="77777777" w:rsidR="009A00AA" w:rsidRDefault="009A00AA" w:rsidP="009A00AA">
                      <w:pPr>
                        <w:rPr>
                          <w:lang w:eastAsia="ja-JP"/>
                        </w:rPr>
                      </w:pPr>
                      <w:r>
                        <w:rPr>
                          <w:rFonts w:hint="eastAsia"/>
                          <w:lang w:eastAsia="ja-JP"/>
                        </w:rPr>
                        <w:tab/>
                        <w:t>Option 4: 800 MHz extended to each FR2a and FR2b. (23.45GHz, 30.3GHz, 36.2GHz, 44.3GHz)</w:t>
                      </w:r>
                    </w:p>
                    <w:p w14:paraId="2898815D" w14:textId="77777777" w:rsidR="009A00AA" w:rsidRDefault="009A00AA" w:rsidP="009A00AA">
                      <w:pPr>
                        <w:rPr>
                          <w:lang w:eastAsia="ja-JP"/>
                        </w:rPr>
                      </w:pPr>
                      <w:r>
                        <w:rPr>
                          <w:rFonts w:hint="eastAsia"/>
                          <w:lang w:eastAsia="ja-JP"/>
                        </w:rPr>
                        <w:tab/>
                        <w:t>Option 5: Additional analysis needed at centre of 30.3 GHz and 36.2 GHz?? (for band agnostic approach)</w:t>
                      </w:r>
                    </w:p>
                    <w:p w14:paraId="220C6CAE" w14:textId="6B9651BA" w:rsidR="009A00AA" w:rsidRDefault="009A00AA" w:rsidP="009A00AA">
                      <w:pPr>
                        <w:rPr>
                          <w:lang w:eastAsia="ja-JP"/>
                        </w:rPr>
                      </w:pPr>
                      <w:r>
                        <w:rPr>
                          <w:rFonts w:hint="eastAsia"/>
                          <w:lang w:eastAsia="ja-JP"/>
                        </w:rPr>
                        <w:tab/>
                        <w:t>Option 6: 23.45 GHz, 32.125GHz and 40.8GHz (for band agnostic approach)</w:t>
                      </w:r>
                    </w:p>
                    <w:p w14:paraId="72332539" w14:textId="77777777" w:rsidR="009A00AA" w:rsidRDefault="009A00AA" w:rsidP="009A00AA">
                      <w:pPr>
                        <w:rPr>
                          <w:rFonts w:hint="eastAsia"/>
                          <w:lang w:eastAsia="ja-JP"/>
                        </w:rPr>
                      </w:pPr>
                      <w:r>
                        <w:rPr>
                          <w:rFonts w:hint="eastAsia"/>
                          <w:lang w:eastAsia="ja-JP"/>
                        </w:rPr>
                        <w:t xml:space="preserve">Agreement </w:t>
                      </w:r>
                    </w:p>
                    <w:p w14:paraId="2F27F59E" w14:textId="77777777" w:rsidR="009A00AA" w:rsidRPr="00A340B3" w:rsidRDefault="009A00AA" w:rsidP="009A00AA">
                      <w:pPr>
                        <w:rPr>
                          <w:rFonts w:hint="eastAsia"/>
                          <w:highlight w:val="green"/>
                          <w:lang w:eastAsia="ja-JP"/>
                        </w:rPr>
                      </w:pPr>
                      <w:r>
                        <w:rPr>
                          <w:rFonts w:hint="eastAsia"/>
                          <w:lang w:eastAsia="ja-JP"/>
                        </w:rPr>
                        <w:tab/>
                      </w:r>
                      <w:r w:rsidRPr="00A340B3">
                        <w:rPr>
                          <w:rFonts w:hint="eastAsia"/>
                          <w:highlight w:val="green"/>
                          <w:lang w:eastAsia="ja-JP"/>
                        </w:rPr>
                        <w:t>Option 6 for band agnostic approach.</w:t>
                      </w:r>
                    </w:p>
                    <w:p w14:paraId="2B067642" w14:textId="77777777" w:rsidR="009A00AA" w:rsidRPr="00A340B3" w:rsidRDefault="009A00AA" w:rsidP="009A00AA">
                      <w:pPr>
                        <w:rPr>
                          <w:rFonts w:hint="eastAsia"/>
                          <w:highlight w:val="green"/>
                          <w:lang w:eastAsia="ja-JP"/>
                        </w:rPr>
                      </w:pPr>
                      <w:r w:rsidRPr="00A340B3">
                        <w:rPr>
                          <w:rFonts w:hint="eastAsia"/>
                          <w:highlight w:val="green"/>
                          <w:lang w:eastAsia="ja-JP"/>
                        </w:rPr>
                        <w:tab/>
                        <w:t>Additional 800MHz has to be considered even with the band dependent approach.</w:t>
                      </w:r>
                    </w:p>
                    <w:p w14:paraId="1B2EA674" w14:textId="70FEC152" w:rsidR="009A00AA" w:rsidRPr="002352D0" w:rsidRDefault="009A00AA" w:rsidP="009A00AA">
                      <w:pPr>
                        <w:rPr>
                          <w:lang w:eastAsia="ja-JP"/>
                        </w:rPr>
                      </w:pPr>
                      <w:r w:rsidRPr="00A340B3">
                        <w:rPr>
                          <w:rFonts w:hint="eastAsia"/>
                          <w:highlight w:val="green"/>
                          <w:lang w:eastAsia="ja-JP"/>
                        </w:rPr>
                        <w:tab/>
                        <w:t>Band dependent approach has to state which band is covered and which is not,</w:t>
                      </w:r>
                    </w:p>
                  </w:txbxContent>
                </v:textbox>
                <w10:anchorlock/>
              </v:shape>
            </w:pict>
          </mc:Fallback>
        </mc:AlternateContent>
      </w:r>
    </w:p>
    <w:p w14:paraId="58E2247C" w14:textId="5F64ACB6" w:rsidR="009A00AA" w:rsidRDefault="009A00AA" w:rsidP="009A00AA">
      <w:pPr>
        <w:jc w:val="both"/>
        <w:rPr>
          <w:lang w:eastAsia="ja-JP"/>
        </w:rPr>
      </w:pPr>
      <w:r>
        <w:rPr>
          <w:lang w:eastAsia="ja-JP"/>
        </w:rPr>
        <w:t>This contribution provides our views on the frequency test points as well as the applicability of the Rel-15 FR2 MU budget to the full range of frequencies defined in FR2.</w:t>
      </w:r>
    </w:p>
    <w:p w14:paraId="27B919FD" w14:textId="77777777" w:rsidR="009B4566" w:rsidRPr="00641215" w:rsidRDefault="009B4566" w:rsidP="009B4566">
      <w:pPr>
        <w:pStyle w:val="Heading1"/>
        <w:rPr>
          <w:lang w:eastAsia="ja-JP"/>
        </w:rPr>
      </w:pPr>
      <w:r w:rsidRPr="00641215">
        <w:rPr>
          <w:rFonts w:hint="eastAsia"/>
          <w:lang w:eastAsia="ja-JP"/>
        </w:rPr>
        <w:t>Discussion</w:t>
      </w:r>
    </w:p>
    <w:p w14:paraId="1219CB3C" w14:textId="22C392A3" w:rsidR="00780FCF" w:rsidRDefault="00780FCF" w:rsidP="00AF6E21">
      <w:pPr>
        <w:tabs>
          <w:tab w:val="num" w:pos="720"/>
        </w:tabs>
        <w:jc w:val="both"/>
        <w:rPr>
          <w:lang w:eastAsia="ja-JP"/>
        </w:rPr>
      </w:pPr>
      <w:r>
        <w:rPr>
          <w:lang w:eastAsia="ja-JP"/>
        </w:rPr>
        <w:t>We begin by taking into account the full information available in [1] on the background behind the adoption of the band agnostic approach in Option 6:</w:t>
      </w:r>
    </w:p>
    <w:p w14:paraId="23AD2E20" w14:textId="2033F1AF" w:rsidR="00780FCF" w:rsidRDefault="00780FCF" w:rsidP="00633D94">
      <w:pPr>
        <w:pStyle w:val="ListParagraph"/>
        <w:numPr>
          <w:ilvl w:val="0"/>
          <w:numId w:val="26"/>
        </w:numPr>
        <w:rPr>
          <w:lang w:eastAsia="ja-JP"/>
        </w:rPr>
      </w:pPr>
      <w:r>
        <w:rPr>
          <w:lang w:eastAsia="ja-JP"/>
        </w:rPr>
        <w:t xml:space="preserve">Some companies cited practical limitations of currently available test solution components as the motivation (e.g. different measurement paths depending on frequency, PA characteristics, </w:t>
      </w:r>
      <w:r w:rsidR="00FB6EF6">
        <w:rPr>
          <w:lang w:eastAsia="ja-JP"/>
        </w:rPr>
        <w:t xml:space="preserve">supported frequency range of measurement and reference antennas, </w:t>
      </w:r>
      <w:r>
        <w:rPr>
          <w:lang w:eastAsia="ja-JP"/>
        </w:rPr>
        <w:t>etc.)</w:t>
      </w:r>
    </w:p>
    <w:p w14:paraId="5AE273A1" w14:textId="77777777" w:rsidR="00780FCF" w:rsidRDefault="00780FCF" w:rsidP="00633D94">
      <w:pPr>
        <w:pStyle w:val="ListParagraph"/>
        <w:numPr>
          <w:ilvl w:val="0"/>
          <w:numId w:val="26"/>
        </w:numPr>
        <w:rPr>
          <w:lang w:eastAsia="ja-JP"/>
        </w:rPr>
      </w:pPr>
      <w:r>
        <w:rPr>
          <w:lang w:eastAsia="ja-JP"/>
        </w:rPr>
        <w:t>The elimination of n259 from consideration in Rel-15 may lead to its re-introduction in a future release in a release-independent manner</w:t>
      </w:r>
    </w:p>
    <w:p w14:paraId="33F93B17" w14:textId="6CF47640" w:rsidR="00780FCF" w:rsidRDefault="00780FCF" w:rsidP="00633D94">
      <w:pPr>
        <w:pStyle w:val="ListParagraph"/>
        <w:numPr>
          <w:ilvl w:val="0"/>
          <w:numId w:val="26"/>
        </w:numPr>
        <w:rPr>
          <w:lang w:eastAsia="ja-JP"/>
        </w:rPr>
      </w:pPr>
      <w:r>
        <w:rPr>
          <w:lang w:eastAsia="ja-JP"/>
        </w:rPr>
        <w:t>The applicability of the MU budget to the rest of frequencies in FR2 (i.e. frequencies between 45.1 and 52.6 GHz) remains open</w:t>
      </w:r>
    </w:p>
    <w:p w14:paraId="3122B17D" w14:textId="189F69E0" w:rsidR="00780FCF" w:rsidRDefault="00FB6EF6" w:rsidP="00AF6E21">
      <w:pPr>
        <w:tabs>
          <w:tab w:val="num" w:pos="720"/>
        </w:tabs>
        <w:jc w:val="both"/>
        <w:rPr>
          <w:lang w:eastAsia="ja-JP"/>
        </w:rPr>
      </w:pPr>
      <w:r w:rsidRPr="00633D94">
        <w:rPr>
          <w:b/>
          <w:lang w:eastAsia="ja-JP"/>
        </w:rPr>
        <w:t>Observation 1</w:t>
      </w:r>
      <w:r>
        <w:rPr>
          <w:lang w:eastAsia="ja-JP"/>
        </w:rPr>
        <w:t>: The band agnostic approach in Option 6 is primarily motivated by practical constraints on test equipment providers, such as the availability of certain components, and does not represent the analytically correct derivation of measurement uncertainty for all of FR2</w:t>
      </w:r>
      <w:r w:rsidR="00173D10">
        <w:rPr>
          <w:lang w:eastAsia="ja-JP"/>
        </w:rPr>
        <w:t>.</w:t>
      </w:r>
    </w:p>
    <w:p w14:paraId="7B2B7D44" w14:textId="796965A4" w:rsidR="00FB6EF6" w:rsidRDefault="00FB6EF6" w:rsidP="00AF6E21">
      <w:pPr>
        <w:tabs>
          <w:tab w:val="num" w:pos="720"/>
        </w:tabs>
        <w:jc w:val="both"/>
        <w:rPr>
          <w:lang w:eastAsia="ja-JP"/>
        </w:rPr>
      </w:pPr>
      <w:r>
        <w:rPr>
          <w:lang w:eastAsia="ja-JP"/>
        </w:rPr>
        <w:lastRenderedPageBreak/>
        <w:t xml:space="preserve">Based on this observation, there exists a gap between the measurement uncertainty assessed at the Option 6 frequency test points and the measurement uncertainty values that shall apply to FR2 conformance test requirements.  Since </w:t>
      </w:r>
      <w:r w:rsidR="00213935">
        <w:rPr>
          <w:lang w:eastAsia="ja-JP"/>
        </w:rPr>
        <w:t xml:space="preserve">some </w:t>
      </w:r>
      <w:r>
        <w:rPr>
          <w:lang w:eastAsia="ja-JP"/>
        </w:rPr>
        <w:t xml:space="preserve">test cases </w:t>
      </w:r>
      <w:proofErr w:type="gramStart"/>
      <w:r>
        <w:rPr>
          <w:lang w:eastAsia="ja-JP"/>
        </w:rPr>
        <w:t>are expected to be defined</w:t>
      </w:r>
      <w:proofErr w:type="gramEnd"/>
      <w:r>
        <w:rPr>
          <w:lang w:eastAsia="ja-JP"/>
        </w:rPr>
        <w:t xml:space="preserve"> for the highest channel per FR2 band, the MU budget should apply to these potential test points.  Taking the practical constraints of Observation 1 into account, it may be feasible to map </w:t>
      </w:r>
      <w:r w:rsidR="009E49B7">
        <w:rPr>
          <w:lang w:eastAsia="ja-JP"/>
        </w:rPr>
        <w:t xml:space="preserve">the 32.125 GHz </w:t>
      </w:r>
      <w:r>
        <w:rPr>
          <w:lang w:eastAsia="ja-JP"/>
        </w:rPr>
        <w:t>test point to be applicable to the FR2a sub-range.</w:t>
      </w:r>
    </w:p>
    <w:p w14:paraId="1E8123F0" w14:textId="6331447A" w:rsidR="00FB6EF6" w:rsidRDefault="00FB6EF6" w:rsidP="00AF6E21">
      <w:pPr>
        <w:tabs>
          <w:tab w:val="num" w:pos="720"/>
        </w:tabs>
        <w:jc w:val="both"/>
        <w:rPr>
          <w:lang w:eastAsia="ja-JP"/>
        </w:rPr>
      </w:pPr>
      <w:r w:rsidRPr="00633D94">
        <w:rPr>
          <w:b/>
          <w:lang w:eastAsia="ja-JP"/>
        </w:rPr>
        <w:t>Proposal 1</w:t>
      </w:r>
      <w:r>
        <w:rPr>
          <w:lang w:eastAsia="ja-JP"/>
        </w:rPr>
        <w:t>: The 32.125 GHz measurement uncertainty test point is applicable to the FR2a sub-range.</w:t>
      </w:r>
    </w:p>
    <w:p w14:paraId="7EC43061" w14:textId="5B6D3019" w:rsidR="00CF4FD8" w:rsidRDefault="00FB6EF6" w:rsidP="00AF6E21">
      <w:pPr>
        <w:tabs>
          <w:tab w:val="num" w:pos="720"/>
        </w:tabs>
        <w:jc w:val="both"/>
        <w:rPr>
          <w:lang w:eastAsia="ja-JP"/>
        </w:rPr>
      </w:pPr>
      <w:r>
        <w:rPr>
          <w:lang w:eastAsia="ja-JP"/>
        </w:rPr>
        <w:t>Considering the FR</w:t>
      </w:r>
      <w:r w:rsidR="00633D94">
        <w:rPr>
          <w:lang w:eastAsia="ja-JP"/>
        </w:rPr>
        <w:t>2</w:t>
      </w:r>
      <w:r>
        <w:rPr>
          <w:lang w:eastAsia="ja-JP"/>
        </w:rPr>
        <w:t>b sub-range, the case of the missing band n259 should be addressed in the final MU value captured in the Rel-15 versions of TR38.903 and TS38.541-2 in order to ensure forward compatibility of the c</w:t>
      </w:r>
      <w:r w:rsidR="00CF4FD8">
        <w:rPr>
          <w:lang w:eastAsia="ja-JP"/>
        </w:rPr>
        <w:t>onformance test specification.</w:t>
      </w:r>
    </w:p>
    <w:p w14:paraId="3B302750" w14:textId="01FECF57" w:rsidR="00CF4FD8" w:rsidRDefault="00CF4FD8" w:rsidP="00AF6E21">
      <w:pPr>
        <w:tabs>
          <w:tab w:val="num" w:pos="720"/>
        </w:tabs>
        <w:jc w:val="both"/>
        <w:rPr>
          <w:lang w:eastAsia="ja-JP"/>
        </w:rPr>
      </w:pPr>
      <w:r w:rsidRPr="00633D94">
        <w:rPr>
          <w:b/>
          <w:lang w:eastAsia="ja-JP"/>
        </w:rPr>
        <w:t>Proposal 2</w:t>
      </w:r>
      <w:r>
        <w:rPr>
          <w:lang w:eastAsia="ja-JP"/>
        </w:rPr>
        <w:t xml:space="preserve">: The MU assessed at 40.8 GHz is not applicable to the </w:t>
      </w:r>
      <w:r w:rsidR="003231D6">
        <w:rPr>
          <w:lang w:eastAsia="ja-JP"/>
        </w:rPr>
        <w:t xml:space="preserve">entire </w:t>
      </w:r>
      <w:r>
        <w:rPr>
          <w:lang w:eastAsia="ja-JP"/>
        </w:rPr>
        <w:t>FR2b sub-range.</w:t>
      </w:r>
    </w:p>
    <w:p w14:paraId="4E718F57" w14:textId="7C4C5C6C" w:rsidR="00FB6EF6" w:rsidRDefault="00FB6EF6" w:rsidP="00AF6E21">
      <w:pPr>
        <w:tabs>
          <w:tab w:val="num" w:pos="720"/>
        </w:tabs>
        <w:jc w:val="both"/>
        <w:rPr>
          <w:lang w:eastAsia="ja-JP"/>
        </w:rPr>
      </w:pPr>
      <w:r>
        <w:rPr>
          <w:lang w:eastAsia="ja-JP"/>
        </w:rPr>
        <w:t>While recognizing the practical limitations of currently available test equipment, an analytical approach to scale the assessed MU can be taken.</w:t>
      </w:r>
      <w:r w:rsidR="00CF4FD8">
        <w:rPr>
          <w:lang w:eastAsia="ja-JP"/>
        </w:rPr>
        <w:t xml:space="preserve">  Toward that end, further discussion and contributions from the test equipment vendor community are encouraged.</w:t>
      </w:r>
    </w:p>
    <w:p w14:paraId="06F7695C" w14:textId="20388C08" w:rsidR="00FB6EF6" w:rsidRDefault="00FB6EF6" w:rsidP="00AF6E21">
      <w:pPr>
        <w:tabs>
          <w:tab w:val="num" w:pos="720"/>
        </w:tabs>
        <w:jc w:val="both"/>
        <w:rPr>
          <w:lang w:eastAsia="ja-JP"/>
        </w:rPr>
      </w:pPr>
      <w:r w:rsidRPr="00633D94">
        <w:rPr>
          <w:b/>
          <w:lang w:eastAsia="ja-JP"/>
        </w:rPr>
        <w:t xml:space="preserve">Proposal </w:t>
      </w:r>
      <w:r w:rsidR="00CF4FD8" w:rsidRPr="00633D94">
        <w:rPr>
          <w:b/>
          <w:lang w:eastAsia="ja-JP"/>
        </w:rPr>
        <w:t>3</w:t>
      </w:r>
      <w:r>
        <w:rPr>
          <w:lang w:eastAsia="ja-JP"/>
        </w:rPr>
        <w:t xml:space="preserve">: </w:t>
      </w:r>
      <w:r w:rsidR="00CF4FD8">
        <w:rPr>
          <w:lang w:eastAsia="ja-JP"/>
        </w:rPr>
        <w:t>In order to define the MU value applicable to the FR2b sub-range, an analytical scaling of the MU assessed at 40.8 GHz is needed.</w:t>
      </w:r>
    </w:p>
    <w:p w14:paraId="26991103" w14:textId="561A0C57" w:rsidR="00173D10" w:rsidRDefault="00CF4FD8" w:rsidP="00AF6E21">
      <w:pPr>
        <w:tabs>
          <w:tab w:val="num" w:pos="720"/>
        </w:tabs>
        <w:jc w:val="both"/>
        <w:rPr>
          <w:lang w:eastAsia="ja-JP"/>
        </w:rPr>
      </w:pPr>
      <w:r>
        <w:rPr>
          <w:lang w:eastAsia="ja-JP"/>
        </w:rPr>
        <w:t xml:space="preserve">Although no bands have been defined in the frequency range between 40 GHz and 52.6 GHz, the Rel-15 conformance specification should consider forward </w:t>
      </w:r>
      <w:r w:rsidR="00ED6A08">
        <w:rPr>
          <w:lang w:eastAsia="ja-JP"/>
        </w:rPr>
        <w:t>compatibility</w:t>
      </w:r>
      <w:r>
        <w:rPr>
          <w:lang w:eastAsia="ja-JP"/>
        </w:rPr>
        <w:t xml:space="preserve">.  One example of this issue can be illustrated with assumptions taken on the </w:t>
      </w:r>
      <w:r w:rsidR="00173D10">
        <w:rPr>
          <w:lang w:eastAsia="ja-JP"/>
        </w:rPr>
        <w:t>IFF system feed</w:t>
      </w:r>
      <w:r>
        <w:rPr>
          <w:lang w:eastAsia="ja-JP"/>
        </w:rPr>
        <w:t xml:space="preserve"> antenna.  </w:t>
      </w:r>
      <w:r w:rsidR="00914A67">
        <w:rPr>
          <w:lang w:eastAsia="ja-JP"/>
        </w:rPr>
        <w:t>According to our internal study, at least some vendors anticipate supporting just the frequency range spanned by FR2 bands defined in Rel-15 (i.e. bands n257, n258, n261, and n260)</w:t>
      </w:r>
      <w:r w:rsidR="00173D10">
        <w:rPr>
          <w:lang w:eastAsia="ja-JP"/>
        </w:rPr>
        <w:t xml:space="preserve"> with a single feed antenna and may need a different feed antenna to support additional sub-ranges</w:t>
      </w:r>
      <w:r w:rsidR="00914A67">
        <w:rPr>
          <w:lang w:eastAsia="ja-JP"/>
        </w:rPr>
        <w:t>.</w:t>
      </w:r>
      <w:r w:rsidR="00173D10">
        <w:rPr>
          <w:lang w:eastAsia="ja-JP"/>
        </w:rPr>
        <w:t xml:space="preserve">  </w:t>
      </w:r>
      <w:r w:rsidR="00914A67">
        <w:rPr>
          <w:lang w:eastAsia="ja-JP"/>
        </w:rPr>
        <w:t xml:space="preserve">Whether the same measurement antennas can be re-used for other bands, such as the potential </w:t>
      </w:r>
      <w:r w:rsidR="003231D6">
        <w:rPr>
          <w:lang w:eastAsia="ja-JP"/>
        </w:rPr>
        <w:t xml:space="preserve">band </w:t>
      </w:r>
      <w:r w:rsidR="00914A67">
        <w:rPr>
          <w:lang w:eastAsia="ja-JP"/>
        </w:rPr>
        <w:t>n259 or other new bands in the higher sub-range of FR2, is not certain.</w:t>
      </w:r>
    </w:p>
    <w:p w14:paraId="27685C05" w14:textId="2DAF0457" w:rsidR="00CF4FD8" w:rsidRDefault="00173D10" w:rsidP="00AF6E21">
      <w:pPr>
        <w:tabs>
          <w:tab w:val="num" w:pos="720"/>
        </w:tabs>
        <w:jc w:val="both"/>
        <w:rPr>
          <w:lang w:eastAsia="ja-JP"/>
        </w:rPr>
      </w:pPr>
      <w:r w:rsidRPr="00633D94">
        <w:rPr>
          <w:b/>
          <w:lang w:eastAsia="ja-JP"/>
        </w:rPr>
        <w:t>Observation 2</w:t>
      </w:r>
      <w:r>
        <w:rPr>
          <w:lang w:eastAsia="ja-JP"/>
        </w:rPr>
        <w:t>: It is our understanding that at least for some IFF systems the feed antenna may need to be switched out in order to support the full range of frequencies in FR2.</w:t>
      </w:r>
    </w:p>
    <w:p w14:paraId="2B45C824" w14:textId="3D4D5E70" w:rsidR="00173D10" w:rsidRDefault="00173D10" w:rsidP="00AF6E21">
      <w:pPr>
        <w:tabs>
          <w:tab w:val="num" w:pos="720"/>
        </w:tabs>
        <w:jc w:val="both"/>
        <w:rPr>
          <w:lang w:eastAsia="ja-JP"/>
        </w:rPr>
      </w:pPr>
      <w:r w:rsidRPr="00633D94">
        <w:rPr>
          <w:b/>
          <w:lang w:eastAsia="ja-JP"/>
        </w:rPr>
        <w:t>Proposal 4</w:t>
      </w:r>
      <w:r>
        <w:rPr>
          <w:lang w:eastAsia="ja-JP"/>
        </w:rPr>
        <w:t>: If Observation 2 is correct, then an approach is needed to address the feed antenna switching in the MU derivation.  One approach can be the introduction of a new MU element.  Other approaches are not precluded.</w:t>
      </w:r>
    </w:p>
    <w:p w14:paraId="2C9C1875" w14:textId="2EFF100A" w:rsidR="007F622E" w:rsidRPr="004C48C0" w:rsidRDefault="00FB6EF6" w:rsidP="004C48C0">
      <w:pPr>
        <w:pStyle w:val="Heading1"/>
        <w:rPr>
          <w:lang w:eastAsia="ja-JP"/>
        </w:rPr>
      </w:pPr>
      <w:r>
        <w:rPr>
          <w:lang w:eastAsia="ja-JP"/>
        </w:rPr>
        <w:t>Conclusions</w:t>
      </w:r>
    </w:p>
    <w:p w14:paraId="59FC4B44" w14:textId="77777777" w:rsidR="00173D10" w:rsidRDefault="00173D10" w:rsidP="00633D94">
      <w:pPr>
        <w:rPr>
          <w:lang w:eastAsia="ja-JP"/>
        </w:rPr>
      </w:pPr>
      <w:r>
        <w:rPr>
          <w:lang w:eastAsia="ja-JP"/>
        </w:rPr>
        <w:t>This contribution has provided our views on the frequency test points as well as the applicability of the Rel-15 FR2 MU budget to the full range of frequencies defined in FR2.  The following observations and proposals have been made:</w:t>
      </w:r>
    </w:p>
    <w:p w14:paraId="55520C86" w14:textId="77777777" w:rsidR="00173D10" w:rsidRDefault="00173D10" w:rsidP="00173D10">
      <w:pPr>
        <w:tabs>
          <w:tab w:val="num" w:pos="720"/>
        </w:tabs>
        <w:jc w:val="both"/>
        <w:rPr>
          <w:lang w:eastAsia="ja-JP"/>
        </w:rPr>
      </w:pPr>
      <w:r w:rsidRPr="009C0A15">
        <w:rPr>
          <w:b/>
          <w:lang w:eastAsia="ja-JP"/>
        </w:rPr>
        <w:t>Observation 1</w:t>
      </w:r>
      <w:r>
        <w:rPr>
          <w:lang w:eastAsia="ja-JP"/>
        </w:rPr>
        <w:t>: The band agnostic approach in Option 6 is primarily motivated by practical constraints on test equipment providers, such as the availability of certain components, and does not represent the analytically correct derivation of measurement uncertainty for all of FR2.</w:t>
      </w:r>
    </w:p>
    <w:p w14:paraId="1012121D" w14:textId="77777777" w:rsidR="00173D10" w:rsidRDefault="00173D10" w:rsidP="00173D10">
      <w:pPr>
        <w:tabs>
          <w:tab w:val="num" w:pos="720"/>
        </w:tabs>
        <w:jc w:val="both"/>
        <w:rPr>
          <w:lang w:eastAsia="ja-JP"/>
        </w:rPr>
      </w:pPr>
      <w:r w:rsidRPr="009C0A15">
        <w:rPr>
          <w:b/>
          <w:lang w:eastAsia="ja-JP"/>
        </w:rPr>
        <w:t>Proposal 1</w:t>
      </w:r>
      <w:r>
        <w:rPr>
          <w:lang w:eastAsia="ja-JP"/>
        </w:rPr>
        <w:t>: The 32.125 GHz measurement uncertainty test point is applicable to the FR2a sub-range.</w:t>
      </w:r>
    </w:p>
    <w:p w14:paraId="5C7237E6" w14:textId="5CE85107" w:rsidR="00173D10" w:rsidRDefault="00173D10" w:rsidP="00173D10">
      <w:pPr>
        <w:tabs>
          <w:tab w:val="num" w:pos="720"/>
        </w:tabs>
        <w:jc w:val="both"/>
        <w:rPr>
          <w:lang w:eastAsia="ja-JP"/>
        </w:rPr>
      </w:pPr>
      <w:r w:rsidRPr="009C0A15">
        <w:rPr>
          <w:b/>
          <w:lang w:eastAsia="ja-JP"/>
        </w:rPr>
        <w:t>Proposal 2</w:t>
      </w:r>
      <w:r>
        <w:rPr>
          <w:lang w:eastAsia="ja-JP"/>
        </w:rPr>
        <w:t xml:space="preserve">: The MU assessed at 40.8 GHz is not applicable to the </w:t>
      </w:r>
      <w:r w:rsidR="003231D6">
        <w:rPr>
          <w:lang w:eastAsia="ja-JP"/>
        </w:rPr>
        <w:t xml:space="preserve">entire </w:t>
      </w:r>
      <w:r>
        <w:rPr>
          <w:lang w:eastAsia="ja-JP"/>
        </w:rPr>
        <w:t>FR2b sub-range.</w:t>
      </w:r>
    </w:p>
    <w:p w14:paraId="7266D2B0" w14:textId="77777777" w:rsidR="00173D10" w:rsidRDefault="00173D10" w:rsidP="00173D10">
      <w:pPr>
        <w:tabs>
          <w:tab w:val="num" w:pos="720"/>
        </w:tabs>
        <w:jc w:val="both"/>
        <w:rPr>
          <w:lang w:eastAsia="ja-JP"/>
        </w:rPr>
      </w:pPr>
      <w:r w:rsidRPr="009C0A15">
        <w:rPr>
          <w:b/>
          <w:lang w:eastAsia="ja-JP"/>
        </w:rPr>
        <w:t>Proposal 3</w:t>
      </w:r>
      <w:r>
        <w:rPr>
          <w:lang w:eastAsia="ja-JP"/>
        </w:rPr>
        <w:t>: In order to define the MU value applicable to the FR2b sub-range, an analytical scaling of the MU assessed at 40.8 GHz is needed.</w:t>
      </w:r>
    </w:p>
    <w:p w14:paraId="39F1FE00" w14:textId="77777777" w:rsidR="00173D10" w:rsidRDefault="00173D10" w:rsidP="00173D10">
      <w:pPr>
        <w:tabs>
          <w:tab w:val="num" w:pos="720"/>
        </w:tabs>
        <w:jc w:val="both"/>
        <w:rPr>
          <w:lang w:eastAsia="ja-JP"/>
        </w:rPr>
      </w:pPr>
      <w:r w:rsidRPr="009C0A15">
        <w:rPr>
          <w:b/>
          <w:lang w:eastAsia="ja-JP"/>
        </w:rPr>
        <w:t>Observation 2</w:t>
      </w:r>
      <w:r>
        <w:rPr>
          <w:lang w:eastAsia="ja-JP"/>
        </w:rPr>
        <w:t>: It is our understanding that at least for some IFF systems the feed antenna may need to be switched out in order to support the full range of frequencies in FR2.</w:t>
      </w:r>
    </w:p>
    <w:p w14:paraId="13AA0B76" w14:textId="77777777" w:rsidR="00173D10" w:rsidRDefault="00173D10" w:rsidP="00173D10">
      <w:pPr>
        <w:tabs>
          <w:tab w:val="num" w:pos="720"/>
        </w:tabs>
        <w:jc w:val="both"/>
        <w:rPr>
          <w:lang w:eastAsia="ja-JP"/>
        </w:rPr>
      </w:pPr>
      <w:r w:rsidRPr="009C0A15">
        <w:rPr>
          <w:b/>
          <w:lang w:eastAsia="ja-JP"/>
        </w:rPr>
        <w:t>Proposal 4</w:t>
      </w:r>
      <w:r>
        <w:rPr>
          <w:lang w:eastAsia="ja-JP"/>
        </w:rPr>
        <w:t>: If Observation 2 is correct, then an approach is needed to address the feed antenna switching in the MU derivation.  One approach can be the introduction of a new MU element.  Other approaches are not precluded.</w:t>
      </w:r>
    </w:p>
    <w:p w14:paraId="3E2A6213" w14:textId="2E4C9AF0" w:rsidR="00535649" w:rsidRDefault="00535649" w:rsidP="00BB62E5">
      <w:pPr>
        <w:ind w:left="1227" w:hangingChars="567" w:hanging="1227"/>
        <w:rPr>
          <w:b/>
          <w:lang w:eastAsia="ja-JP"/>
        </w:rPr>
      </w:pPr>
    </w:p>
    <w:p w14:paraId="7B014DC9" w14:textId="77777777" w:rsidR="006821EC" w:rsidRPr="00936722" w:rsidRDefault="00F76CB0" w:rsidP="00936722">
      <w:pPr>
        <w:pStyle w:val="Heading1"/>
        <w:numPr>
          <w:ilvl w:val="0"/>
          <w:numId w:val="0"/>
        </w:numPr>
        <w:rPr>
          <w:lang w:eastAsia="ja-JP"/>
        </w:rPr>
      </w:pPr>
      <w:r>
        <w:rPr>
          <w:lang w:eastAsia="ja-JP"/>
        </w:rPr>
        <w:lastRenderedPageBreak/>
        <w:t>Reference</w:t>
      </w:r>
    </w:p>
    <w:p w14:paraId="7C1224E2" w14:textId="76A4E3B7" w:rsidR="005452FD" w:rsidRDefault="005452FD" w:rsidP="006A17A2">
      <w:pPr>
        <w:rPr>
          <w:lang w:eastAsia="ja-JP"/>
        </w:rPr>
      </w:pPr>
      <w:r>
        <w:rPr>
          <w:rFonts w:hint="eastAsia"/>
          <w:lang w:eastAsia="ja-JP"/>
        </w:rPr>
        <w:t>[</w:t>
      </w:r>
      <w:r w:rsidR="00916F13">
        <w:rPr>
          <w:lang w:eastAsia="ja-JP"/>
        </w:rPr>
        <w:t>1</w:t>
      </w:r>
      <w:r w:rsidRPr="00E301E9">
        <w:rPr>
          <w:rFonts w:hint="eastAsia"/>
          <w:lang w:eastAsia="ja-JP"/>
        </w:rPr>
        <w:t>]</w:t>
      </w:r>
      <w:r>
        <w:rPr>
          <w:lang w:eastAsia="ja-JP"/>
        </w:rPr>
        <w:t xml:space="preserve"> R5-185179</w:t>
      </w:r>
      <w:r w:rsidRPr="00E301E9">
        <w:t>: “</w:t>
      </w:r>
      <w:r>
        <w:t>Meeting notes of offline discussion on FR2 UE common test setup</w:t>
      </w:r>
      <w:r>
        <w:rPr>
          <w:lang w:eastAsia="ja-JP"/>
        </w:rPr>
        <w:t>”, 3GPP TSG-RAN WG5 Meeting#80, Anritsu</w:t>
      </w:r>
    </w:p>
    <w:p w14:paraId="17EE8E3A" w14:textId="77777777" w:rsidR="00177EEE" w:rsidRPr="008E76E8" w:rsidRDefault="00177EEE" w:rsidP="008E76E8">
      <w:pPr>
        <w:ind w:left="1418" w:hangingChars="709" w:hanging="1418"/>
      </w:pPr>
    </w:p>
    <w:sectPr w:rsidR="00177EEE" w:rsidRPr="008E76E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8F3C0" w14:textId="77777777" w:rsidR="00467A63" w:rsidRDefault="00467A63">
      <w:r>
        <w:separator/>
      </w:r>
    </w:p>
  </w:endnote>
  <w:endnote w:type="continuationSeparator" w:id="0">
    <w:p w14:paraId="1968F738" w14:textId="77777777" w:rsidR="00467A63" w:rsidRDefault="0046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Batang">
    <w:altName w:val="바탕"/>
    <w:panose1 w:val="00000000000000000000"/>
    <w:charset w:val="81"/>
    <w:family w:val="auto"/>
    <w:notTrueType/>
    <w:pitch w:val="fixed"/>
    <w:sig w:usb0="00000001" w:usb1="09060000" w:usb2="00000010" w:usb3="00000000" w:csb0="00080000" w:csb1="00000000"/>
  </w:font>
  <w:font w:name="Osaka">
    <w:panose1 w:val="020B0600000000000000"/>
    <w:charset w:val="4E"/>
    <w:family w:val="auto"/>
    <w:pitch w:val="variable"/>
    <w:sig w:usb0="00000001" w:usb1="08070000" w:usb2="00000010" w:usb3="00000000" w:csb0="00020093"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AB8C9" w14:textId="77777777" w:rsidR="00467A63" w:rsidRDefault="00467A6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4FC313" w14:textId="77777777" w:rsidR="00467A63" w:rsidRDefault="00467A6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D9BA" w14:textId="77777777" w:rsidR="00467A63" w:rsidRDefault="00467A6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6AE0">
      <w:rPr>
        <w:rStyle w:val="PageNumber"/>
      </w:rPr>
      <w:t>1</w:t>
    </w:r>
    <w:r>
      <w:rPr>
        <w:rStyle w:val="PageNumber"/>
      </w:rPr>
      <w:fldChar w:fldCharType="end"/>
    </w:r>
  </w:p>
  <w:p w14:paraId="43628A97" w14:textId="77777777" w:rsidR="00467A63" w:rsidRDefault="00467A6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B6C26" w14:textId="77777777" w:rsidR="00467A63" w:rsidRDefault="00467A63">
      <w:r>
        <w:separator/>
      </w:r>
    </w:p>
  </w:footnote>
  <w:footnote w:type="continuationSeparator" w:id="0">
    <w:p w14:paraId="1D8E0242" w14:textId="77777777" w:rsidR="00467A63" w:rsidRDefault="00467A6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2D666AC3"/>
    <w:multiLevelType w:val="hybridMultilevel"/>
    <w:tmpl w:val="003099D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FC544DE"/>
    <w:multiLevelType w:val="hybridMultilevel"/>
    <w:tmpl w:val="5D1EE080"/>
    <w:lvl w:ilvl="0" w:tplc="04090019">
      <w:start w:val="1"/>
      <w:numFmt w:val="lowerLetter"/>
      <w:lvlText w:val="%1."/>
      <w:lvlJc w:val="left"/>
      <w:pPr>
        <w:ind w:left="1684" w:hanging="360"/>
      </w:pPr>
      <w:rPr>
        <w:rFonts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nsid w:val="3E1C09D4"/>
    <w:multiLevelType w:val="hybridMultilevel"/>
    <w:tmpl w:val="78E43B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nsid w:val="48261785"/>
    <w:multiLevelType w:val="hybridMultilevel"/>
    <w:tmpl w:val="0568A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CF5CF7"/>
    <w:multiLevelType w:val="hybridMultilevel"/>
    <w:tmpl w:val="29888D2C"/>
    <w:lvl w:ilvl="0" w:tplc="2B5CF10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5FA33A2F"/>
    <w:multiLevelType w:val="multilevel"/>
    <w:tmpl w:val="AFF4B41A"/>
    <w:lvl w:ilvl="0">
      <w:start w:val="1"/>
      <w:numFmt w:val="decimal"/>
      <w:pStyle w:val="Heading1"/>
      <w:lvlText w:val="%1"/>
      <w:lvlJc w:val="left"/>
      <w:pPr>
        <w:ind w:left="432" w:hanging="432"/>
      </w:pPr>
      <w:rPr>
        <w:lang w:val="en-GB"/>
      </w:r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63713384"/>
    <w:multiLevelType w:val="hybridMultilevel"/>
    <w:tmpl w:val="FFDAD5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8C7DD2"/>
    <w:multiLevelType w:val="hybridMultilevel"/>
    <w:tmpl w:val="4F921DEA"/>
    <w:lvl w:ilvl="0" w:tplc="FCDC1A8E">
      <w:start w:val="1"/>
      <w:numFmt w:val="bullet"/>
      <w:lvlText w:val="•"/>
      <w:lvlJc w:val="left"/>
      <w:pPr>
        <w:tabs>
          <w:tab w:val="num" w:pos="720"/>
        </w:tabs>
        <w:ind w:left="720" w:hanging="360"/>
      </w:pPr>
      <w:rPr>
        <w:rFonts w:ascii="Arial" w:hAnsi="Arial" w:hint="default"/>
      </w:rPr>
    </w:lvl>
    <w:lvl w:ilvl="1" w:tplc="41664C3E" w:tentative="1">
      <w:start w:val="1"/>
      <w:numFmt w:val="bullet"/>
      <w:lvlText w:val="•"/>
      <w:lvlJc w:val="left"/>
      <w:pPr>
        <w:tabs>
          <w:tab w:val="num" w:pos="1440"/>
        </w:tabs>
        <w:ind w:left="1440" w:hanging="360"/>
      </w:pPr>
      <w:rPr>
        <w:rFonts w:ascii="Arial" w:hAnsi="Arial" w:hint="default"/>
      </w:rPr>
    </w:lvl>
    <w:lvl w:ilvl="2" w:tplc="70B659DE" w:tentative="1">
      <w:start w:val="1"/>
      <w:numFmt w:val="bullet"/>
      <w:lvlText w:val="•"/>
      <w:lvlJc w:val="left"/>
      <w:pPr>
        <w:tabs>
          <w:tab w:val="num" w:pos="2160"/>
        </w:tabs>
        <w:ind w:left="2160" w:hanging="360"/>
      </w:pPr>
      <w:rPr>
        <w:rFonts w:ascii="Arial" w:hAnsi="Arial" w:hint="default"/>
      </w:rPr>
    </w:lvl>
    <w:lvl w:ilvl="3" w:tplc="2BAE1C6A" w:tentative="1">
      <w:start w:val="1"/>
      <w:numFmt w:val="bullet"/>
      <w:lvlText w:val="•"/>
      <w:lvlJc w:val="left"/>
      <w:pPr>
        <w:tabs>
          <w:tab w:val="num" w:pos="2880"/>
        </w:tabs>
        <w:ind w:left="2880" w:hanging="360"/>
      </w:pPr>
      <w:rPr>
        <w:rFonts w:ascii="Arial" w:hAnsi="Arial" w:hint="default"/>
      </w:rPr>
    </w:lvl>
    <w:lvl w:ilvl="4" w:tplc="89F2A014" w:tentative="1">
      <w:start w:val="1"/>
      <w:numFmt w:val="bullet"/>
      <w:lvlText w:val="•"/>
      <w:lvlJc w:val="left"/>
      <w:pPr>
        <w:tabs>
          <w:tab w:val="num" w:pos="3600"/>
        </w:tabs>
        <w:ind w:left="3600" w:hanging="360"/>
      </w:pPr>
      <w:rPr>
        <w:rFonts w:ascii="Arial" w:hAnsi="Arial" w:hint="default"/>
      </w:rPr>
    </w:lvl>
    <w:lvl w:ilvl="5" w:tplc="B3068C02" w:tentative="1">
      <w:start w:val="1"/>
      <w:numFmt w:val="bullet"/>
      <w:lvlText w:val="•"/>
      <w:lvlJc w:val="left"/>
      <w:pPr>
        <w:tabs>
          <w:tab w:val="num" w:pos="4320"/>
        </w:tabs>
        <w:ind w:left="4320" w:hanging="360"/>
      </w:pPr>
      <w:rPr>
        <w:rFonts w:ascii="Arial" w:hAnsi="Arial" w:hint="default"/>
      </w:rPr>
    </w:lvl>
    <w:lvl w:ilvl="6" w:tplc="9A4A7360" w:tentative="1">
      <w:start w:val="1"/>
      <w:numFmt w:val="bullet"/>
      <w:lvlText w:val="•"/>
      <w:lvlJc w:val="left"/>
      <w:pPr>
        <w:tabs>
          <w:tab w:val="num" w:pos="5040"/>
        </w:tabs>
        <w:ind w:left="5040" w:hanging="360"/>
      </w:pPr>
      <w:rPr>
        <w:rFonts w:ascii="Arial" w:hAnsi="Arial" w:hint="default"/>
      </w:rPr>
    </w:lvl>
    <w:lvl w:ilvl="7" w:tplc="CA243C78" w:tentative="1">
      <w:start w:val="1"/>
      <w:numFmt w:val="bullet"/>
      <w:lvlText w:val="•"/>
      <w:lvlJc w:val="left"/>
      <w:pPr>
        <w:tabs>
          <w:tab w:val="num" w:pos="5760"/>
        </w:tabs>
        <w:ind w:left="5760" w:hanging="360"/>
      </w:pPr>
      <w:rPr>
        <w:rFonts w:ascii="Arial" w:hAnsi="Arial" w:hint="default"/>
      </w:rPr>
    </w:lvl>
    <w:lvl w:ilvl="8" w:tplc="41E09792" w:tentative="1">
      <w:start w:val="1"/>
      <w:numFmt w:val="bullet"/>
      <w:lvlText w:val="•"/>
      <w:lvlJc w:val="left"/>
      <w:pPr>
        <w:tabs>
          <w:tab w:val="num" w:pos="6480"/>
        </w:tabs>
        <w:ind w:left="6480" w:hanging="360"/>
      </w:pPr>
      <w:rPr>
        <w:rFonts w:ascii="Arial" w:hAnsi="Arial" w:hint="default"/>
      </w:rPr>
    </w:lvl>
  </w:abstractNum>
  <w:abstractNum w:abstractNumId="18">
    <w:nsid w:val="65CE62F0"/>
    <w:multiLevelType w:val="hybridMultilevel"/>
    <w:tmpl w:val="01800B8E"/>
    <w:lvl w:ilvl="0" w:tplc="01D473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4F35910"/>
    <w:multiLevelType w:val="hybridMultilevel"/>
    <w:tmpl w:val="EF808BC0"/>
    <w:lvl w:ilvl="0" w:tplc="7602B93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C607B2"/>
    <w:multiLevelType w:val="hybridMultilevel"/>
    <w:tmpl w:val="F1FCE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60781E"/>
    <w:multiLevelType w:val="hybridMultilevel"/>
    <w:tmpl w:val="D9ECAE62"/>
    <w:lvl w:ilvl="0" w:tplc="639CE8B2">
      <w:start w:val="1"/>
      <w:numFmt w:val="bullet"/>
      <w:lvlText w:val="•"/>
      <w:lvlJc w:val="left"/>
      <w:pPr>
        <w:tabs>
          <w:tab w:val="num" w:pos="720"/>
        </w:tabs>
        <w:ind w:left="720" w:hanging="360"/>
      </w:pPr>
      <w:rPr>
        <w:rFonts w:ascii="Arial" w:hAnsi="Arial" w:hint="default"/>
      </w:rPr>
    </w:lvl>
    <w:lvl w:ilvl="1" w:tplc="77FC772E" w:tentative="1">
      <w:start w:val="1"/>
      <w:numFmt w:val="bullet"/>
      <w:lvlText w:val="•"/>
      <w:lvlJc w:val="left"/>
      <w:pPr>
        <w:tabs>
          <w:tab w:val="num" w:pos="1440"/>
        </w:tabs>
        <w:ind w:left="1440" w:hanging="360"/>
      </w:pPr>
      <w:rPr>
        <w:rFonts w:ascii="Arial" w:hAnsi="Arial" w:hint="default"/>
      </w:rPr>
    </w:lvl>
    <w:lvl w:ilvl="2" w:tplc="860CE648" w:tentative="1">
      <w:start w:val="1"/>
      <w:numFmt w:val="bullet"/>
      <w:lvlText w:val="•"/>
      <w:lvlJc w:val="left"/>
      <w:pPr>
        <w:tabs>
          <w:tab w:val="num" w:pos="2160"/>
        </w:tabs>
        <w:ind w:left="2160" w:hanging="360"/>
      </w:pPr>
      <w:rPr>
        <w:rFonts w:ascii="Arial" w:hAnsi="Arial" w:hint="default"/>
      </w:rPr>
    </w:lvl>
    <w:lvl w:ilvl="3" w:tplc="FFF2770C" w:tentative="1">
      <w:start w:val="1"/>
      <w:numFmt w:val="bullet"/>
      <w:lvlText w:val="•"/>
      <w:lvlJc w:val="left"/>
      <w:pPr>
        <w:tabs>
          <w:tab w:val="num" w:pos="2880"/>
        </w:tabs>
        <w:ind w:left="2880" w:hanging="360"/>
      </w:pPr>
      <w:rPr>
        <w:rFonts w:ascii="Arial" w:hAnsi="Arial" w:hint="default"/>
      </w:rPr>
    </w:lvl>
    <w:lvl w:ilvl="4" w:tplc="8C6A6526" w:tentative="1">
      <w:start w:val="1"/>
      <w:numFmt w:val="bullet"/>
      <w:lvlText w:val="•"/>
      <w:lvlJc w:val="left"/>
      <w:pPr>
        <w:tabs>
          <w:tab w:val="num" w:pos="3600"/>
        </w:tabs>
        <w:ind w:left="3600" w:hanging="360"/>
      </w:pPr>
      <w:rPr>
        <w:rFonts w:ascii="Arial" w:hAnsi="Arial" w:hint="default"/>
      </w:rPr>
    </w:lvl>
    <w:lvl w:ilvl="5" w:tplc="CC7EAFC0" w:tentative="1">
      <w:start w:val="1"/>
      <w:numFmt w:val="bullet"/>
      <w:lvlText w:val="•"/>
      <w:lvlJc w:val="left"/>
      <w:pPr>
        <w:tabs>
          <w:tab w:val="num" w:pos="4320"/>
        </w:tabs>
        <w:ind w:left="4320" w:hanging="360"/>
      </w:pPr>
      <w:rPr>
        <w:rFonts w:ascii="Arial" w:hAnsi="Arial" w:hint="default"/>
      </w:rPr>
    </w:lvl>
    <w:lvl w:ilvl="6" w:tplc="F4CE43FC" w:tentative="1">
      <w:start w:val="1"/>
      <w:numFmt w:val="bullet"/>
      <w:lvlText w:val="•"/>
      <w:lvlJc w:val="left"/>
      <w:pPr>
        <w:tabs>
          <w:tab w:val="num" w:pos="5040"/>
        </w:tabs>
        <w:ind w:left="5040" w:hanging="360"/>
      </w:pPr>
      <w:rPr>
        <w:rFonts w:ascii="Arial" w:hAnsi="Arial" w:hint="default"/>
      </w:rPr>
    </w:lvl>
    <w:lvl w:ilvl="7" w:tplc="B03C6312" w:tentative="1">
      <w:start w:val="1"/>
      <w:numFmt w:val="bullet"/>
      <w:lvlText w:val="•"/>
      <w:lvlJc w:val="left"/>
      <w:pPr>
        <w:tabs>
          <w:tab w:val="num" w:pos="5760"/>
        </w:tabs>
        <w:ind w:left="5760" w:hanging="360"/>
      </w:pPr>
      <w:rPr>
        <w:rFonts w:ascii="Arial" w:hAnsi="Arial" w:hint="default"/>
      </w:rPr>
    </w:lvl>
    <w:lvl w:ilvl="8" w:tplc="370633F8"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AC1272"/>
    <w:multiLevelType w:val="hybridMultilevel"/>
    <w:tmpl w:val="C8E8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4"/>
  </w:num>
  <w:num w:numId="3">
    <w:abstractNumId w:val="7"/>
  </w:num>
  <w:num w:numId="4">
    <w:abstractNumId w:val="9"/>
  </w:num>
  <w:num w:numId="5">
    <w:abstractNumId w:val="2"/>
  </w:num>
  <w:num w:numId="6">
    <w:abstractNumId w:val="1"/>
  </w:num>
  <w:num w:numId="7">
    <w:abstractNumId w:val="15"/>
  </w:num>
  <w:num w:numId="8">
    <w:abstractNumId w:val="10"/>
  </w:num>
  <w:num w:numId="9">
    <w:abstractNumId w:val="13"/>
  </w:num>
  <w:num w:numId="10">
    <w:abstractNumId w:val="3"/>
  </w:num>
  <w:num w:numId="11">
    <w:abstractNumId w:val="21"/>
  </w:num>
  <w:num w:numId="12">
    <w:abstractNumId w:val="0"/>
  </w:num>
  <w:num w:numId="13">
    <w:abstractNumId w:val="22"/>
  </w:num>
  <w:num w:numId="14">
    <w:abstractNumId w:val="4"/>
  </w:num>
  <w:num w:numId="15">
    <w:abstractNumId w:val="5"/>
  </w:num>
  <w:num w:numId="16">
    <w:abstractNumId w:val="23"/>
  </w:num>
  <w:num w:numId="17">
    <w:abstractNumId w:val="17"/>
  </w:num>
  <w:num w:numId="18">
    <w:abstractNumId w:val="20"/>
  </w:num>
  <w:num w:numId="19">
    <w:abstractNumId w:val="8"/>
  </w:num>
  <w:num w:numId="20">
    <w:abstractNumId w:val="6"/>
  </w:num>
  <w:num w:numId="21">
    <w:abstractNumId w:val="18"/>
  </w:num>
  <w:num w:numId="22">
    <w:abstractNumId w:val="12"/>
  </w:num>
  <w:num w:numId="23">
    <w:abstractNumId w:val="25"/>
  </w:num>
  <w:num w:numId="24">
    <w:abstractNumId w:val="11"/>
  </w:num>
  <w:num w:numId="25">
    <w:abstractNumId w:val="16"/>
  </w:num>
  <w:num w:numId="2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7"/>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638"/>
    <w:rsid w:val="0000223E"/>
    <w:rsid w:val="000024AA"/>
    <w:rsid w:val="0000311A"/>
    <w:rsid w:val="000036BB"/>
    <w:rsid w:val="000040C9"/>
    <w:rsid w:val="000041C9"/>
    <w:rsid w:val="000043FC"/>
    <w:rsid w:val="00004F8E"/>
    <w:rsid w:val="00005953"/>
    <w:rsid w:val="0001459F"/>
    <w:rsid w:val="00015689"/>
    <w:rsid w:val="00015EF9"/>
    <w:rsid w:val="00016F83"/>
    <w:rsid w:val="0001734A"/>
    <w:rsid w:val="00020535"/>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9F6"/>
    <w:rsid w:val="00033CB9"/>
    <w:rsid w:val="00034007"/>
    <w:rsid w:val="00034399"/>
    <w:rsid w:val="000347CF"/>
    <w:rsid w:val="00034E6E"/>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7D0"/>
    <w:rsid w:val="000918CB"/>
    <w:rsid w:val="00091E1F"/>
    <w:rsid w:val="00092416"/>
    <w:rsid w:val="00092737"/>
    <w:rsid w:val="00094187"/>
    <w:rsid w:val="00094C91"/>
    <w:rsid w:val="00096225"/>
    <w:rsid w:val="000A0C17"/>
    <w:rsid w:val="000A188B"/>
    <w:rsid w:val="000A30F9"/>
    <w:rsid w:val="000A4037"/>
    <w:rsid w:val="000A44CD"/>
    <w:rsid w:val="000A5301"/>
    <w:rsid w:val="000A5885"/>
    <w:rsid w:val="000A59BB"/>
    <w:rsid w:val="000A6878"/>
    <w:rsid w:val="000A7522"/>
    <w:rsid w:val="000A7B48"/>
    <w:rsid w:val="000A7B6F"/>
    <w:rsid w:val="000A7EBB"/>
    <w:rsid w:val="000B020B"/>
    <w:rsid w:val="000B0BD7"/>
    <w:rsid w:val="000B2308"/>
    <w:rsid w:val="000B23CA"/>
    <w:rsid w:val="000B25C8"/>
    <w:rsid w:val="000B3DDA"/>
    <w:rsid w:val="000B48C3"/>
    <w:rsid w:val="000B4E07"/>
    <w:rsid w:val="000B53EE"/>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B85"/>
    <w:rsid w:val="000D2C93"/>
    <w:rsid w:val="000D3273"/>
    <w:rsid w:val="000D358C"/>
    <w:rsid w:val="000D6065"/>
    <w:rsid w:val="000D6430"/>
    <w:rsid w:val="000D6658"/>
    <w:rsid w:val="000D75B1"/>
    <w:rsid w:val="000D79E2"/>
    <w:rsid w:val="000E0428"/>
    <w:rsid w:val="000E0F80"/>
    <w:rsid w:val="000E1D17"/>
    <w:rsid w:val="000E254D"/>
    <w:rsid w:val="000E62AD"/>
    <w:rsid w:val="000E682B"/>
    <w:rsid w:val="000E690E"/>
    <w:rsid w:val="000E6F50"/>
    <w:rsid w:val="000F1BB0"/>
    <w:rsid w:val="000F27C5"/>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B27"/>
    <w:rsid w:val="00106D66"/>
    <w:rsid w:val="00106F4B"/>
    <w:rsid w:val="0010713B"/>
    <w:rsid w:val="00110192"/>
    <w:rsid w:val="00110F4A"/>
    <w:rsid w:val="00111324"/>
    <w:rsid w:val="00112856"/>
    <w:rsid w:val="00114895"/>
    <w:rsid w:val="00114D72"/>
    <w:rsid w:val="00114E12"/>
    <w:rsid w:val="00114EE6"/>
    <w:rsid w:val="001153ED"/>
    <w:rsid w:val="00115683"/>
    <w:rsid w:val="00115AAE"/>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2B7"/>
    <w:rsid w:val="00135BE3"/>
    <w:rsid w:val="00136A30"/>
    <w:rsid w:val="001376D7"/>
    <w:rsid w:val="00137D54"/>
    <w:rsid w:val="00137E1E"/>
    <w:rsid w:val="00140A22"/>
    <w:rsid w:val="00140B04"/>
    <w:rsid w:val="00140B3A"/>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60A15"/>
    <w:rsid w:val="00161621"/>
    <w:rsid w:val="001634F9"/>
    <w:rsid w:val="00163704"/>
    <w:rsid w:val="001645E7"/>
    <w:rsid w:val="0016528A"/>
    <w:rsid w:val="001665A4"/>
    <w:rsid w:val="00166A54"/>
    <w:rsid w:val="00171146"/>
    <w:rsid w:val="0017131E"/>
    <w:rsid w:val="00171A5F"/>
    <w:rsid w:val="00171CA4"/>
    <w:rsid w:val="001721B0"/>
    <w:rsid w:val="00172527"/>
    <w:rsid w:val="00172981"/>
    <w:rsid w:val="00172A95"/>
    <w:rsid w:val="00173D10"/>
    <w:rsid w:val="001748B5"/>
    <w:rsid w:val="00174D74"/>
    <w:rsid w:val="0017575D"/>
    <w:rsid w:val="001760D7"/>
    <w:rsid w:val="001776B3"/>
    <w:rsid w:val="00177E47"/>
    <w:rsid w:val="00177EEE"/>
    <w:rsid w:val="001808D9"/>
    <w:rsid w:val="00181669"/>
    <w:rsid w:val="001817B0"/>
    <w:rsid w:val="001818F3"/>
    <w:rsid w:val="00182C57"/>
    <w:rsid w:val="00182F9E"/>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DD0"/>
    <w:rsid w:val="00195E07"/>
    <w:rsid w:val="00195F40"/>
    <w:rsid w:val="001963B6"/>
    <w:rsid w:val="0019643C"/>
    <w:rsid w:val="00196801"/>
    <w:rsid w:val="0019740D"/>
    <w:rsid w:val="00197EAC"/>
    <w:rsid w:val="001A020F"/>
    <w:rsid w:val="001A1FB9"/>
    <w:rsid w:val="001A21FD"/>
    <w:rsid w:val="001A2B30"/>
    <w:rsid w:val="001A414B"/>
    <w:rsid w:val="001A463A"/>
    <w:rsid w:val="001A4E3B"/>
    <w:rsid w:val="001A5354"/>
    <w:rsid w:val="001A5A85"/>
    <w:rsid w:val="001A5B6B"/>
    <w:rsid w:val="001A6076"/>
    <w:rsid w:val="001A6A83"/>
    <w:rsid w:val="001A6BB7"/>
    <w:rsid w:val="001A7592"/>
    <w:rsid w:val="001A7B7F"/>
    <w:rsid w:val="001A7E80"/>
    <w:rsid w:val="001B00ED"/>
    <w:rsid w:val="001B2725"/>
    <w:rsid w:val="001B27AA"/>
    <w:rsid w:val="001B3987"/>
    <w:rsid w:val="001B3EF2"/>
    <w:rsid w:val="001B3F05"/>
    <w:rsid w:val="001B5E6C"/>
    <w:rsid w:val="001C03EA"/>
    <w:rsid w:val="001C0479"/>
    <w:rsid w:val="001C13C4"/>
    <w:rsid w:val="001C1706"/>
    <w:rsid w:val="001C1DA8"/>
    <w:rsid w:val="001C2042"/>
    <w:rsid w:val="001C20F6"/>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2269"/>
    <w:rsid w:val="001D4BC3"/>
    <w:rsid w:val="001D5E1E"/>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3093"/>
    <w:rsid w:val="001E41F3"/>
    <w:rsid w:val="001E4F4B"/>
    <w:rsid w:val="001E570D"/>
    <w:rsid w:val="001E6772"/>
    <w:rsid w:val="001E7814"/>
    <w:rsid w:val="001F02E5"/>
    <w:rsid w:val="001F1044"/>
    <w:rsid w:val="001F106C"/>
    <w:rsid w:val="001F15CE"/>
    <w:rsid w:val="001F1C0A"/>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76D"/>
    <w:rsid w:val="00210E3C"/>
    <w:rsid w:val="0021170A"/>
    <w:rsid w:val="00211CCA"/>
    <w:rsid w:val="00213935"/>
    <w:rsid w:val="00215112"/>
    <w:rsid w:val="00215541"/>
    <w:rsid w:val="00215823"/>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2D0"/>
    <w:rsid w:val="002356BB"/>
    <w:rsid w:val="00235F3E"/>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4F11"/>
    <w:rsid w:val="00255ADC"/>
    <w:rsid w:val="00255E20"/>
    <w:rsid w:val="00256170"/>
    <w:rsid w:val="002563E9"/>
    <w:rsid w:val="0025645C"/>
    <w:rsid w:val="00260F61"/>
    <w:rsid w:val="00261D75"/>
    <w:rsid w:val="002627B5"/>
    <w:rsid w:val="002627FF"/>
    <w:rsid w:val="00262D2C"/>
    <w:rsid w:val="00262E4F"/>
    <w:rsid w:val="002634D1"/>
    <w:rsid w:val="002635F3"/>
    <w:rsid w:val="00263B7D"/>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466C"/>
    <w:rsid w:val="00275D12"/>
    <w:rsid w:val="002762F3"/>
    <w:rsid w:val="00276549"/>
    <w:rsid w:val="002765D5"/>
    <w:rsid w:val="00277301"/>
    <w:rsid w:val="002773D8"/>
    <w:rsid w:val="002801CF"/>
    <w:rsid w:val="00281CBF"/>
    <w:rsid w:val="00282599"/>
    <w:rsid w:val="00282E6A"/>
    <w:rsid w:val="00283507"/>
    <w:rsid w:val="002835E0"/>
    <w:rsid w:val="0028362B"/>
    <w:rsid w:val="00285A54"/>
    <w:rsid w:val="00285F9E"/>
    <w:rsid w:val="002861C4"/>
    <w:rsid w:val="00286EE7"/>
    <w:rsid w:val="00286EFD"/>
    <w:rsid w:val="00287C98"/>
    <w:rsid w:val="0029035B"/>
    <w:rsid w:val="00291A2A"/>
    <w:rsid w:val="00292034"/>
    <w:rsid w:val="00292145"/>
    <w:rsid w:val="002921F8"/>
    <w:rsid w:val="0029281C"/>
    <w:rsid w:val="00293112"/>
    <w:rsid w:val="00293168"/>
    <w:rsid w:val="00293E54"/>
    <w:rsid w:val="002953C5"/>
    <w:rsid w:val="00295FF1"/>
    <w:rsid w:val="0029690D"/>
    <w:rsid w:val="00296F22"/>
    <w:rsid w:val="0029787B"/>
    <w:rsid w:val="002979F1"/>
    <w:rsid w:val="00297E7C"/>
    <w:rsid w:val="002A0369"/>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432D"/>
    <w:rsid w:val="002B4425"/>
    <w:rsid w:val="002B4B2B"/>
    <w:rsid w:val="002B4BCB"/>
    <w:rsid w:val="002B4FE3"/>
    <w:rsid w:val="002B50A7"/>
    <w:rsid w:val="002B5AA3"/>
    <w:rsid w:val="002B5D51"/>
    <w:rsid w:val="002B6418"/>
    <w:rsid w:val="002C0C64"/>
    <w:rsid w:val="002C129C"/>
    <w:rsid w:val="002C1D1E"/>
    <w:rsid w:val="002C1DA6"/>
    <w:rsid w:val="002C22F9"/>
    <w:rsid w:val="002C3949"/>
    <w:rsid w:val="002C3D11"/>
    <w:rsid w:val="002C5A0A"/>
    <w:rsid w:val="002C6161"/>
    <w:rsid w:val="002C78CA"/>
    <w:rsid w:val="002D0490"/>
    <w:rsid w:val="002D0AC4"/>
    <w:rsid w:val="002D0E97"/>
    <w:rsid w:val="002D16F0"/>
    <w:rsid w:val="002D2B7D"/>
    <w:rsid w:val="002D42C1"/>
    <w:rsid w:val="002D42DA"/>
    <w:rsid w:val="002D4823"/>
    <w:rsid w:val="002D5CCC"/>
    <w:rsid w:val="002D6EE7"/>
    <w:rsid w:val="002E0D59"/>
    <w:rsid w:val="002E0F6F"/>
    <w:rsid w:val="002E1250"/>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4BBD"/>
    <w:rsid w:val="002F4FAA"/>
    <w:rsid w:val="002F5772"/>
    <w:rsid w:val="002F59E1"/>
    <w:rsid w:val="002F66B2"/>
    <w:rsid w:val="002F6A21"/>
    <w:rsid w:val="002F6C87"/>
    <w:rsid w:val="002F7FDB"/>
    <w:rsid w:val="003017A2"/>
    <w:rsid w:val="00301847"/>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A2"/>
    <w:rsid w:val="00315B37"/>
    <w:rsid w:val="00315CE9"/>
    <w:rsid w:val="00316A99"/>
    <w:rsid w:val="00316BC4"/>
    <w:rsid w:val="00317C3D"/>
    <w:rsid w:val="0032080E"/>
    <w:rsid w:val="00320A15"/>
    <w:rsid w:val="00320BCB"/>
    <w:rsid w:val="00321E40"/>
    <w:rsid w:val="003227B1"/>
    <w:rsid w:val="00322DDD"/>
    <w:rsid w:val="00322E26"/>
    <w:rsid w:val="003231D6"/>
    <w:rsid w:val="00323BF8"/>
    <w:rsid w:val="0032442C"/>
    <w:rsid w:val="003248D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7671"/>
    <w:rsid w:val="00347D59"/>
    <w:rsid w:val="0035086F"/>
    <w:rsid w:val="00350903"/>
    <w:rsid w:val="003515AC"/>
    <w:rsid w:val="003516E7"/>
    <w:rsid w:val="0035333D"/>
    <w:rsid w:val="00353C0E"/>
    <w:rsid w:val="00353FAA"/>
    <w:rsid w:val="00354883"/>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DD9"/>
    <w:rsid w:val="003A64DF"/>
    <w:rsid w:val="003A683B"/>
    <w:rsid w:val="003A690E"/>
    <w:rsid w:val="003A6B31"/>
    <w:rsid w:val="003A6CD4"/>
    <w:rsid w:val="003A7DD5"/>
    <w:rsid w:val="003B0A81"/>
    <w:rsid w:val="003B1573"/>
    <w:rsid w:val="003B15AB"/>
    <w:rsid w:val="003B34D7"/>
    <w:rsid w:val="003B422C"/>
    <w:rsid w:val="003B49F2"/>
    <w:rsid w:val="003B4AD8"/>
    <w:rsid w:val="003B4B6D"/>
    <w:rsid w:val="003B50FE"/>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273"/>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1CEF"/>
    <w:rsid w:val="003F20F8"/>
    <w:rsid w:val="003F2117"/>
    <w:rsid w:val="003F251E"/>
    <w:rsid w:val="003F2986"/>
    <w:rsid w:val="003F4F9B"/>
    <w:rsid w:val="003F7B15"/>
    <w:rsid w:val="00400196"/>
    <w:rsid w:val="00400A94"/>
    <w:rsid w:val="004012EA"/>
    <w:rsid w:val="00401A14"/>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C90"/>
    <w:rsid w:val="00427D13"/>
    <w:rsid w:val="0043181E"/>
    <w:rsid w:val="004326A5"/>
    <w:rsid w:val="00432792"/>
    <w:rsid w:val="00432AFF"/>
    <w:rsid w:val="00433EC8"/>
    <w:rsid w:val="00434CDE"/>
    <w:rsid w:val="00435895"/>
    <w:rsid w:val="00435B58"/>
    <w:rsid w:val="0043627C"/>
    <w:rsid w:val="004364C5"/>
    <w:rsid w:val="004372AA"/>
    <w:rsid w:val="00440560"/>
    <w:rsid w:val="00440FAD"/>
    <w:rsid w:val="00443932"/>
    <w:rsid w:val="00443B52"/>
    <w:rsid w:val="00444408"/>
    <w:rsid w:val="004456F3"/>
    <w:rsid w:val="00445FBF"/>
    <w:rsid w:val="004461B8"/>
    <w:rsid w:val="004467D5"/>
    <w:rsid w:val="0044713E"/>
    <w:rsid w:val="00447577"/>
    <w:rsid w:val="0045088E"/>
    <w:rsid w:val="0045101D"/>
    <w:rsid w:val="0045141B"/>
    <w:rsid w:val="00452CD0"/>
    <w:rsid w:val="00453664"/>
    <w:rsid w:val="004548A4"/>
    <w:rsid w:val="00454996"/>
    <w:rsid w:val="00455031"/>
    <w:rsid w:val="00455652"/>
    <w:rsid w:val="004558A0"/>
    <w:rsid w:val="00455FD8"/>
    <w:rsid w:val="004561F2"/>
    <w:rsid w:val="004562C0"/>
    <w:rsid w:val="00456ECC"/>
    <w:rsid w:val="004571A1"/>
    <w:rsid w:val="00457500"/>
    <w:rsid w:val="0046085C"/>
    <w:rsid w:val="00461487"/>
    <w:rsid w:val="00462779"/>
    <w:rsid w:val="00462B0A"/>
    <w:rsid w:val="004643A4"/>
    <w:rsid w:val="004646AB"/>
    <w:rsid w:val="004648FE"/>
    <w:rsid w:val="00465DA2"/>
    <w:rsid w:val="00466DE2"/>
    <w:rsid w:val="00467A63"/>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56"/>
    <w:rsid w:val="004842E9"/>
    <w:rsid w:val="0048508B"/>
    <w:rsid w:val="00486F1C"/>
    <w:rsid w:val="00487591"/>
    <w:rsid w:val="00487948"/>
    <w:rsid w:val="00487BA4"/>
    <w:rsid w:val="0049164C"/>
    <w:rsid w:val="004930DF"/>
    <w:rsid w:val="004948CD"/>
    <w:rsid w:val="00495533"/>
    <w:rsid w:val="00495F11"/>
    <w:rsid w:val="00496D58"/>
    <w:rsid w:val="00497D0B"/>
    <w:rsid w:val="004A0280"/>
    <w:rsid w:val="004A19AF"/>
    <w:rsid w:val="004A1A2D"/>
    <w:rsid w:val="004A1D49"/>
    <w:rsid w:val="004A28CC"/>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2B61"/>
    <w:rsid w:val="004D3639"/>
    <w:rsid w:val="004D39D3"/>
    <w:rsid w:val="004D3B30"/>
    <w:rsid w:val="004D3D64"/>
    <w:rsid w:val="004D4407"/>
    <w:rsid w:val="004D4543"/>
    <w:rsid w:val="004D5117"/>
    <w:rsid w:val="004D5CE1"/>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32"/>
    <w:rsid w:val="004E6D2A"/>
    <w:rsid w:val="004E7B99"/>
    <w:rsid w:val="004F0CB0"/>
    <w:rsid w:val="004F1B2E"/>
    <w:rsid w:val="004F1D0F"/>
    <w:rsid w:val="004F1D11"/>
    <w:rsid w:val="004F20C7"/>
    <w:rsid w:val="004F2EBD"/>
    <w:rsid w:val="004F2F76"/>
    <w:rsid w:val="004F3695"/>
    <w:rsid w:val="004F3EB1"/>
    <w:rsid w:val="004F56CD"/>
    <w:rsid w:val="004F5EFE"/>
    <w:rsid w:val="004F601B"/>
    <w:rsid w:val="004F6124"/>
    <w:rsid w:val="004F632C"/>
    <w:rsid w:val="004F6A1D"/>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229"/>
    <w:rsid w:val="00510422"/>
    <w:rsid w:val="0051054C"/>
    <w:rsid w:val="00510C01"/>
    <w:rsid w:val="0051284D"/>
    <w:rsid w:val="005138D0"/>
    <w:rsid w:val="0051424E"/>
    <w:rsid w:val="0051444C"/>
    <w:rsid w:val="00514C6A"/>
    <w:rsid w:val="005150E6"/>
    <w:rsid w:val="0051516B"/>
    <w:rsid w:val="005167C9"/>
    <w:rsid w:val="00522807"/>
    <w:rsid w:val="00522955"/>
    <w:rsid w:val="00522DC6"/>
    <w:rsid w:val="005237D3"/>
    <w:rsid w:val="00523AEB"/>
    <w:rsid w:val="00525051"/>
    <w:rsid w:val="005252E9"/>
    <w:rsid w:val="00526ECD"/>
    <w:rsid w:val="00526F08"/>
    <w:rsid w:val="00527EFF"/>
    <w:rsid w:val="0053136E"/>
    <w:rsid w:val="00531C10"/>
    <w:rsid w:val="005335D2"/>
    <w:rsid w:val="00534F42"/>
    <w:rsid w:val="00535649"/>
    <w:rsid w:val="00535BEF"/>
    <w:rsid w:val="005363AD"/>
    <w:rsid w:val="005405D6"/>
    <w:rsid w:val="00540968"/>
    <w:rsid w:val="00540DF1"/>
    <w:rsid w:val="00542C9A"/>
    <w:rsid w:val="00542CB1"/>
    <w:rsid w:val="0054313E"/>
    <w:rsid w:val="0054321B"/>
    <w:rsid w:val="005446D8"/>
    <w:rsid w:val="005451E2"/>
    <w:rsid w:val="005452FD"/>
    <w:rsid w:val="0054600D"/>
    <w:rsid w:val="00546795"/>
    <w:rsid w:val="005474DC"/>
    <w:rsid w:val="005520ED"/>
    <w:rsid w:val="00552FBF"/>
    <w:rsid w:val="0055320C"/>
    <w:rsid w:val="00553CFA"/>
    <w:rsid w:val="00554184"/>
    <w:rsid w:val="005553C0"/>
    <w:rsid w:val="00555739"/>
    <w:rsid w:val="00555989"/>
    <w:rsid w:val="00555D99"/>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87F9F"/>
    <w:rsid w:val="005901B5"/>
    <w:rsid w:val="00590501"/>
    <w:rsid w:val="00590CFC"/>
    <w:rsid w:val="005912E5"/>
    <w:rsid w:val="00591565"/>
    <w:rsid w:val="00591FCC"/>
    <w:rsid w:val="00592F70"/>
    <w:rsid w:val="005930BA"/>
    <w:rsid w:val="00594796"/>
    <w:rsid w:val="005960DA"/>
    <w:rsid w:val="0059663C"/>
    <w:rsid w:val="0059703F"/>
    <w:rsid w:val="0059727D"/>
    <w:rsid w:val="005979B0"/>
    <w:rsid w:val="005A19CA"/>
    <w:rsid w:val="005A2619"/>
    <w:rsid w:val="005A3227"/>
    <w:rsid w:val="005A34D5"/>
    <w:rsid w:val="005A389C"/>
    <w:rsid w:val="005A38F7"/>
    <w:rsid w:val="005A39FC"/>
    <w:rsid w:val="005A4847"/>
    <w:rsid w:val="005A50A9"/>
    <w:rsid w:val="005A5321"/>
    <w:rsid w:val="005B1461"/>
    <w:rsid w:val="005B1EA7"/>
    <w:rsid w:val="005B20A5"/>
    <w:rsid w:val="005B298C"/>
    <w:rsid w:val="005B2B64"/>
    <w:rsid w:val="005B2D33"/>
    <w:rsid w:val="005B2F9B"/>
    <w:rsid w:val="005B2FB2"/>
    <w:rsid w:val="005B3076"/>
    <w:rsid w:val="005B356C"/>
    <w:rsid w:val="005B36D6"/>
    <w:rsid w:val="005B379F"/>
    <w:rsid w:val="005B37E3"/>
    <w:rsid w:val="005B50EC"/>
    <w:rsid w:val="005B6086"/>
    <w:rsid w:val="005B6E07"/>
    <w:rsid w:val="005C0961"/>
    <w:rsid w:val="005C2340"/>
    <w:rsid w:val="005C3AB3"/>
    <w:rsid w:val="005C4332"/>
    <w:rsid w:val="005C4859"/>
    <w:rsid w:val="005C54FC"/>
    <w:rsid w:val="005C70DF"/>
    <w:rsid w:val="005C7CDC"/>
    <w:rsid w:val="005D3BCA"/>
    <w:rsid w:val="005D3F2D"/>
    <w:rsid w:val="005D5698"/>
    <w:rsid w:val="005D64F9"/>
    <w:rsid w:val="005D6806"/>
    <w:rsid w:val="005D7377"/>
    <w:rsid w:val="005E1E23"/>
    <w:rsid w:val="005E207E"/>
    <w:rsid w:val="005E2C44"/>
    <w:rsid w:val="005E30D3"/>
    <w:rsid w:val="005E3958"/>
    <w:rsid w:val="005E3E81"/>
    <w:rsid w:val="005E605E"/>
    <w:rsid w:val="005E6175"/>
    <w:rsid w:val="005E66C8"/>
    <w:rsid w:val="005E7042"/>
    <w:rsid w:val="005E7D12"/>
    <w:rsid w:val="005F22FB"/>
    <w:rsid w:val="005F2915"/>
    <w:rsid w:val="005F4DD7"/>
    <w:rsid w:val="005F5D79"/>
    <w:rsid w:val="005F67A0"/>
    <w:rsid w:val="005F7302"/>
    <w:rsid w:val="006014BE"/>
    <w:rsid w:val="006015CA"/>
    <w:rsid w:val="0060388C"/>
    <w:rsid w:val="00603B8E"/>
    <w:rsid w:val="00603D9B"/>
    <w:rsid w:val="00603FF3"/>
    <w:rsid w:val="00604928"/>
    <w:rsid w:val="00605384"/>
    <w:rsid w:val="00605F1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247"/>
    <w:rsid w:val="006264A7"/>
    <w:rsid w:val="00626975"/>
    <w:rsid w:val="00626EAB"/>
    <w:rsid w:val="0062753C"/>
    <w:rsid w:val="00627B14"/>
    <w:rsid w:val="00630EDF"/>
    <w:rsid w:val="0063227B"/>
    <w:rsid w:val="0063329B"/>
    <w:rsid w:val="00633D94"/>
    <w:rsid w:val="00633E25"/>
    <w:rsid w:val="00634490"/>
    <w:rsid w:val="00634B0E"/>
    <w:rsid w:val="00635289"/>
    <w:rsid w:val="00635926"/>
    <w:rsid w:val="0063631E"/>
    <w:rsid w:val="00637971"/>
    <w:rsid w:val="006403E3"/>
    <w:rsid w:val="00641215"/>
    <w:rsid w:val="00641692"/>
    <w:rsid w:val="00642169"/>
    <w:rsid w:val="00643DA9"/>
    <w:rsid w:val="0064425A"/>
    <w:rsid w:val="00644CA2"/>
    <w:rsid w:val="00644F4C"/>
    <w:rsid w:val="00645C42"/>
    <w:rsid w:val="00646870"/>
    <w:rsid w:val="006469F8"/>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218E"/>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17A2"/>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76FC"/>
    <w:rsid w:val="007102B1"/>
    <w:rsid w:val="007104DC"/>
    <w:rsid w:val="00710540"/>
    <w:rsid w:val="00710D67"/>
    <w:rsid w:val="00710DE2"/>
    <w:rsid w:val="00710ECC"/>
    <w:rsid w:val="00710FC7"/>
    <w:rsid w:val="00712626"/>
    <w:rsid w:val="00712E03"/>
    <w:rsid w:val="00714BFF"/>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7B"/>
    <w:rsid w:val="00727F6B"/>
    <w:rsid w:val="00730FBC"/>
    <w:rsid w:val="0073150B"/>
    <w:rsid w:val="00732492"/>
    <w:rsid w:val="007324BC"/>
    <w:rsid w:val="007330D2"/>
    <w:rsid w:val="0073310F"/>
    <w:rsid w:val="00734A9D"/>
    <w:rsid w:val="00734B95"/>
    <w:rsid w:val="00736301"/>
    <w:rsid w:val="00736DDE"/>
    <w:rsid w:val="00737552"/>
    <w:rsid w:val="007423BF"/>
    <w:rsid w:val="00744BB3"/>
    <w:rsid w:val="0074589C"/>
    <w:rsid w:val="007465C3"/>
    <w:rsid w:val="00746FDC"/>
    <w:rsid w:val="00747161"/>
    <w:rsid w:val="0074732E"/>
    <w:rsid w:val="00752187"/>
    <w:rsid w:val="00752398"/>
    <w:rsid w:val="00752F7C"/>
    <w:rsid w:val="00753035"/>
    <w:rsid w:val="007534BA"/>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208A"/>
    <w:rsid w:val="00762738"/>
    <w:rsid w:val="00762A14"/>
    <w:rsid w:val="00762D51"/>
    <w:rsid w:val="007630DD"/>
    <w:rsid w:val="007641C7"/>
    <w:rsid w:val="00764E05"/>
    <w:rsid w:val="00765DE1"/>
    <w:rsid w:val="00765F8F"/>
    <w:rsid w:val="00766A9A"/>
    <w:rsid w:val="00767236"/>
    <w:rsid w:val="0076767C"/>
    <w:rsid w:val="00767A6C"/>
    <w:rsid w:val="00767D83"/>
    <w:rsid w:val="0077094E"/>
    <w:rsid w:val="00770A9D"/>
    <w:rsid w:val="00771535"/>
    <w:rsid w:val="00771722"/>
    <w:rsid w:val="00771EF3"/>
    <w:rsid w:val="007723D5"/>
    <w:rsid w:val="007727F9"/>
    <w:rsid w:val="00772DF0"/>
    <w:rsid w:val="00774B7C"/>
    <w:rsid w:val="00774C8B"/>
    <w:rsid w:val="00775714"/>
    <w:rsid w:val="007758E8"/>
    <w:rsid w:val="0077671B"/>
    <w:rsid w:val="007770E9"/>
    <w:rsid w:val="007771EE"/>
    <w:rsid w:val="007779F6"/>
    <w:rsid w:val="0078020C"/>
    <w:rsid w:val="00780610"/>
    <w:rsid w:val="00780AAD"/>
    <w:rsid w:val="00780B29"/>
    <w:rsid w:val="00780FCF"/>
    <w:rsid w:val="007815AD"/>
    <w:rsid w:val="00782345"/>
    <w:rsid w:val="00782360"/>
    <w:rsid w:val="0078276F"/>
    <w:rsid w:val="0078285A"/>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D53"/>
    <w:rsid w:val="007A25FC"/>
    <w:rsid w:val="007A38F0"/>
    <w:rsid w:val="007A3E39"/>
    <w:rsid w:val="007A47CB"/>
    <w:rsid w:val="007A4EF0"/>
    <w:rsid w:val="007A696C"/>
    <w:rsid w:val="007B0002"/>
    <w:rsid w:val="007B01DE"/>
    <w:rsid w:val="007B0503"/>
    <w:rsid w:val="007B1A78"/>
    <w:rsid w:val="007B1B6A"/>
    <w:rsid w:val="007B2173"/>
    <w:rsid w:val="007B3822"/>
    <w:rsid w:val="007B40B7"/>
    <w:rsid w:val="007B4478"/>
    <w:rsid w:val="007B48C4"/>
    <w:rsid w:val="007B512A"/>
    <w:rsid w:val="007B537A"/>
    <w:rsid w:val="007B55D3"/>
    <w:rsid w:val="007B6F8F"/>
    <w:rsid w:val="007B7846"/>
    <w:rsid w:val="007B7C69"/>
    <w:rsid w:val="007C0977"/>
    <w:rsid w:val="007C0F9E"/>
    <w:rsid w:val="007C0FF9"/>
    <w:rsid w:val="007C10A1"/>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31C1"/>
    <w:rsid w:val="007E3AEE"/>
    <w:rsid w:val="007E3FE6"/>
    <w:rsid w:val="007E40A2"/>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719"/>
    <w:rsid w:val="007F5776"/>
    <w:rsid w:val="007F57D7"/>
    <w:rsid w:val="007F5FF4"/>
    <w:rsid w:val="007F622E"/>
    <w:rsid w:val="007F71F4"/>
    <w:rsid w:val="0080074F"/>
    <w:rsid w:val="00800F2A"/>
    <w:rsid w:val="00801587"/>
    <w:rsid w:val="00802345"/>
    <w:rsid w:val="00803F61"/>
    <w:rsid w:val="008042B5"/>
    <w:rsid w:val="0080572C"/>
    <w:rsid w:val="0080575D"/>
    <w:rsid w:val="008068E8"/>
    <w:rsid w:val="00807901"/>
    <w:rsid w:val="0081079E"/>
    <w:rsid w:val="00812140"/>
    <w:rsid w:val="008121CF"/>
    <w:rsid w:val="00812736"/>
    <w:rsid w:val="00813840"/>
    <w:rsid w:val="00813A37"/>
    <w:rsid w:val="00813F13"/>
    <w:rsid w:val="00813F40"/>
    <w:rsid w:val="00814A1D"/>
    <w:rsid w:val="00815023"/>
    <w:rsid w:val="008150C3"/>
    <w:rsid w:val="0081527B"/>
    <w:rsid w:val="00815C44"/>
    <w:rsid w:val="00816BC0"/>
    <w:rsid w:val="00817195"/>
    <w:rsid w:val="008174DC"/>
    <w:rsid w:val="00817AC2"/>
    <w:rsid w:val="00817B5F"/>
    <w:rsid w:val="008205B7"/>
    <w:rsid w:val="008211E0"/>
    <w:rsid w:val="00821510"/>
    <w:rsid w:val="008216ED"/>
    <w:rsid w:val="0082192F"/>
    <w:rsid w:val="0082212F"/>
    <w:rsid w:val="00822188"/>
    <w:rsid w:val="00822DC3"/>
    <w:rsid w:val="008245EF"/>
    <w:rsid w:val="0082495E"/>
    <w:rsid w:val="00825B11"/>
    <w:rsid w:val="0082636F"/>
    <w:rsid w:val="00827129"/>
    <w:rsid w:val="00827208"/>
    <w:rsid w:val="00827873"/>
    <w:rsid w:val="00827B02"/>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4089"/>
    <w:rsid w:val="00855AFB"/>
    <w:rsid w:val="008564C2"/>
    <w:rsid w:val="00856E06"/>
    <w:rsid w:val="0085755E"/>
    <w:rsid w:val="00857899"/>
    <w:rsid w:val="008602EE"/>
    <w:rsid w:val="0086043B"/>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ACE"/>
    <w:rsid w:val="00873F1E"/>
    <w:rsid w:val="00873F8F"/>
    <w:rsid w:val="00874077"/>
    <w:rsid w:val="008747BD"/>
    <w:rsid w:val="00874A14"/>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CB2"/>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70E4"/>
    <w:rsid w:val="008B077A"/>
    <w:rsid w:val="008B0D5B"/>
    <w:rsid w:val="008B1984"/>
    <w:rsid w:val="008B251A"/>
    <w:rsid w:val="008B392E"/>
    <w:rsid w:val="008B3F51"/>
    <w:rsid w:val="008B4922"/>
    <w:rsid w:val="008B511F"/>
    <w:rsid w:val="008B5316"/>
    <w:rsid w:val="008B5F54"/>
    <w:rsid w:val="008B6D0E"/>
    <w:rsid w:val="008B7C0D"/>
    <w:rsid w:val="008C164F"/>
    <w:rsid w:val="008C24F9"/>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4224"/>
    <w:rsid w:val="008D4311"/>
    <w:rsid w:val="008D4C6E"/>
    <w:rsid w:val="008D54A8"/>
    <w:rsid w:val="008D55B2"/>
    <w:rsid w:val="008D7820"/>
    <w:rsid w:val="008D7FFB"/>
    <w:rsid w:val="008E0250"/>
    <w:rsid w:val="008E0AB5"/>
    <w:rsid w:val="008E229E"/>
    <w:rsid w:val="008E2EF9"/>
    <w:rsid w:val="008E4379"/>
    <w:rsid w:val="008E4772"/>
    <w:rsid w:val="008E6CFC"/>
    <w:rsid w:val="008E6E2F"/>
    <w:rsid w:val="008E702B"/>
    <w:rsid w:val="008E76E8"/>
    <w:rsid w:val="008F1584"/>
    <w:rsid w:val="008F2C4A"/>
    <w:rsid w:val="008F3FA0"/>
    <w:rsid w:val="008F52DC"/>
    <w:rsid w:val="008F645A"/>
    <w:rsid w:val="008F686C"/>
    <w:rsid w:val="008F6E90"/>
    <w:rsid w:val="008F720E"/>
    <w:rsid w:val="008F7403"/>
    <w:rsid w:val="008F7BAE"/>
    <w:rsid w:val="00901595"/>
    <w:rsid w:val="00902194"/>
    <w:rsid w:val="0090230C"/>
    <w:rsid w:val="00902BF9"/>
    <w:rsid w:val="00902F87"/>
    <w:rsid w:val="00903821"/>
    <w:rsid w:val="00903912"/>
    <w:rsid w:val="00903A76"/>
    <w:rsid w:val="009044FD"/>
    <w:rsid w:val="00904EA9"/>
    <w:rsid w:val="00905858"/>
    <w:rsid w:val="00906DAF"/>
    <w:rsid w:val="00910A71"/>
    <w:rsid w:val="0091135F"/>
    <w:rsid w:val="009118BC"/>
    <w:rsid w:val="00912186"/>
    <w:rsid w:val="0091321A"/>
    <w:rsid w:val="0091364E"/>
    <w:rsid w:val="00914A67"/>
    <w:rsid w:val="009158E7"/>
    <w:rsid w:val="00916F13"/>
    <w:rsid w:val="00920520"/>
    <w:rsid w:val="00920642"/>
    <w:rsid w:val="00920ECD"/>
    <w:rsid w:val="00923143"/>
    <w:rsid w:val="00923154"/>
    <w:rsid w:val="009238DF"/>
    <w:rsid w:val="00923AEA"/>
    <w:rsid w:val="009258AB"/>
    <w:rsid w:val="00926ED5"/>
    <w:rsid w:val="0092778C"/>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ADB"/>
    <w:rsid w:val="00943DD6"/>
    <w:rsid w:val="00944319"/>
    <w:rsid w:val="00945B53"/>
    <w:rsid w:val="00946071"/>
    <w:rsid w:val="0094642C"/>
    <w:rsid w:val="00946CE4"/>
    <w:rsid w:val="00946FAD"/>
    <w:rsid w:val="009476E6"/>
    <w:rsid w:val="00947E32"/>
    <w:rsid w:val="00947E93"/>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56C2"/>
    <w:rsid w:val="009670DA"/>
    <w:rsid w:val="00967632"/>
    <w:rsid w:val="009711F5"/>
    <w:rsid w:val="0097180E"/>
    <w:rsid w:val="00972289"/>
    <w:rsid w:val="009732E1"/>
    <w:rsid w:val="00974B0E"/>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1801"/>
    <w:rsid w:val="009925E8"/>
    <w:rsid w:val="00992D6C"/>
    <w:rsid w:val="009942D1"/>
    <w:rsid w:val="00994A2F"/>
    <w:rsid w:val="00995234"/>
    <w:rsid w:val="0099588B"/>
    <w:rsid w:val="00995B37"/>
    <w:rsid w:val="00995B3E"/>
    <w:rsid w:val="00995F6E"/>
    <w:rsid w:val="00996C43"/>
    <w:rsid w:val="009A00AA"/>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B243B"/>
    <w:rsid w:val="009B262A"/>
    <w:rsid w:val="009B2692"/>
    <w:rsid w:val="009B29D5"/>
    <w:rsid w:val="009B2C5B"/>
    <w:rsid w:val="009B36A1"/>
    <w:rsid w:val="009B4359"/>
    <w:rsid w:val="009B4566"/>
    <w:rsid w:val="009B4EA0"/>
    <w:rsid w:val="009B5DA8"/>
    <w:rsid w:val="009B6365"/>
    <w:rsid w:val="009B6647"/>
    <w:rsid w:val="009B72F9"/>
    <w:rsid w:val="009C0131"/>
    <w:rsid w:val="009C054C"/>
    <w:rsid w:val="009C091F"/>
    <w:rsid w:val="009C2F80"/>
    <w:rsid w:val="009C347A"/>
    <w:rsid w:val="009C3803"/>
    <w:rsid w:val="009C3E0C"/>
    <w:rsid w:val="009C431E"/>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1498"/>
    <w:rsid w:val="009E2494"/>
    <w:rsid w:val="009E2F30"/>
    <w:rsid w:val="009E4743"/>
    <w:rsid w:val="009E49A5"/>
    <w:rsid w:val="009E49B7"/>
    <w:rsid w:val="009E587C"/>
    <w:rsid w:val="009E5A83"/>
    <w:rsid w:val="009E5B35"/>
    <w:rsid w:val="009E6220"/>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CC8"/>
    <w:rsid w:val="00A04600"/>
    <w:rsid w:val="00A0513C"/>
    <w:rsid w:val="00A065B8"/>
    <w:rsid w:val="00A06AFF"/>
    <w:rsid w:val="00A06BC1"/>
    <w:rsid w:val="00A076B9"/>
    <w:rsid w:val="00A07D91"/>
    <w:rsid w:val="00A105A8"/>
    <w:rsid w:val="00A10F52"/>
    <w:rsid w:val="00A112A3"/>
    <w:rsid w:val="00A11574"/>
    <w:rsid w:val="00A12004"/>
    <w:rsid w:val="00A1340C"/>
    <w:rsid w:val="00A13AFB"/>
    <w:rsid w:val="00A14045"/>
    <w:rsid w:val="00A1463D"/>
    <w:rsid w:val="00A15BEC"/>
    <w:rsid w:val="00A1642A"/>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74A8"/>
    <w:rsid w:val="00A27C64"/>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B23"/>
    <w:rsid w:val="00A533BD"/>
    <w:rsid w:val="00A53B01"/>
    <w:rsid w:val="00A53BFA"/>
    <w:rsid w:val="00A5446B"/>
    <w:rsid w:val="00A5469D"/>
    <w:rsid w:val="00A54D8A"/>
    <w:rsid w:val="00A55D76"/>
    <w:rsid w:val="00A57210"/>
    <w:rsid w:val="00A61CB6"/>
    <w:rsid w:val="00A63F6F"/>
    <w:rsid w:val="00A64847"/>
    <w:rsid w:val="00A65681"/>
    <w:rsid w:val="00A65B59"/>
    <w:rsid w:val="00A65E37"/>
    <w:rsid w:val="00A67960"/>
    <w:rsid w:val="00A70954"/>
    <w:rsid w:val="00A71708"/>
    <w:rsid w:val="00A7252D"/>
    <w:rsid w:val="00A7393C"/>
    <w:rsid w:val="00A74404"/>
    <w:rsid w:val="00A747A0"/>
    <w:rsid w:val="00A75378"/>
    <w:rsid w:val="00A76AC9"/>
    <w:rsid w:val="00A7707F"/>
    <w:rsid w:val="00A774C5"/>
    <w:rsid w:val="00A77C98"/>
    <w:rsid w:val="00A80A5D"/>
    <w:rsid w:val="00A81313"/>
    <w:rsid w:val="00A81D88"/>
    <w:rsid w:val="00A82088"/>
    <w:rsid w:val="00A832F8"/>
    <w:rsid w:val="00A839F4"/>
    <w:rsid w:val="00A8433B"/>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92B"/>
    <w:rsid w:val="00A97E57"/>
    <w:rsid w:val="00A97E80"/>
    <w:rsid w:val="00AA1AB3"/>
    <w:rsid w:val="00AA1E4F"/>
    <w:rsid w:val="00AA2258"/>
    <w:rsid w:val="00AA34AB"/>
    <w:rsid w:val="00AA48F5"/>
    <w:rsid w:val="00AA4B26"/>
    <w:rsid w:val="00AA4C43"/>
    <w:rsid w:val="00AA522F"/>
    <w:rsid w:val="00AA539B"/>
    <w:rsid w:val="00AA53AD"/>
    <w:rsid w:val="00AA5A83"/>
    <w:rsid w:val="00AA62F3"/>
    <w:rsid w:val="00AA70E7"/>
    <w:rsid w:val="00AA7876"/>
    <w:rsid w:val="00AB08E1"/>
    <w:rsid w:val="00AB0B0B"/>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E2B"/>
    <w:rsid w:val="00AC71B2"/>
    <w:rsid w:val="00AC7DF5"/>
    <w:rsid w:val="00AC7E37"/>
    <w:rsid w:val="00AD2796"/>
    <w:rsid w:val="00AD281E"/>
    <w:rsid w:val="00AD293D"/>
    <w:rsid w:val="00AD30D5"/>
    <w:rsid w:val="00AD3926"/>
    <w:rsid w:val="00AD3CC5"/>
    <w:rsid w:val="00AD428B"/>
    <w:rsid w:val="00AD4AA7"/>
    <w:rsid w:val="00AE0A08"/>
    <w:rsid w:val="00AE0B0C"/>
    <w:rsid w:val="00AE1462"/>
    <w:rsid w:val="00AE37CD"/>
    <w:rsid w:val="00AE4850"/>
    <w:rsid w:val="00AE499F"/>
    <w:rsid w:val="00AE54B2"/>
    <w:rsid w:val="00AF00B7"/>
    <w:rsid w:val="00AF1458"/>
    <w:rsid w:val="00AF15AC"/>
    <w:rsid w:val="00AF16EF"/>
    <w:rsid w:val="00AF1A08"/>
    <w:rsid w:val="00AF2647"/>
    <w:rsid w:val="00AF3202"/>
    <w:rsid w:val="00AF39B0"/>
    <w:rsid w:val="00AF3EE9"/>
    <w:rsid w:val="00AF4EBF"/>
    <w:rsid w:val="00AF5D42"/>
    <w:rsid w:val="00AF5D47"/>
    <w:rsid w:val="00AF6266"/>
    <w:rsid w:val="00AF64CD"/>
    <w:rsid w:val="00AF6AB4"/>
    <w:rsid w:val="00AF6DA2"/>
    <w:rsid w:val="00AF6E21"/>
    <w:rsid w:val="00B003A8"/>
    <w:rsid w:val="00B00CEC"/>
    <w:rsid w:val="00B00FB4"/>
    <w:rsid w:val="00B011B3"/>
    <w:rsid w:val="00B01A89"/>
    <w:rsid w:val="00B02CF8"/>
    <w:rsid w:val="00B05AC9"/>
    <w:rsid w:val="00B05ACE"/>
    <w:rsid w:val="00B05BF0"/>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C82"/>
    <w:rsid w:val="00B50FEF"/>
    <w:rsid w:val="00B536F8"/>
    <w:rsid w:val="00B53C3F"/>
    <w:rsid w:val="00B53D73"/>
    <w:rsid w:val="00B53FA7"/>
    <w:rsid w:val="00B5544A"/>
    <w:rsid w:val="00B555C8"/>
    <w:rsid w:val="00B56247"/>
    <w:rsid w:val="00B56CD8"/>
    <w:rsid w:val="00B56F59"/>
    <w:rsid w:val="00B57965"/>
    <w:rsid w:val="00B57B45"/>
    <w:rsid w:val="00B6021B"/>
    <w:rsid w:val="00B611FC"/>
    <w:rsid w:val="00B6218C"/>
    <w:rsid w:val="00B62281"/>
    <w:rsid w:val="00B647DF"/>
    <w:rsid w:val="00B64F13"/>
    <w:rsid w:val="00B666FC"/>
    <w:rsid w:val="00B66AC2"/>
    <w:rsid w:val="00B66CD3"/>
    <w:rsid w:val="00B672E4"/>
    <w:rsid w:val="00B679D0"/>
    <w:rsid w:val="00B67E42"/>
    <w:rsid w:val="00B70AC2"/>
    <w:rsid w:val="00B70B96"/>
    <w:rsid w:val="00B70F1B"/>
    <w:rsid w:val="00B71CA5"/>
    <w:rsid w:val="00B72018"/>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DDB"/>
    <w:rsid w:val="00BA303C"/>
    <w:rsid w:val="00BA4F3A"/>
    <w:rsid w:val="00BA4F43"/>
    <w:rsid w:val="00BA52D9"/>
    <w:rsid w:val="00BA555C"/>
    <w:rsid w:val="00BA582E"/>
    <w:rsid w:val="00BA5C36"/>
    <w:rsid w:val="00BA7047"/>
    <w:rsid w:val="00BA7862"/>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2E5"/>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1FF6"/>
    <w:rsid w:val="00BF234B"/>
    <w:rsid w:val="00BF40C0"/>
    <w:rsid w:val="00BF415B"/>
    <w:rsid w:val="00BF4EAA"/>
    <w:rsid w:val="00BF6510"/>
    <w:rsid w:val="00BF6740"/>
    <w:rsid w:val="00BF703E"/>
    <w:rsid w:val="00BF70B5"/>
    <w:rsid w:val="00BF7671"/>
    <w:rsid w:val="00C01810"/>
    <w:rsid w:val="00C01B10"/>
    <w:rsid w:val="00C020FB"/>
    <w:rsid w:val="00C029DE"/>
    <w:rsid w:val="00C04346"/>
    <w:rsid w:val="00C05204"/>
    <w:rsid w:val="00C0555A"/>
    <w:rsid w:val="00C058AD"/>
    <w:rsid w:val="00C05BE7"/>
    <w:rsid w:val="00C062BF"/>
    <w:rsid w:val="00C0630E"/>
    <w:rsid w:val="00C0637E"/>
    <w:rsid w:val="00C06751"/>
    <w:rsid w:val="00C07354"/>
    <w:rsid w:val="00C106C5"/>
    <w:rsid w:val="00C11241"/>
    <w:rsid w:val="00C11946"/>
    <w:rsid w:val="00C12595"/>
    <w:rsid w:val="00C129D4"/>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F67"/>
    <w:rsid w:val="00C31514"/>
    <w:rsid w:val="00C31AB9"/>
    <w:rsid w:val="00C321A5"/>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7319"/>
    <w:rsid w:val="00C47ED8"/>
    <w:rsid w:val="00C50420"/>
    <w:rsid w:val="00C51782"/>
    <w:rsid w:val="00C52884"/>
    <w:rsid w:val="00C52E8E"/>
    <w:rsid w:val="00C5321E"/>
    <w:rsid w:val="00C53B1F"/>
    <w:rsid w:val="00C54A69"/>
    <w:rsid w:val="00C558C5"/>
    <w:rsid w:val="00C5595F"/>
    <w:rsid w:val="00C572E6"/>
    <w:rsid w:val="00C606EE"/>
    <w:rsid w:val="00C616E5"/>
    <w:rsid w:val="00C61B70"/>
    <w:rsid w:val="00C62389"/>
    <w:rsid w:val="00C62EEC"/>
    <w:rsid w:val="00C63DC4"/>
    <w:rsid w:val="00C64A96"/>
    <w:rsid w:val="00C64EA5"/>
    <w:rsid w:val="00C65B5B"/>
    <w:rsid w:val="00C70934"/>
    <w:rsid w:val="00C7235C"/>
    <w:rsid w:val="00C7284E"/>
    <w:rsid w:val="00C738BA"/>
    <w:rsid w:val="00C739BF"/>
    <w:rsid w:val="00C74678"/>
    <w:rsid w:val="00C748C5"/>
    <w:rsid w:val="00C76395"/>
    <w:rsid w:val="00C808C6"/>
    <w:rsid w:val="00C81C65"/>
    <w:rsid w:val="00C82FD5"/>
    <w:rsid w:val="00C8344B"/>
    <w:rsid w:val="00C83551"/>
    <w:rsid w:val="00C843B1"/>
    <w:rsid w:val="00C849CE"/>
    <w:rsid w:val="00C84A27"/>
    <w:rsid w:val="00C8500F"/>
    <w:rsid w:val="00C87034"/>
    <w:rsid w:val="00C8741D"/>
    <w:rsid w:val="00C87E66"/>
    <w:rsid w:val="00C87F07"/>
    <w:rsid w:val="00C87F19"/>
    <w:rsid w:val="00C902B3"/>
    <w:rsid w:val="00C906DB"/>
    <w:rsid w:val="00C90914"/>
    <w:rsid w:val="00C91610"/>
    <w:rsid w:val="00C9425B"/>
    <w:rsid w:val="00C95985"/>
    <w:rsid w:val="00C96E06"/>
    <w:rsid w:val="00C971B4"/>
    <w:rsid w:val="00C9761B"/>
    <w:rsid w:val="00C97877"/>
    <w:rsid w:val="00CA00BA"/>
    <w:rsid w:val="00CA017F"/>
    <w:rsid w:val="00CA1229"/>
    <w:rsid w:val="00CA1472"/>
    <w:rsid w:val="00CA2543"/>
    <w:rsid w:val="00CA25C3"/>
    <w:rsid w:val="00CA2614"/>
    <w:rsid w:val="00CA398E"/>
    <w:rsid w:val="00CA3EB4"/>
    <w:rsid w:val="00CA42E3"/>
    <w:rsid w:val="00CA562B"/>
    <w:rsid w:val="00CA608C"/>
    <w:rsid w:val="00CA638D"/>
    <w:rsid w:val="00CA7765"/>
    <w:rsid w:val="00CA784C"/>
    <w:rsid w:val="00CA79E6"/>
    <w:rsid w:val="00CB0FE1"/>
    <w:rsid w:val="00CB427D"/>
    <w:rsid w:val="00CB43DA"/>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1D57"/>
    <w:rsid w:val="00CE333C"/>
    <w:rsid w:val="00CE3798"/>
    <w:rsid w:val="00CE4022"/>
    <w:rsid w:val="00CE5D5C"/>
    <w:rsid w:val="00CE6A72"/>
    <w:rsid w:val="00CE722F"/>
    <w:rsid w:val="00CE7958"/>
    <w:rsid w:val="00CE7A96"/>
    <w:rsid w:val="00CE7F82"/>
    <w:rsid w:val="00CF03E1"/>
    <w:rsid w:val="00CF0486"/>
    <w:rsid w:val="00CF0576"/>
    <w:rsid w:val="00CF0B05"/>
    <w:rsid w:val="00CF0FF3"/>
    <w:rsid w:val="00CF20E0"/>
    <w:rsid w:val="00CF30C1"/>
    <w:rsid w:val="00CF3F44"/>
    <w:rsid w:val="00CF4237"/>
    <w:rsid w:val="00CF4FD8"/>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27A6"/>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6AE0"/>
    <w:rsid w:val="00D1765B"/>
    <w:rsid w:val="00D1774F"/>
    <w:rsid w:val="00D17D19"/>
    <w:rsid w:val="00D20462"/>
    <w:rsid w:val="00D20AA8"/>
    <w:rsid w:val="00D20ADB"/>
    <w:rsid w:val="00D20E48"/>
    <w:rsid w:val="00D21E6C"/>
    <w:rsid w:val="00D22F00"/>
    <w:rsid w:val="00D234D3"/>
    <w:rsid w:val="00D23DAF"/>
    <w:rsid w:val="00D2462F"/>
    <w:rsid w:val="00D248C5"/>
    <w:rsid w:val="00D24CBB"/>
    <w:rsid w:val="00D25360"/>
    <w:rsid w:val="00D2543D"/>
    <w:rsid w:val="00D256DC"/>
    <w:rsid w:val="00D27205"/>
    <w:rsid w:val="00D31588"/>
    <w:rsid w:val="00D31CD5"/>
    <w:rsid w:val="00D31DF3"/>
    <w:rsid w:val="00D32364"/>
    <w:rsid w:val="00D326FC"/>
    <w:rsid w:val="00D32C93"/>
    <w:rsid w:val="00D3768A"/>
    <w:rsid w:val="00D41A48"/>
    <w:rsid w:val="00D424F2"/>
    <w:rsid w:val="00D43EB3"/>
    <w:rsid w:val="00D441AD"/>
    <w:rsid w:val="00D44624"/>
    <w:rsid w:val="00D44CE6"/>
    <w:rsid w:val="00D46559"/>
    <w:rsid w:val="00D46F4C"/>
    <w:rsid w:val="00D47D08"/>
    <w:rsid w:val="00D47FDB"/>
    <w:rsid w:val="00D50297"/>
    <w:rsid w:val="00D509FA"/>
    <w:rsid w:val="00D5111C"/>
    <w:rsid w:val="00D5141C"/>
    <w:rsid w:val="00D519CF"/>
    <w:rsid w:val="00D5204F"/>
    <w:rsid w:val="00D5208A"/>
    <w:rsid w:val="00D526C5"/>
    <w:rsid w:val="00D5305F"/>
    <w:rsid w:val="00D545A7"/>
    <w:rsid w:val="00D548C9"/>
    <w:rsid w:val="00D550C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67ED"/>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47F0"/>
    <w:rsid w:val="00D9580B"/>
    <w:rsid w:val="00D973CC"/>
    <w:rsid w:val="00D9742F"/>
    <w:rsid w:val="00D97D50"/>
    <w:rsid w:val="00DA031D"/>
    <w:rsid w:val="00DA03FE"/>
    <w:rsid w:val="00DA15FE"/>
    <w:rsid w:val="00DA20BA"/>
    <w:rsid w:val="00DA235A"/>
    <w:rsid w:val="00DA39FA"/>
    <w:rsid w:val="00DA3F00"/>
    <w:rsid w:val="00DA41F8"/>
    <w:rsid w:val="00DA523D"/>
    <w:rsid w:val="00DB0437"/>
    <w:rsid w:val="00DB1308"/>
    <w:rsid w:val="00DB26AA"/>
    <w:rsid w:val="00DB2BB8"/>
    <w:rsid w:val="00DB2CDB"/>
    <w:rsid w:val="00DB43B0"/>
    <w:rsid w:val="00DB45B6"/>
    <w:rsid w:val="00DB4909"/>
    <w:rsid w:val="00DB4CD9"/>
    <w:rsid w:val="00DB4D4D"/>
    <w:rsid w:val="00DB5877"/>
    <w:rsid w:val="00DB61C9"/>
    <w:rsid w:val="00DB66C9"/>
    <w:rsid w:val="00DB686E"/>
    <w:rsid w:val="00DB68E9"/>
    <w:rsid w:val="00DB6FB5"/>
    <w:rsid w:val="00DB7442"/>
    <w:rsid w:val="00DB761D"/>
    <w:rsid w:val="00DB7E21"/>
    <w:rsid w:val="00DC070B"/>
    <w:rsid w:val="00DC1192"/>
    <w:rsid w:val="00DC157F"/>
    <w:rsid w:val="00DC25CD"/>
    <w:rsid w:val="00DC2786"/>
    <w:rsid w:val="00DC2994"/>
    <w:rsid w:val="00DC2EAF"/>
    <w:rsid w:val="00DC3016"/>
    <w:rsid w:val="00DC3656"/>
    <w:rsid w:val="00DC5147"/>
    <w:rsid w:val="00DC5399"/>
    <w:rsid w:val="00DC5A8C"/>
    <w:rsid w:val="00DC695D"/>
    <w:rsid w:val="00DC6C0E"/>
    <w:rsid w:val="00DC73C6"/>
    <w:rsid w:val="00DD02FE"/>
    <w:rsid w:val="00DD0FAC"/>
    <w:rsid w:val="00DD12AF"/>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4765"/>
    <w:rsid w:val="00DF53D1"/>
    <w:rsid w:val="00DF5AB7"/>
    <w:rsid w:val="00DF5BDD"/>
    <w:rsid w:val="00DF6838"/>
    <w:rsid w:val="00DF6B17"/>
    <w:rsid w:val="00DF7C9C"/>
    <w:rsid w:val="00E006AB"/>
    <w:rsid w:val="00E00C0F"/>
    <w:rsid w:val="00E02B0A"/>
    <w:rsid w:val="00E02D49"/>
    <w:rsid w:val="00E03100"/>
    <w:rsid w:val="00E03F24"/>
    <w:rsid w:val="00E0506D"/>
    <w:rsid w:val="00E05BC2"/>
    <w:rsid w:val="00E05C1B"/>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43A5"/>
    <w:rsid w:val="00E24488"/>
    <w:rsid w:val="00E25B95"/>
    <w:rsid w:val="00E260F5"/>
    <w:rsid w:val="00E262DC"/>
    <w:rsid w:val="00E301E9"/>
    <w:rsid w:val="00E30586"/>
    <w:rsid w:val="00E310B9"/>
    <w:rsid w:val="00E310EB"/>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5C"/>
    <w:rsid w:val="00E42F4B"/>
    <w:rsid w:val="00E43FF5"/>
    <w:rsid w:val="00E44FFE"/>
    <w:rsid w:val="00E4568A"/>
    <w:rsid w:val="00E45E26"/>
    <w:rsid w:val="00E46AB1"/>
    <w:rsid w:val="00E46B4D"/>
    <w:rsid w:val="00E479A9"/>
    <w:rsid w:val="00E52424"/>
    <w:rsid w:val="00E532E1"/>
    <w:rsid w:val="00E54C31"/>
    <w:rsid w:val="00E5506E"/>
    <w:rsid w:val="00E556BF"/>
    <w:rsid w:val="00E5618E"/>
    <w:rsid w:val="00E56581"/>
    <w:rsid w:val="00E566F2"/>
    <w:rsid w:val="00E57384"/>
    <w:rsid w:val="00E600BC"/>
    <w:rsid w:val="00E601DD"/>
    <w:rsid w:val="00E60A3C"/>
    <w:rsid w:val="00E60DB1"/>
    <w:rsid w:val="00E60FAF"/>
    <w:rsid w:val="00E6134D"/>
    <w:rsid w:val="00E61B54"/>
    <w:rsid w:val="00E628F3"/>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4E3D"/>
    <w:rsid w:val="00E85287"/>
    <w:rsid w:val="00E8562D"/>
    <w:rsid w:val="00E867BC"/>
    <w:rsid w:val="00E86861"/>
    <w:rsid w:val="00E87790"/>
    <w:rsid w:val="00E87A0B"/>
    <w:rsid w:val="00E87A31"/>
    <w:rsid w:val="00E87F7B"/>
    <w:rsid w:val="00E90D68"/>
    <w:rsid w:val="00E9231B"/>
    <w:rsid w:val="00E9314F"/>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CC"/>
    <w:rsid w:val="00EB2217"/>
    <w:rsid w:val="00EB3C4E"/>
    <w:rsid w:val="00EB4C2B"/>
    <w:rsid w:val="00EB512A"/>
    <w:rsid w:val="00EB7292"/>
    <w:rsid w:val="00EB7FD9"/>
    <w:rsid w:val="00EC0168"/>
    <w:rsid w:val="00EC06EF"/>
    <w:rsid w:val="00EC2A5C"/>
    <w:rsid w:val="00EC2F37"/>
    <w:rsid w:val="00EC2FE0"/>
    <w:rsid w:val="00EC4292"/>
    <w:rsid w:val="00EC5A7E"/>
    <w:rsid w:val="00ED0204"/>
    <w:rsid w:val="00ED0256"/>
    <w:rsid w:val="00ED0810"/>
    <w:rsid w:val="00ED0B57"/>
    <w:rsid w:val="00ED13A1"/>
    <w:rsid w:val="00ED17B8"/>
    <w:rsid w:val="00ED188D"/>
    <w:rsid w:val="00ED20E9"/>
    <w:rsid w:val="00ED3556"/>
    <w:rsid w:val="00ED3FB1"/>
    <w:rsid w:val="00ED6A08"/>
    <w:rsid w:val="00ED7BFF"/>
    <w:rsid w:val="00EE0104"/>
    <w:rsid w:val="00EE03C1"/>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2585"/>
    <w:rsid w:val="00EF485F"/>
    <w:rsid w:val="00EF5048"/>
    <w:rsid w:val="00EF5C13"/>
    <w:rsid w:val="00EF6BDA"/>
    <w:rsid w:val="00EF6FE9"/>
    <w:rsid w:val="00EF7A74"/>
    <w:rsid w:val="00EF7D51"/>
    <w:rsid w:val="00EF7D7F"/>
    <w:rsid w:val="00F0090C"/>
    <w:rsid w:val="00F00D38"/>
    <w:rsid w:val="00F01393"/>
    <w:rsid w:val="00F0139F"/>
    <w:rsid w:val="00F016D1"/>
    <w:rsid w:val="00F02D35"/>
    <w:rsid w:val="00F030F0"/>
    <w:rsid w:val="00F03739"/>
    <w:rsid w:val="00F0447A"/>
    <w:rsid w:val="00F04568"/>
    <w:rsid w:val="00F045AD"/>
    <w:rsid w:val="00F057BB"/>
    <w:rsid w:val="00F05939"/>
    <w:rsid w:val="00F06021"/>
    <w:rsid w:val="00F06AE2"/>
    <w:rsid w:val="00F076C4"/>
    <w:rsid w:val="00F077AD"/>
    <w:rsid w:val="00F07C82"/>
    <w:rsid w:val="00F1071A"/>
    <w:rsid w:val="00F11520"/>
    <w:rsid w:val="00F1165B"/>
    <w:rsid w:val="00F12445"/>
    <w:rsid w:val="00F1244C"/>
    <w:rsid w:val="00F13AFA"/>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52E5"/>
    <w:rsid w:val="00F25D98"/>
    <w:rsid w:val="00F26181"/>
    <w:rsid w:val="00F265BC"/>
    <w:rsid w:val="00F270FC"/>
    <w:rsid w:val="00F27276"/>
    <w:rsid w:val="00F27A30"/>
    <w:rsid w:val="00F300FB"/>
    <w:rsid w:val="00F30434"/>
    <w:rsid w:val="00F30810"/>
    <w:rsid w:val="00F32E4B"/>
    <w:rsid w:val="00F343F6"/>
    <w:rsid w:val="00F36C5D"/>
    <w:rsid w:val="00F37677"/>
    <w:rsid w:val="00F37A5A"/>
    <w:rsid w:val="00F40D45"/>
    <w:rsid w:val="00F42812"/>
    <w:rsid w:val="00F43025"/>
    <w:rsid w:val="00F431BB"/>
    <w:rsid w:val="00F435D4"/>
    <w:rsid w:val="00F452EB"/>
    <w:rsid w:val="00F45882"/>
    <w:rsid w:val="00F45898"/>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B8D"/>
    <w:rsid w:val="00F600F5"/>
    <w:rsid w:val="00F60573"/>
    <w:rsid w:val="00F608DA"/>
    <w:rsid w:val="00F61D4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CF7"/>
    <w:rsid w:val="00FA3312"/>
    <w:rsid w:val="00FA3719"/>
    <w:rsid w:val="00FA3BB4"/>
    <w:rsid w:val="00FA43CE"/>
    <w:rsid w:val="00FA4581"/>
    <w:rsid w:val="00FA4AB7"/>
    <w:rsid w:val="00FA4BF4"/>
    <w:rsid w:val="00FA74E6"/>
    <w:rsid w:val="00FA7DCE"/>
    <w:rsid w:val="00FB0BF3"/>
    <w:rsid w:val="00FB133E"/>
    <w:rsid w:val="00FB13B8"/>
    <w:rsid w:val="00FB140F"/>
    <w:rsid w:val="00FB1EE9"/>
    <w:rsid w:val="00FB3806"/>
    <w:rsid w:val="00FB61D8"/>
    <w:rsid w:val="00FB6386"/>
    <w:rsid w:val="00FB6EF6"/>
    <w:rsid w:val="00FB6F4C"/>
    <w:rsid w:val="00FB72FD"/>
    <w:rsid w:val="00FB7D33"/>
    <w:rsid w:val="00FB7F50"/>
    <w:rsid w:val="00FC0C0B"/>
    <w:rsid w:val="00FC16E0"/>
    <w:rsid w:val="00FC2634"/>
    <w:rsid w:val="00FC2804"/>
    <w:rsid w:val="00FC29D3"/>
    <w:rsid w:val="00FC3BA5"/>
    <w:rsid w:val="00FC3D31"/>
    <w:rsid w:val="00FC4D53"/>
    <w:rsid w:val="00FC4F4B"/>
    <w:rsid w:val="00FC55A9"/>
    <w:rsid w:val="00FC6878"/>
    <w:rsid w:val="00FC712B"/>
    <w:rsid w:val="00FD10E6"/>
    <w:rsid w:val="00FD21C4"/>
    <w:rsid w:val="00FD21C9"/>
    <w:rsid w:val="00FD2CE7"/>
    <w:rsid w:val="00FD32A7"/>
    <w:rsid w:val="00FD34FC"/>
    <w:rsid w:val="00FD5074"/>
    <w:rsid w:val="00FD560C"/>
    <w:rsid w:val="00FD5E05"/>
    <w:rsid w:val="00FD79AE"/>
    <w:rsid w:val="00FE056C"/>
    <w:rsid w:val="00FE0647"/>
    <w:rsid w:val="00FE1386"/>
    <w:rsid w:val="00FE13F3"/>
    <w:rsid w:val="00FE1654"/>
    <w:rsid w:val="00FE16C9"/>
    <w:rsid w:val="00FE1E72"/>
    <w:rsid w:val="00FE2CE7"/>
    <w:rsid w:val="00FE3764"/>
    <w:rsid w:val="00FE3B28"/>
    <w:rsid w:val="00FE43E8"/>
    <w:rsid w:val="00FE4FF8"/>
    <w:rsid w:val="00FE512B"/>
    <w:rsid w:val="00FE54F8"/>
    <w:rsid w:val="00FE578A"/>
    <w:rsid w:val="00FE702C"/>
    <w:rsid w:val="00FE79AD"/>
    <w:rsid w:val="00FE7C66"/>
    <w:rsid w:val="00FF1639"/>
    <w:rsid w:val="00FF1CD5"/>
    <w:rsid w:val="00FF2846"/>
    <w:rsid w:val="00FF28B3"/>
    <w:rsid w:val="00FF33E6"/>
    <w:rsid w:val="00FF46F0"/>
    <w:rsid w:val="00FF4A71"/>
    <w:rsid w:val="00FF5E5F"/>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588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 w:type="paragraph" w:styleId="Revision">
    <w:name w:val="Revision"/>
    <w:hidden/>
    <w:uiPriority w:val="71"/>
    <w:semiHidden/>
    <w:rsid w:val="009A00AA"/>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 w:type="paragraph" w:styleId="Revision">
    <w:name w:val="Revision"/>
    <w:hidden/>
    <w:uiPriority w:val="71"/>
    <w:semiHidden/>
    <w:rsid w:val="009A00A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397827125">
      <w:bodyDiv w:val="1"/>
      <w:marLeft w:val="0"/>
      <w:marRight w:val="0"/>
      <w:marTop w:val="0"/>
      <w:marBottom w:val="0"/>
      <w:divBdr>
        <w:top w:val="none" w:sz="0" w:space="0" w:color="auto"/>
        <w:left w:val="none" w:sz="0" w:space="0" w:color="auto"/>
        <w:bottom w:val="none" w:sz="0" w:space="0" w:color="auto"/>
        <w:right w:val="none" w:sz="0" w:space="0" w:color="auto"/>
      </w:divBdr>
      <w:divsChild>
        <w:div w:id="62797226">
          <w:marLeft w:val="360"/>
          <w:marRight w:val="0"/>
          <w:marTop w:val="200"/>
          <w:marBottom w:val="0"/>
          <w:divBdr>
            <w:top w:val="none" w:sz="0" w:space="0" w:color="auto"/>
            <w:left w:val="none" w:sz="0" w:space="0" w:color="auto"/>
            <w:bottom w:val="none" w:sz="0" w:space="0" w:color="auto"/>
            <w:right w:val="none" w:sz="0" w:space="0" w:color="auto"/>
          </w:divBdr>
        </w:div>
        <w:div w:id="544367757">
          <w:marLeft w:val="360"/>
          <w:marRight w:val="0"/>
          <w:marTop w:val="200"/>
          <w:marBottom w:val="0"/>
          <w:divBdr>
            <w:top w:val="none" w:sz="0" w:space="0" w:color="auto"/>
            <w:left w:val="none" w:sz="0" w:space="0" w:color="auto"/>
            <w:bottom w:val="none" w:sz="0" w:space="0" w:color="auto"/>
            <w:right w:val="none" w:sz="0" w:space="0" w:color="auto"/>
          </w:divBdr>
        </w:div>
        <w:div w:id="899173261">
          <w:marLeft w:val="360"/>
          <w:marRight w:val="0"/>
          <w:marTop w:val="200"/>
          <w:marBottom w:val="0"/>
          <w:divBdr>
            <w:top w:val="none" w:sz="0" w:space="0" w:color="auto"/>
            <w:left w:val="none" w:sz="0" w:space="0" w:color="auto"/>
            <w:bottom w:val="none" w:sz="0" w:space="0" w:color="auto"/>
            <w:right w:val="none" w:sz="0" w:space="0" w:color="auto"/>
          </w:divBdr>
        </w:div>
        <w:div w:id="1014302356">
          <w:marLeft w:val="360"/>
          <w:marRight w:val="0"/>
          <w:marTop w:val="200"/>
          <w:marBottom w:val="0"/>
          <w:divBdr>
            <w:top w:val="none" w:sz="0" w:space="0" w:color="auto"/>
            <w:left w:val="none" w:sz="0" w:space="0" w:color="auto"/>
            <w:bottom w:val="none" w:sz="0" w:space="0" w:color="auto"/>
            <w:right w:val="none" w:sz="0" w:space="0" w:color="auto"/>
          </w:divBdr>
        </w:div>
        <w:div w:id="1659337412">
          <w:marLeft w:val="360"/>
          <w:marRight w:val="0"/>
          <w:marTop w:val="20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266676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111449">
      <w:bodyDiv w:val="1"/>
      <w:marLeft w:val="0"/>
      <w:marRight w:val="0"/>
      <w:marTop w:val="0"/>
      <w:marBottom w:val="0"/>
      <w:divBdr>
        <w:top w:val="none" w:sz="0" w:space="0" w:color="auto"/>
        <w:left w:val="none" w:sz="0" w:space="0" w:color="auto"/>
        <w:bottom w:val="none" w:sz="0" w:space="0" w:color="auto"/>
        <w:right w:val="none" w:sz="0" w:space="0" w:color="auto"/>
      </w:divBdr>
      <w:divsChild>
        <w:div w:id="1194490895">
          <w:marLeft w:val="360"/>
          <w:marRight w:val="0"/>
          <w:marTop w:val="200"/>
          <w:marBottom w:val="0"/>
          <w:divBdr>
            <w:top w:val="none" w:sz="0" w:space="0" w:color="auto"/>
            <w:left w:val="none" w:sz="0" w:space="0" w:color="auto"/>
            <w:bottom w:val="none" w:sz="0" w:space="0" w:color="auto"/>
            <w:right w:val="none" w:sz="0" w:space="0" w:color="auto"/>
          </w:divBdr>
        </w:div>
        <w:div w:id="1409226099">
          <w:marLeft w:val="360"/>
          <w:marRight w:val="0"/>
          <w:marTop w:val="200"/>
          <w:marBottom w:val="0"/>
          <w:divBdr>
            <w:top w:val="none" w:sz="0" w:space="0" w:color="auto"/>
            <w:left w:val="none" w:sz="0" w:space="0" w:color="auto"/>
            <w:bottom w:val="none" w:sz="0" w:space="0" w:color="auto"/>
            <w:right w:val="none" w:sz="0" w:space="0" w:color="auto"/>
          </w:divBdr>
        </w:div>
        <w:div w:id="1439449372">
          <w:marLeft w:val="360"/>
          <w:marRight w:val="0"/>
          <w:marTop w:val="200"/>
          <w:marBottom w:val="0"/>
          <w:divBdr>
            <w:top w:val="none" w:sz="0" w:space="0" w:color="auto"/>
            <w:left w:val="none" w:sz="0" w:space="0" w:color="auto"/>
            <w:bottom w:val="none" w:sz="0" w:space="0" w:color="auto"/>
            <w:right w:val="none" w:sz="0" w:space="0" w:color="auto"/>
          </w:divBdr>
        </w:div>
        <w:div w:id="1961837687">
          <w:marLeft w:val="360"/>
          <w:marRight w:val="0"/>
          <w:marTop w:val="200"/>
          <w:marBottom w:val="0"/>
          <w:divBdr>
            <w:top w:val="none" w:sz="0" w:space="0" w:color="auto"/>
            <w:left w:val="none" w:sz="0" w:space="0" w:color="auto"/>
            <w:bottom w:val="none" w:sz="0" w:space="0" w:color="auto"/>
            <w:right w:val="none" w:sz="0" w:space="0" w:color="auto"/>
          </w:divBdr>
        </w:div>
      </w:divsChild>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113A-B2C7-604D-8213-1CE5E956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4771</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CTPClassification=CTP_NT</cp:keywords>
  <cp:lastModifiedBy/>
  <cp:revision>1</cp:revision>
  <cp:lastPrinted>2010-10-04T23:58:00Z</cp:lastPrinted>
  <dcterms:created xsi:type="dcterms:W3CDTF">2018-10-09T13:57:00Z</dcterms:created>
  <dcterms:modified xsi:type="dcterms:W3CDTF">2018-10-09T15:34:00Z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a347194b-c4bb-446e-a223-0b21ff1bd5d9</vt:lpwstr>
  </property>
  <property fmtid="{D5CDD505-2E9C-101B-9397-08002B2CF9AE}" pid="3" name="CTP_TimeStamp">
    <vt:lpwstr>2018-08-11 04:12:28Z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