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6C3EE" w14:textId="04F17B1E" w:rsidR="004A6218" w:rsidRDefault="004A6218">
      <w:pPr>
        <w:pStyle w:val="CRCoverPage"/>
        <w:tabs>
          <w:tab w:val="right" w:pos="9639"/>
        </w:tabs>
        <w:spacing w:after="0"/>
        <w:rPr>
          <w:rFonts w:eastAsia="Times New Roman"/>
          <w:b/>
          <w:sz w:val="24"/>
          <w:lang w:eastAsia="zh-Hans"/>
        </w:rPr>
      </w:pPr>
      <w:r>
        <w:rPr>
          <w:b/>
          <w:sz w:val="24"/>
        </w:rPr>
        <w:t>3GPP TSG-RAN5 Meeting #9</w:t>
      </w:r>
      <w:r w:rsidR="003B2DAB">
        <w:rPr>
          <w:b/>
          <w:sz w:val="24"/>
        </w:rPr>
        <w:t>5</w:t>
      </w:r>
      <w:r>
        <w:rPr>
          <w:rFonts w:hint="eastAsia"/>
          <w:b/>
          <w:sz w:val="24"/>
          <w:lang w:eastAsia="zh-CN"/>
        </w:rPr>
        <w:t>-e</w:t>
      </w:r>
      <w:r>
        <w:rPr>
          <w:b/>
          <w:sz w:val="24"/>
        </w:rPr>
        <w:tab/>
      </w:r>
      <w:r w:rsidR="00151AC1">
        <w:rPr>
          <w:b/>
          <w:sz w:val="24"/>
        </w:rPr>
        <w:t>Draft_</w:t>
      </w:r>
      <w:r w:rsidR="00151AC1" w:rsidRPr="00151AC1">
        <w:t xml:space="preserve"> </w:t>
      </w:r>
      <w:r w:rsidR="00151AC1" w:rsidRPr="00151AC1">
        <w:rPr>
          <w:b/>
          <w:sz w:val="24"/>
        </w:rPr>
        <w:t>R5-223329</w:t>
      </w:r>
    </w:p>
    <w:p w14:paraId="61173888" w14:textId="77777777" w:rsidR="004A6218" w:rsidRDefault="004A621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rFonts w:hint="eastAsia"/>
          <w:b/>
          <w:sz w:val="24"/>
          <w:lang w:eastAsia="zh-CN"/>
        </w:rPr>
        <w:t>Electronic Meeting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StartDate  \* MERGEFORMAT </w:instrText>
      </w:r>
      <w:r>
        <w:rPr>
          <w:b/>
          <w:sz w:val="24"/>
        </w:rPr>
        <w:fldChar w:fldCharType="separate"/>
      </w:r>
      <w:r w:rsidR="003B2DAB">
        <w:rPr>
          <w:b/>
          <w:sz w:val="24"/>
        </w:rPr>
        <w:t>9</w:t>
      </w:r>
      <w:r w:rsidR="003B2DAB" w:rsidRPr="003B2DA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</w:rPr>
        <w:fldChar w:fldCharType="end"/>
      </w:r>
      <w:r w:rsidR="003B2DAB">
        <w:rPr>
          <w:b/>
          <w:sz w:val="24"/>
        </w:rPr>
        <w:t>May</w:t>
      </w:r>
      <w:r>
        <w:rPr>
          <w:b/>
          <w:sz w:val="24"/>
        </w:rPr>
        <w:t xml:space="preserve">– </w:t>
      </w:r>
      <w:r w:rsidR="001A20BE">
        <w:rPr>
          <w:b/>
          <w:sz w:val="24"/>
        </w:rPr>
        <w:t>20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EndDate  \* MERGEFORMAT </w:instrText>
      </w:r>
      <w:r>
        <w:rPr>
          <w:b/>
          <w:sz w:val="24"/>
        </w:rPr>
        <w:fldChar w:fldCharType="separate"/>
      </w:r>
      <w:r w:rsidR="003B2DAB" w:rsidRPr="003B2DAB">
        <w:rPr>
          <w:b/>
          <w:sz w:val="24"/>
          <w:vertAlign w:val="superscript"/>
          <w:lang w:eastAsia="zh-CN"/>
        </w:rPr>
        <w:t>th</w:t>
      </w:r>
      <w:r>
        <w:rPr>
          <w:b/>
          <w:sz w:val="24"/>
        </w:rPr>
        <w:t xml:space="preserve"> </w:t>
      </w:r>
      <w:r>
        <w:rPr>
          <w:b/>
          <w:sz w:val="24"/>
          <w:lang w:eastAsia="zh-CN"/>
        </w:rPr>
        <w:t>Ma</w:t>
      </w:r>
      <w:r w:rsidR="003B2DAB">
        <w:rPr>
          <w:b/>
          <w:sz w:val="24"/>
          <w:lang w:eastAsia="zh-CN"/>
        </w:rPr>
        <w:t>y</w:t>
      </w:r>
      <w:r>
        <w:rPr>
          <w:b/>
          <w:sz w:val="24"/>
        </w:rPr>
        <w:t xml:space="preserve"> 20</w:t>
      </w:r>
      <w:r>
        <w:rPr>
          <w:rFonts w:hint="eastAsia"/>
          <w:b/>
          <w:sz w:val="24"/>
          <w:lang w:eastAsia="zh-CN"/>
        </w:rPr>
        <w:t>2</w:t>
      </w:r>
      <w:r>
        <w:rPr>
          <w:b/>
          <w:sz w:val="24"/>
        </w:rPr>
        <w:fldChar w:fldCharType="end"/>
      </w:r>
      <w:r>
        <w:rPr>
          <w:b/>
          <w:sz w:val="24"/>
        </w:rPr>
        <w:t>2</w:t>
      </w:r>
    </w:p>
    <w:p w14:paraId="52E0A6A7" w14:textId="77777777" w:rsidR="004A6218" w:rsidRDefault="004A6218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14:paraId="0F662811" w14:textId="77777777" w:rsidR="004A6218" w:rsidRDefault="004A6218">
      <w:pPr>
        <w:pStyle w:val="CRCoverPage"/>
        <w:tabs>
          <w:tab w:val="right" w:pos="9639"/>
        </w:tabs>
        <w:spacing w:after="0"/>
        <w:rPr>
          <w:b/>
          <w:sz w:val="24"/>
        </w:rPr>
      </w:pPr>
      <w:r>
        <w:rPr>
          <w:b/>
          <w:sz w:val="24"/>
        </w:rPr>
        <w:t>3GPP TSG RAN Meeting #9</w:t>
      </w:r>
      <w:r w:rsidR="003B2DAB">
        <w:rPr>
          <w:b/>
          <w:sz w:val="24"/>
        </w:rPr>
        <w:t>6</w:t>
      </w:r>
      <w:r>
        <w:rPr>
          <w:b/>
          <w:sz w:val="24"/>
        </w:rPr>
        <w:t>-e</w:t>
      </w:r>
      <w:r>
        <w:rPr>
          <w:b/>
          <w:sz w:val="24"/>
        </w:rPr>
        <w:tab/>
        <w:t>RP-22xxxx</w:t>
      </w:r>
    </w:p>
    <w:p w14:paraId="5D1BCE05" w14:textId="77777777" w:rsidR="004A6218" w:rsidRDefault="004A6218">
      <w:pPr>
        <w:pStyle w:val="CRCoverPage"/>
        <w:tabs>
          <w:tab w:val="right" w:pos="9639"/>
        </w:tabs>
        <w:spacing w:after="0"/>
        <w:rPr>
          <w:b/>
          <w:sz w:val="24"/>
        </w:rPr>
      </w:pPr>
      <w:bookmarkStart w:id="0" w:name="_Hlk17995896"/>
      <w:r>
        <w:rPr>
          <w:b/>
          <w:sz w:val="24"/>
        </w:rPr>
        <w:t xml:space="preserve">Electronic Meeting, </w:t>
      </w:r>
      <w:r w:rsidR="003B2DAB">
        <w:rPr>
          <w:b/>
          <w:sz w:val="24"/>
        </w:rPr>
        <w:t>6</w:t>
      </w:r>
      <w:r w:rsidR="003B2DAB" w:rsidRPr="003B2DA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3B2DAB">
        <w:rPr>
          <w:b/>
          <w:sz w:val="24"/>
        </w:rPr>
        <w:t>June</w:t>
      </w:r>
      <w:r>
        <w:rPr>
          <w:b/>
          <w:sz w:val="24"/>
        </w:rPr>
        <w:t xml:space="preserve"> – </w:t>
      </w:r>
      <w:r w:rsidR="003B2DAB">
        <w:rPr>
          <w:b/>
          <w:sz w:val="24"/>
        </w:rPr>
        <w:t>9</w:t>
      </w:r>
      <w:r w:rsidR="003B2DAB" w:rsidRPr="003B2DAB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</w:t>
      </w:r>
      <w:r w:rsidR="003B2DAB">
        <w:rPr>
          <w:b/>
          <w:sz w:val="24"/>
        </w:rPr>
        <w:t>June</w:t>
      </w:r>
      <w:r>
        <w:rPr>
          <w:b/>
          <w:sz w:val="24"/>
        </w:rPr>
        <w:t xml:space="preserve"> 20</w:t>
      </w:r>
      <w:bookmarkEnd w:id="0"/>
      <w:r>
        <w:rPr>
          <w:b/>
          <w:sz w:val="24"/>
        </w:rPr>
        <w:t>22</w:t>
      </w:r>
      <w:r>
        <w:rPr>
          <w:b/>
          <w:sz w:val="24"/>
        </w:rPr>
        <w:tab/>
      </w:r>
    </w:p>
    <w:p w14:paraId="0EBB785A" w14:textId="77777777" w:rsidR="004A6218" w:rsidRDefault="004A6218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lang w:eastAsia="zh-CN"/>
        </w:rPr>
      </w:pPr>
    </w:p>
    <w:p w14:paraId="4904C2B3" w14:textId="77777777" w:rsidR="001A20BE" w:rsidRPr="001A20BE" w:rsidRDefault="004A6218" w:rsidP="001A20BE">
      <w:pPr>
        <w:tabs>
          <w:tab w:val="left" w:pos="2127"/>
        </w:tabs>
        <w:ind w:left="2126" w:hanging="2126"/>
        <w:jc w:val="both"/>
        <w:outlineLvl w:val="0"/>
        <w:rPr>
          <w:rFonts w:ascii="Arial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Source:</w:t>
      </w:r>
      <w:r>
        <w:rPr>
          <w:rFonts w:ascii="Arial" w:eastAsia="Batang" w:hAnsi="Arial"/>
          <w:b/>
          <w:lang w:eastAsia="zh-CN"/>
        </w:rPr>
        <w:tab/>
      </w:r>
      <w:r w:rsidR="001A20BE">
        <w:rPr>
          <w:rFonts w:ascii="Arial" w:hAnsi="Arial"/>
          <w:b/>
          <w:lang w:eastAsia="zh-CN"/>
        </w:rPr>
        <w:t>Apple</w:t>
      </w:r>
    </w:p>
    <w:p w14:paraId="751E0166" w14:textId="48063BEE" w:rsidR="004A6218" w:rsidRDefault="004A6218" w:rsidP="00A75C75">
      <w:pPr>
        <w:tabs>
          <w:tab w:val="left" w:pos="2127"/>
        </w:tabs>
        <w:ind w:left="2126" w:hanging="2126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626D3D" w:rsidRPr="00A75C75">
        <w:rPr>
          <w:rFonts w:ascii="Arial" w:eastAsia="Batang" w:hAnsi="Arial" w:cs="Arial"/>
          <w:b/>
          <w:lang w:eastAsia="zh-CN"/>
        </w:rPr>
        <w:t xml:space="preserve">New WID on </w:t>
      </w:r>
      <w:r w:rsidR="00FC167C" w:rsidRPr="00A75C75">
        <w:rPr>
          <w:rFonts w:ascii="Arial" w:eastAsia="Batang" w:hAnsi="Arial" w:cs="Arial"/>
          <w:b/>
          <w:lang w:eastAsia="zh-CN"/>
        </w:rPr>
        <w:t>UE Conformance</w:t>
      </w:r>
      <w:r w:rsidR="00601042">
        <w:rPr>
          <w:rFonts w:ascii="Arial" w:eastAsia="Batang" w:hAnsi="Arial" w:cs="Arial"/>
          <w:b/>
          <w:lang w:eastAsia="zh-CN"/>
        </w:rPr>
        <w:t xml:space="preserve"> Test Aspects</w:t>
      </w:r>
      <w:r w:rsidR="00FC167C" w:rsidRPr="00A75C75">
        <w:rPr>
          <w:rFonts w:ascii="Arial" w:eastAsia="Batang" w:hAnsi="Arial" w:cs="Arial"/>
          <w:b/>
          <w:lang w:eastAsia="zh-CN"/>
        </w:rPr>
        <w:t xml:space="preserve"> </w:t>
      </w:r>
      <w:r w:rsidR="00A75C75">
        <w:rPr>
          <w:rFonts w:ascii="Arial" w:eastAsia="Batang" w:hAnsi="Arial" w:cs="Arial"/>
          <w:b/>
          <w:lang w:eastAsia="zh-CN"/>
        </w:rPr>
        <w:t>–</w:t>
      </w:r>
      <w:r w:rsidR="00FC167C" w:rsidRPr="00A75C75">
        <w:rPr>
          <w:rFonts w:ascii="Arial" w:eastAsia="Batang" w:hAnsi="Arial" w:cs="Arial"/>
          <w:b/>
          <w:lang w:eastAsia="zh-CN"/>
        </w:rPr>
        <w:t xml:space="preserve"> </w:t>
      </w:r>
      <w:r w:rsidR="00A75C75">
        <w:rPr>
          <w:rFonts w:ascii="Arial" w:eastAsia="Batang" w:hAnsi="Arial" w:cs="Arial"/>
          <w:b/>
          <w:lang w:eastAsia="zh-CN"/>
        </w:rPr>
        <w:t xml:space="preserve">NR RRM </w:t>
      </w:r>
      <w:r w:rsidR="00601042">
        <w:rPr>
          <w:rFonts w:ascii="Arial" w:eastAsia="Batang" w:hAnsi="Arial" w:cs="Arial"/>
          <w:b/>
          <w:lang w:eastAsia="zh-CN"/>
        </w:rPr>
        <w:t>e</w:t>
      </w:r>
      <w:r w:rsidR="00A75C75">
        <w:rPr>
          <w:rFonts w:ascii="Arial" w:eastAsia="Batang" w:hAnsi="Arial" w:cs="Arial"/>
          <w:b/>
          <w:lang w:eastAsia="zh-CN"/>
        </w:rPr>
        <w:t xml:space="preserve">nhancements </w:t>
      </w:r>
    </w:p>
    <w:p w14:paraId="1B28A5A9" w14:textId="77777777" w:rsidR="004A6218" w:rsidRDefault="004A6218">
      <w:pPr>
        <w:tabs>
          <w:tab w:val="left" w:pos="2127"/>
        </w:tabs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016804C3" w14:textId="77777777" w:rsidR="004A6218" w:rsidRDefault="004A6218">
      <w:pPr>
        <w:pBdr>
          <w:bottom w:val="single" w:sz="4" w:space="1" w:color="auto"/>
        </w:pBdr>
        <w:tabs>
          <w:tab w:val="left" w:pos="2127"/>
        </w:tabs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Pr="00A75C75">
        <w:rPr>
          <w:rFonts w:ascii="Arial" w:eastAsia="Batang" w:hAnsi="Arial"/>
          <w:b/>
          <w:lang w:eastAsia="zh-CN"/>
        </w:rPr>
        <w:t>4.1</w:t>
      </w:r>
    </w:p>
    <w:p w14:paraId="0E8B6171" w14:textId="77777777" w:rsidR="004A6218" w:rsidRDefault="004A6218">
      <w:pPr>
        <w:spacing w:before="12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3GPP™ Work Item Description</w:t>
      </w:r>
    </w:p>
    <w:p w14:paraId="1425F329" w14:textId="77777777" w:rsidR="004A6218" w:rsidRDefault="004A6218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>
          <w:rPr>
            <w:rStyle w:val="Hyperlink"/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>
          <w:rPr>
            <w:rStyle w:val="Hyperlink"/>
          </w:rPr>
          <w:t>3GPP Working Procedures</w:t>
        </w:r>
      </w:hyperlink>
      <w:r>
        <w:t xml:space="preserve">, article 39 and the TSG Working Methods in </w:t>
      </w:r>
      <w:hyperlink r:id="rId7" w:history="1">
        <w:r>
          <w:rPr>
            <w:rStyle w:val="Hyperlink"/>
          </w:rPr>
          <w:t xml:space="preserve">3GPP </w:t>
        </w:r>
        <w:bookmarkStart w:id="1" w:name="_Hlt515348424"/>
        <w:bookmarkStart w:id="2" w:name="_Hlt515348423"/>
        <w:r>
          <w:rPr>
            <w:rStyle w:val="Hyperlink"/>
          </w:rPr>
          <w:t>T</w:t>
        </w:r>
        <w:bookmarkEnd w:id="1"/>
        <w:bookmarkEnd w:id="2"/>
        <w:r>
          <w:rPr>
            <w:rStyle w:val="Hyperlink"/>
          </w:rPr>
          <w:t>R 21.900</w:t>
        </w:r>
      </w:hyperlink>
    </w:p>
    <w:p w14:paraId="0EEE3956" w14:textId="0615A986" w:rsidR="004A6218" w:rsidRDefault="004A6218">
      <w:pPr>
        <w:pStyle w:val="Heading1"/>
      </w:pPr>
      <w:r>
        <w:t xml:space="preserve">Title: </w:t>
      </w:r>
      <w:r>
        <w:tab/>
      </w:r>
      <w:r w:rsidR="00A75C75" w:rsidRPr="00A75C75">
        <w:rPr>
          <w:rFonts w:eastAsia="Batang" w:cs="Arial"/>
          <w:bCs/>
          <w:lang w:val="en-US" w:eastAsia="zh-CN"/>
        </w:rPr>
        <w:t>UE Conformance</w:t>
      </w:r>
      <w:r w:rsidR="00601042">
        <w:rPr>
          <w:rFonts w:eastAsia="Batang" w:cs="Arial"/>
          <w:bCs/>
          <w:lang w:val="en-US" w:eastAsia="zh-CN"/>
        </w:rPr>
        <w:t xml:space="preserve"> </w:t>
      </w:r>
      <w:r w:rsidR="00601042" w:rsidRPr="00601042">
        <w:rPr>
          <w:rFonts w:eastAsia="Batang" w:cs="Arial"/>
          <w:bCs/>
          <w:highlight w:val="yellow"/>
          <w:lang w:val="en-US" w:eastAsia="zh-CN"/>
        </w:rPr>
        <w:t>Test Aspects</w:t>
      </w:r>
      <w:r w:rsidR="00A75C75" w:rsidRPr="00A75C75">
        <w:rPr>
          <w:rFonts w:eastAsia="Batang" w:cs="Arial"/>
          <w:bCs/>
          <w:lang w:val="en-US" w:eastAsia="zh-CN"/>
        </w:rPr>
        <w:t xml:space="preserve"> – NR RRM </w:t>
      </w:r>
      <w:r w:rsidR="00601042" w:rsidRPr="00601042">
        <w:rPr>
          <w:rFonts w:eastAsia="Batang" w:cs="Arial"/>
          <w:bCs/>
          <w:highlight w:val="yellow"/>
          <w:lang w:val="en-US" w:eastAsia="zh-CN"/>
        </w:rPr>
        <w:t>e</w:t>
      </w:r>
      <w:r w:rsidR="00A75C75" w:rsidRPr="00A75C75">
        <w:rPr>
          <w:rFonts w:eastAsia="Batang" w:cs="Arial"/>
          <w:bCs/>
          <w:lang w:val="en-US" w:eastAsia="zh-CN"/>
        </w:rPr>
        <w:t xml:space="preserve">nhancements </w:t>
      </w:r>
    </w:p>
    <w:p w14:paraId="641A545F" w14:textId="58B59A4F" w:rsidR="004A6218" w:rsidRDefault="004A6218">
      <w:pPr>
        <w:pStyle w:val="Heading2"/>
        <w:tabs>
          <w:tab w:val="left" w:pos="2552"/>
        </w:tabs>
      </w:pPr>
      <w:r>
        <w:t xml:space="preserve">Acronym: </w:t>
      </w:r>
      <w:proofErr w:type="spellStart"/>
      <w:r w:rsidR="001A20BE">
        <w:t>NR_</w:t>
      </w:r>
      <w:r w:rsidR="00A75C75">
        <w:t>RRM_</w:t>
      </w:r>
      <w:r w:rsidR="00601042" w:rsidRPr="00601042">
        <w:rPr>
          <w:highlight w:val="yellow"/>
        </w:rPr>
        <w:t>e</w:t>
      </w:r>
      <w:r w:rsidR="00A75C75">
        <w:t>nh-</w:t>
      </w:r>
      <w:r>
        <w:rPr>
          <w:rFonts w:hint="eastAsia"/>
        </w:rPr>
        <w:t>UEConTest</w:t>
      </w:r>
      <w:proofErr w:type="spellEnd"/>
    </w:p>
    <w:p w14:paraId="6123A494" w14:textId="77777777" w:rsidR="004A6218" w:rsidRDefault="004A6218">
      <w:pPr>
        <w:pStyle w:val="Heading2"/>
        <w:tabs>
          <w:tab w:val="left" w:pos="2552"/>
        </w:tabs>
      </w:pPr>
      <w:r>
        <w:t xml:space="preserve">Unique identifier: </w:t>
      </w:r>
      <w:r>
        <w:tab/>
        <w:t xml:space="preserve"> </w:t>
      </w:r>
    </w:p>
    <w:p w14:paraId="2F6D9EAE" w14:textId="77777777" w:rsidR="004A6218" w:rsidRDefault="004A6218">
      <w:pPr>
        <w:pStyle w:val="NO"/>
        <w:rPr>
          <w:color w:val="0000FF"/>
        </w:rPr>
      </w:pPr>
      <w:r>
        <w:rPr>
          <w:color w:val="0000FF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72"/>
        <w:gridCol w:w="862"/>
      </w:tblGrid>
      <w:tr w:rsidR="004A6218" w14:paraId="70DC35F0" w14:textId="77777777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1B6D35AE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This WID includes a Testing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7B11E17" w14:textId="77777777" w:rsidR="004A6218" w:rsidRDefault="004A6218">
            <w:pPr>
              <w:pStyle w:val="TAL"/>
              <w:jc w:val="center"/>
              <w:rPr>
                <w:b/>
                <w:bCs/>
                <w:lang w:eastAsia="zh-Hans"/>
              </w:rPr>
            </w:pPr>
            <w:r>
              <w:rPr>
                <w:rFonts w:hint="eastAsia"/>
                <w:b/>
                <w:bCs/>
                <w:lang w:eastAsia="zh-Hans"/>
              </w:rPr>
              <w:t>X</w:t>
            </w:r>
          </w:p>
        </w:tc>
      </w:tr>
      <w:tr w:rsidR="004A6218" w14:paraId="36F5781E" w14:textId="77777777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B0E335F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7AD58EA9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6DCEF0B6" w14:textId="77777777" w:rsidR="004A6218" w:rsidRDefault="004A6218">
            <w:pPr>
              <w:pStyle w:val="TAL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Hans"/>
              </w:rPr>
              <w:t>X</w:t>
            </w:r>
          </w:p>
        </w:tc>
      </w:tr>
      <w:tr w:rsidR="004A6218" w14:paraId="06F57DB5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020DF670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6CB3CA80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6C89F6" w14:textId="77777777" w:rsidR="004A6218" w:rsidRDefault="004A6218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4A6218" w14:paraId="3168DC59" w14:textId="77777777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12E44C58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5B51794D" w14:textId="77777777" w:rsidR="004A6218" w:rsidRDefault="004A6218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FA754B0" w14:textId="77777777" w:rsidR="004A6218" w:rsidRDefault="004A6218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1EDA1834" w14:textId="77777777" w:rsidR="004A6218" w:rsidRDefault="004A6218"/>
    <w:p w14:paraId="2FDF3C83" w14:textId="77777777" w:rsidR="004A6218" w:rsidRDefault="004A6218">
      <w:pPr>
        <w:ind w:right="-96"/>
        <w:rPr>
          <w:rFonts w:ascii="Arial" w:hAnsi="Arial"/>
          <w:sz w:val="32"/>
        </w:rPr>
      </w:pPr>
      <w:r>
        <w:rPr>
          <w:rFonts w:ascii="Arial" w:hAnsi="Arial"/>
          <w:sz w:val="32"/>
        </w:rPr>
        <w:t>Potential target Release: Rel-1</w:t>
      </w:r>
      <w:r w:rsidR="00A75C75">
        <w:rPr>
          <w:rFonts w:ascii="Arial" w:hAnsi="Arial"/>
          <w:sz w:val="32"/>
        </w:rPr>
        <w:t>6</w:t>
      </w:r>
    </w:p>
    <w:p w14:paraId="22213B38" w14:textId="77777777" w:rsidR="004A6218" w:rsidRDefault="004A6218">
      <w:pPr>
        <w:pStyle w:val="Heading2"/>
      </w:pPr>
      <w:r>
        <w:t>1</w:t>
      </w:r>
      <w:r>
        <w:tab/>
        <w:t xml:space="preserve">Impacts </w:t>
      </w:r>
      <w:r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A6218" w14:paraId="748F49CB" w14:textId="7777777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FE98DB6" w14:textId="77777777" w:rsidR="004A6218" w:rsidRDefault="004A6218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DEE6C0F" w14:textId="77777777" w:rsidR="004A6218" w:rsidRDefault="004A6218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EB47FD8" w14:textId="77777777" w:rsidR="004A6218" w:rsidRDefault="004A6218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D99802D" w14:textId="77777777" w:rsidR="004A6218" w:rsidRDefault="004A6218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4D6F7D2" w14:textId="77777777" w:rsidR="004A6218" w:rsidRDefault="004A6218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5EDF2FA" w14:textId="77777777" w:rsidR="004A6218" w:rsidRDefault="004A6218">
            <w:pPr>
              <w:pStyle w:val="TAH"/>
            </w:pPr>
            <w:r>
              <w:t>Others (specify)</w:t>
            </w:r>
          </w:p>
        </w:tc>
      </w:tr>
      <w:tr w:rsidR="004A6218" w14:paraId="3CA896BD" w14:textId="7777777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80EDCF1" w14:textId="77777777" w:rsidR="004A6218" w:rsidRDefault="004A6218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2D3EEE7B" w14:textId="77777777" w:rsidR="004A6218" w:rsidRDefault="004A621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24FB1DC" w14:textId="77777777" w:rsidR="004A6218" w:rsidRDefault="004A621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6672236" w14:textId="77777777" w:rsidR="004A6218" w:rsidRDefault="004A621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D982A90" w14:textId="77777777" w:rsidR="004A6218" w:rsidRDefault="004A6218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1A5B1F3" w14:textId="77777777" w:rsidR="004A6218" w:rsidRDefault="004A6218">
            <w:pPr>
              <w:pStyle w:val="TAC"/>
            </w:pPr>
          </w:p>
        </w:tc>
      </w:tr>
      <w:tr w:rsidR="004A6218" w14:paraId="3326DFF9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AAB93DF" w14:textId="77777777" w:rsidR="004A6218" w:rsidRDefault="004A6218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354A93B" w14:textId="77777777" w:rsidR="004A6218" w:rsidRDefault="004A6218">
            <w:pPr>
              <w:pStyle w:val="TAC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X</w:t>
            </w:r>
          </w:p>
        </w:tc>
        <w:tc>
          <w:tcPr>
            <w:tcW w:w="0" w:type="auto"/>
          </w:tcPr>
          <w:p w14:paraId="31ED0065" w14:textId="77777777" w:rsidR="004A6218" w:rsidRDefault="004A6218">
            <w:pPr>
              <w:pStyle w:val="TAC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X</w:t>
            </w:r>
          </w:p>
        </w:tc>
        <w:tc>
          <w:tcPr>
            <w:tcW w:w="0" w:type="auto"/>
          </w:tcPr>
          <w:p w14:paraId="6C34F2DD" w14:textId="77777777" w:rsidR="004A6218" w:rsidRDefault="004A6218">
            <w:pPr>
              <w:pStyle w:val="TAC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X</w:t>
            </w:r>
          </w:p>
        </w:tc>
        <w:tc>
          <w:tcPr>
            <w:tcW w:w="0" w:type="auto"/>
          </w:tcPr>
          <w:p w14:paraId="4655EFC3" w14:textId="77777777" w:rsidR="004A6218" w:rsidRDefault="004A6218">
            <w:pPr>
              <w:pStyle w:val="TAC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X</w:t>
            </w:r>
          </w:p>
        </w:tc>
        <w:tc>
          <w:tcPr>
            <w:tcW w:w="0" w:type="auto"/>
          </w:tcPr>
          <w:p w14:paraId="69DBDFD5" w14:textId="77777777" w:rsidR="004A6218" w:rsidRDefault="004A6218">
            <w:pPr>
              <w:pStyle w:val="TAC"/>
            </w:pPr>
          </w:p>
        </w:tc>
      </w:tr>
      <w:tr w:rsidR="004A6218" w14:paraId="1792B15D" w14:textId="7777777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56B1504" w14:textId="77777777" w:rsidR="004A6218" w:rsidRDefault="004A6218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812382F" w14:textId="77777777" w:rsidR="004A6218" w:rsidRDefault="004A6218">
            <w:pPr>
              <w:pStyle w:val="TAC"/>
            </w:pPr>
          </w:p>
        </w:tc>
        <w:tc>
          <w:tcPr>
            <w:tcW w:w="0" w:type="auto"/>
          </w:tcPr>
          <w:p w14:paraId="5E02351F" w14:textId="77777777" w:rsidR="004A6218" w:rsidRDefault="004A6218">
            <w:pPr>
              <w:pStyle w:val="TAC"/>
            </w:pPr>
          </w:p>
        </w:tc>
        <w:tc>
          <w:tcPr>
            <w:tcW w:w="0" w:type="auto"/>
          </w:tcPr>
          <w:p w14:paraId="15BCBC22" w14:textId="77777777" w:rsidR="004A6218" w:rsidRDefault="004A6218">
            <w:pPr>
              <w:pStyle w:val="TAC"/>
            </w:pPr>
          </w:p>
        </w:tc>
        <w:tc>
          <w:tcPr>
            <w:tcW w:w="0" w:type="auto"/>
          </w:tcPr>
          <w:p w14:paraId="048A1DFA" w14:textId="77777777" w:rsidR="004A6218" w:rsidRDefault="004A6218">
            <w:pPr>
              <w:pStyle w:val="TAC"/>
            </w:pPr>
          </w:p>
        </w:tc>
        <w:tc>
          <w:tcPr>
            <w:tcW w:w="0" w:type="auto"/>
          </w:tcPr>
          <w:p w14:paraId="41ACA715" w14:textId="77777777" w:rsidR="004A6218" w:rsidRDefault="004A6218">
            <w:pPr>
              <w:pStyle w:val="TAC"/>
            </w:pPr>
          </w:p>
        </w:tc>
      </w:tr>
    </w:tbl>
    <w:p w14:paraId="71AB035D" w14:textId="77777777" w:rsidR="004A6218" w:rsidRDefault="004A6218">
      <w:pPr>
        <w:ind w:right="-99"/>
        <w:rPr>
          <w:b/>
        </w:rPr>
      </w:pPr>
    </w:p>
    <w:p w14:paraId="48AD0B09" w14:textId="77777777" w:rsidR="004A6218" w:rsidRDefault="004A6218">
      <w:pPr>
        <w:pStyle w:val="Heading2"/>
      </w:pPr>
      <w:r>
        <w:t>2</w:t>
      </w:r>
      <w:r>
        <w:tab/>
        <w:t>Classification of the Work Item and linked work items</w:t>
      </w:r>
    </w:p>
    <w:p w14:paraId="318D22AD" w14:textId="77777777" w:rsidR="004A6218" w:rsidRDefault="004A6218">
      <w:pPr>
        <w:pStyle w:val="Heading3"/>
      </w:pPr>
      <w:r>
        <w:t>2.1</w:t>
      </w:r>
      <w:r>
        <w:tab/>
        <w:t>Primary classification</w:t>
      </w:r>
    </w:p>
    <w:p w14:paraId="0E78087D" w14:textId="77777777" w:rsidR="004A6218" w:rsidRDefault="004A6218">
      <w:pPr>
        <w:pStyle w:val="tah0"/>
      </w:pPr>
      <w:r>
        <w:t xml:space="preserve">This work item is a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A6218" w14:paraId="7FD62D8A" w14:textId="77777777">
        <w:tc>
          <w:tcPr>
            <w:tcW w:w="675" w:type="dxa"/>
            <w:shd w:val="clear" w:color="auto" w:fill="auto"/>
          </w:tcPr>
          <w:p w14:paraId="2DEA5B62" w14:textId="77777777" w:rsidR="004A6218" w:rsidRDefault="004A6218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2C08C61" w14:textId="77777777" w:rsidR="004A6218" w:rsidRDefault="004A6218">
            <w:pPr>
              <w:pStyle w:val="TAH"/>
              <w:ind w:right="-99"/>
              <w:jc w:val="left"/>
              <w:rPr>
                <w:color w:val="4F81BD"/>
              </w:rPr>
            </w:pPr>
            <w:r>
              <w:rPr>
                <w:color w:val="4F81BD"/>
                <w:sz w:val="20"/>
              </w:rPr>
              <w:t>Feature</w:t>
            </w:r>
          </w:p>
        </w:tc>
      </w:tr>
      <w:tr w:rsidR="004A6218" w14:paraId="205EC78C" w14:textId="77777777">
        <w:tc>
          <w:tcPr>
            <w:tcW w:w="675" w:type="dxa"/>
            <w:shd w:val="clear" w:color="auto" w:fill="auto"/>
          </w:tcPr>
          <w:p w14:paraId="569E1233" w14:textId="77777777" w:rsidR="004A6218" w:rsidRDefault="004A6218">
            <w:pPr>
              <w:pStyle w:val="TAC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92D0D2A" w14:textId="77777777" w:rsidR="004A6218" w:rsidRDefault="004A6218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A6218" w14:paraId="6F6BCD0E" w14:textId="77777777">
        <w:tc>
          <w:tcPr>
            <w:tcW w:w="675" w:type="dxa"/>
            <w:shd w:val="clear" w:color="auto" w:fill="auto"/>
          </w:tcPr>
          <w:p w14:paraId="6F19FDAE" w14:textId="77777777" w:rsidR="004A6218" w:rsidRDefault="004A6218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325E26A" w14:textId="77777777" w:rsidR="004A6218" w:rsidRDefault="004A6218">
            <w:pPr>
              <w:pStyle w:val="TAH"/>
              <w:ind w:right="-99"/>
              <w:jc w:val="left"/>
              <w:rPr>
                <w:b w:val="0"/>
                <w:i/>
              </w:rPr>
            </w:pPr>
            <w:r>
              <w:rPr>
                <w:b w:val="0"/>
                <w:i/>
                <w:sz w:val="16"/>
              </w:rPr>
              <w:t>Work Task</w:t>
            </w:r>
          </w:p>
        </w:tc>
      </w:tr>
      <w:tr w:rsidR="004A6218" w14:paraId="0127D9F1" w14:textId="77777777">
        <w:tc>
          <w:tcPr>
            <w:tcW w:w="675" w:type="dxa"/>
            <w:shd w:val="clear" w:color="auto" w:fill="auto"/>
          </w:tcPr>
          <w:p w14:paraId="15A6760B" w14:textId="77777777" w:rsidR="004A6218" w:rsidRDefault="004A6218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E0B4376" w14:textId="77777777" w:rsidR="004A6218" w:rsidRDefault="004A6218">
            <w:pPr>
              <w:pStyle w:val="TAH"/>
              <w:ind w:right="-99"/>
              <w:jc w:val="left"/>
            </w:pPr>
            <w:r>
              <w:rPr>
                <w:color w:val="4F81BD"/>
                <w:sz w:val="20"/>
              </w:rPr>
              <w:t>Study Item</w:t>
            </w:r>
          </w:p>
        </w:tc>
      </w:tr>
    </w:tbl>
    <w:p w14:paraId="70E09E62" w14:textId="77777777" w:rsidR="004A6218" w:rsidRDefault="004A6218">
      <w:pPr>
        <w:ind w:right="-99"/>
        <w:rPr>
          <w:b/>
        </w:rPr>
      </w:pPr>
    </w:p>
    <w:p w14:paraId="7428F968" w14:textId="77777777" w:rsidR="004A6218" w:rsidRDefault="004A6218">
      <w:pPr>
        <w:pStyle w:val="Heading3"/>
      </w:pPr>
      <w:r>
        <w:lastRenderedPageBreak/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24"/>
        <w:gridCol w:w="1101"/>
        <w:gridCol w:w="7011"/>
      </w:tblGrid>
      <w:tr w:rsidR="004A6218" w14:paraId="695DA936" w14:textId="77777777">
        <w:tc>
          <w:tcPr>
            <w:tcW w:w="10314" w:type="dxa"/>
            <w:gridSpan w:val="4"/>
            <w:shd w:val="clear" w:color="auto" w:fill="E0E0E0"/>
          </w:tcPr>
          <w:p w14:paraId="62F4EE0F" w14:textId="77777777" w:rsidR="004A6218" w:rsidRDefault="004A6218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4A6218" w14:paraId="26B66225" w14:textId="77777777" w:rsidTr="003A63A2">
        <w:tc>
          <w:tcPr>
            <w:tcW w:w="1278" w:type="dxa"/>
            <w:shd w:val="clear" w:color="auto" w:fill="E0E0E0"/>
          </w:tcPr>
          <w:p w14:paraId="49316ECF" w14:textId="77777777" w:rsidR="004A6218" w:rsidRDefault="004A6218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24" w:type="dxa"/>
            <w:shd w:val="clear" w:color="auto" w:fill="E0E0E0"/>
          </w:tcPr>
          <w:p w14:paraId="0874CE26" w14:textId="77777777" w:rsidR="004A6218" w:rsidRDefault="004A6218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153E35" w14:textId="77777777" w:rsidR="004A6218" w:rsidRDefault="004A6218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3E0025C9" w14:textId="77777777" w:rsidR="004A6218" w:rsidRDefault="004A6218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A6218" w14:paraId="48432D5F" w14:textId="77777777" w:rsidTr="003A63A2">
        <w:tc>
          <w:tcPr>
            <w:tcW w:w="1278" w:type="dxa"/>
          </w:tcPr>
          <w:p w14:paraId="3DDFDBEA" w14:textId="77777777" w:rsidR="003A63A2" w:rsidRPr="009801CE" w:rsidRDefault="003A63A2" w:rsidP="003A63A2">
            <w:pPr>
              <w:rPr>
                <w:kern w:val="2"/>
                <w:sz w:val="20"/>
                <w:szCs w:val="20"/>
                <w:lang w:val="en-GB" w:eastAsia="en-GB"/>
              </w:rPr>
            </w:pPr>
            <w:proofErr w:type="spellStart"/>
            <w:r w:rsidRPr="009801CE">
              <w:rPr>
                <w:kern w:val="2"/>
                <w:sz w:val="20"/>
                <w:szCs w:val="20"/>
              </w:rPr>
              <w:t>NR_</w:t>
            </w:r>
            <w:r w:rsidR="00A75C75" w:rsidRPr="009801CE">
              <w:rPr>
                <w:kern w:val="2"/>
                <w:sz w:val="20"/>
                <w:szCs w:val="20"/>
              </w:rPr>
              <w:t>RRM_Enh</w:t>
            </w:r>
            <w:proofErr w:type="spellEnd"/>
            <w:r w:rsidRPr="009801CE">
              <w:rPr>
                <w:kern w:val="2"/>
                <w:sz w:val="20"/>
                <w:szCs w:val="20"/>
              </w:rPr>
              <w:t>-Core</w:t>
            </w:r>
          </w:p>
          <w:p w14:paraId="50047BDF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zh-Hans"/>
              </w:rPr>
            </w:pPr>
          </w:p>
        </w:tc>
        <w:tc>
          <w:tcPr>
            <w:tcW w:w="924" w:type="dxa"/>
          </w:tcPr>
          <w:p w14:paraId="5710E803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en-GB"/>
              </w:rPr>
            </w:pPr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>R</w:t>
            </w:r>
            <w:r w:rsidRPr="009801CE">
              <w:rPr>
                <w:rFonts w:ascii="Times New Roman" w:hAnsi="Times New Roman"/>
                <w:kern w:val="2"/>
                <w:sz w:val="20"/>
                <w:szCs w:val="20"/>
                <w:lang w:eastAsia="zh-Hans"/>
              </w:rPr>
              <w:t>AN</w:t>
            </w:r>
            <w:r w:rsidR="003A63A2" w:rsidRPr="009801CE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1101" w:type="dxa"/>
          </w:tcPr>
          <w:p w14:paraId="3EA1984D" w14:textId="77777777" w:rsidR="003A63A2" w:rsidRPr="009801CE" w:rsidRDefault="00AD4A08" w:rsidP="003A63A2">
            <w:pPr>
              <w:rPr>
                <w:rFonts w:eastAsia="SimSun"/>
                <w:kern w:val="2"/>
                <w:sz w:val="20"/>
                <w:szCs w:val="20"/>
                <w:lang w:eastAsia="zh-Hans"/>
              </w:rPr>
            </w:pPr>
            <w:r w:rsidRPr="009801CE">
              <w:rPr>
                <w:rFonts w:eastAsia="SimSun"/>
                <w:kern w:val="2"/>
                <w:sz w:val="20"/>
                <w:szCs w:val="20"/>
                <w:lang w:eastAsia="zh-Hans"/>
              </w:rPr>
              <w:t>840195</w:t>
            </w:r>
          </w:p>
          <w:p w14:paraId="585C9A50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val="en-GB" w:eastAsia="en-GB"/>
              </w:rPr>
            </w:pPr>
          </w:p>
        </w:tc>
        <w:tc>
          <w:tcPr>
            <w:tcW w:w="7011" w:type="dxa"/>
          </w:tcPr>
          <w:p w14:paraId="7398CED1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en-GB"/>
              </w:rPr>
            </w:pPr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 xml:space="preserve">Core part: </w:t>
            </w:r>
            <w:proofErr w:type="spellStart"/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>NR_</w:t>
            </w:r>
            <w:r w:rsidR="00A75C75" w:rsidRPr="009801CE">
              <w:rPr>
                <w:rFonts w:ascii="Times New Roman" w:hAnsi="Times New Roman"/>
                <w:kern w:val="2"/>
                <w:sz w:val="20"/>
                <w:szCs w:val="20"/>
              </w:rPr>
              <w:t>RRM_ENh</w:t>
            </w:r>
            <w:proofErr w:type="spellEnd"/>
          </w:p>
        </w:tc>
      </w:tr>
      <w:tr w:rsidR="004A6218" w14:paraId="6034912F" w14:textId="77777777" w:rsidTr="003A63A2">
        <w:tc>
          <w:tcPr>
            <w:tcW w:w="1278" w:type="dxa"/>
          </w:tcPr>
          <w:p w14:paraId="543082AE" w14:textId="77777777" w:rsidR="004A6218" w:rsidRPr="009801CE" w:rsidRDefault="00A75C75" w:rsidP="003A63A2">
            <w:pPr>
              <w:rPr>
                <w:kern w:val="2"/>
                <w:sz w:val="20"/>
                <w:szCs w:val="20"/>
                <w:lang w:val="en-GB" w:eastAsia="en-GB"/>
              </w:rPr>
            </w:pPr>
            <w:proofErr w:type="spellStart"/>
            <w:r w:rsidRPr="009801CE">
              <w:rPr>
                <w:kern w:val="2"/>
                <w:sz w:val="20"/>
                <w:szCs w:val="20"/>
              </w:rPr>
              <w:t>NR_RRM_Enh</w:t>
            </w:r>
            <w:proofErr w:type="spellEnd"/>
            <w:r w:rsidRPr="009801CE">
              <w:rPr>
                <w:kern w:val="2"/>
                <w:sz w:val="20"/>
                <w:szCs w:val="20"/>
              </w:rPr>
              <w:t xml:space="preserve"> </w:t>
            </w:r>
            <w:r w:rsidR="003A63A2" w:rsidRPr="009801CE">
              <w:rPr>
                <w:kern w:val="2"/>
                <w:sz w:val="20"/>
                <w:szCs w:val="20"/>
              </w:rPr>
              <w:t>-Perf</w:t>
            </w:r>
          </w:p>
        </w:tc>
        <w:tc>
          <w:tcPr>
            <w:tcW w:w="924" w:type="dxa"/>
          </w:tcPr>
          <w:p w14:paraId="64124000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en-GB"/>
              </w:rPr>
            </w:pPr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>R</w:t>
            </w:r>
            <w:r w:rsidRPr="009801CE">
              <w:rPr>
                <w:rFonts w:ascii="Times New Roman" w:hAnsi="Times New Roman"/>
                <w:kern w:val="2"/>
                <w:sz w:val="20"/>
                <w:szCs w:val="20"/>
                <w:lang w:eastAsia="zh-Hans"/>
              </w:rPr>
              <w:t>AN</w:t>
            </w:r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1101" w:type="dxa"/>
          </w:tcPr>
          <w:p w14:paraId="2B2E2455" w14:textId="77777777" w:rsidR="003A63A2" w:rsidRPr="009801CE" w:rsidRDefault="00AD4A08" w:rsidP="003A63A2">
            <w:pPr>
              <w:rPr>
                <w:rFonts w:eastAsia="SimSun"/>
                <w:kern w:val="2"/>
                <w:sz w:val="20"/>
                <w:szCs w:val="20"/>
                <w:lang w:eastAsia="zh-Hans"/>
              </w:rPr>
            </w:pPr>
            <w:r w:rsidRPr="009801CE">
              <w:rPr>
                <w:rFonts w:eastAsia="SimSun"/>
                <w:kern w:val="2"/>
                <w:sz w:val="20"/>
                <w:szCs w:val="20"/>
                <w:lang w:eastAsia="zh-Hans"/>
              </w:rPr>
              <w:t>840295</w:t>
            </w:r>
          </w:p>
          <w:p w14:paraId="24348CAC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en-GB"/>
              </w:rPr>
            </w:pPr>
          </w:p>
        </w:tc>
        <w:tc>
          <w:tcPr>
            <w:tcW w:w="7011" w:type="dxa"/>
          </w:tcPr>
          <w:p w14:paraId="0F057A61" w14:textId="77777777" w:rsidR="004A6218" w:rsidRPr="009801CE" w:rsidRDefault="004A6218">
            <w:pPr>
              <w:pStyle w:val="TAL"/>
              <w:rPr>
                <w:rFonts w:ascii="Times New Roman" w:hAnsi="Times New Roman"/>
                <w:kern w:val="2"/>
                <w:sz w:val="20"/>
                <w:szCs w:val="20"/>
                <w:lang w:eastAsia="en-GB"/>
              </w:rPr>
            </w:pPr>
            <w:r w:rsidRPr="009801CE">
              <w:rPr>
                <w:rFonts w:ascii="Times New Roman" w:hAnsi="Times New Roman"/>
                <w:kern w:val="2"/>
                <w:sz w:val="20"/>
                <w:szCs w:val="20"/>
              </w:rPr>
              <w:t xml:space="preserve">Perf. part: </w:t>
            </w:r>
            <w:proofErr w:type="spellStart"/>
            <w:r w:rsidR="003A63A2" w:rsidRPr="009801CE">
              <w:rPr>
                <w:rFonts w:ascii="Times New Roman" w:hAnsi="Times New Roman"/>
                <w:kern w:val="2"/>
                <w:sz w:val="20"/>
                <w:szCs w:val="20"/>
              </w:rPr>
              <w:t>NR_</w:t>
            </w:r>
            <w:r w:rsidR="00A75C75" w:rsidRPr="009801CE">
              <w:rPr>
                <w:rFonts w:ascii="Times New Roman" w:hAnsi="Times New Roman"/>
                <w:kern w:val="2"/>
                <w:sz w:val="20"/>
                <w:szCs w:val="20"/>
              </w:rPr>
              <w:t>RRM_Enh</w:t>
            </w:r>
            <w:proofErr w:type="spellEnd"/>
          </w:p>
        </w:tc>
      </w:tr>
    </w:tbl>
    <w:p w14:paraId="5BB2AFE2" w14:textId="77777777" w:rsidR="004A6218" w:rsidRDefault="004A6218">
      <w:pPr>
        <w:ind w:right="-99"/>
        <w:rPr>
          <w:color w:val="0000FF"/>
        </w:rPr>
      </w:pPr>
    </w:p>
    <w:p w14:paraId="71125BF2" w14:textId="77777777" w:rsidR="004A6218" w:rsidRDefault="004A6218">
      <w:pPr>
        <w:pStyle w:val="Heading3"/>
        <w:rPr>
          <w:i/>
        </w:rPr>
      </w:pPr>
      <w:r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4A6218" w14:paraId="05C4365B" w14:textId="77777777">
        <w:tc>
          <w:tcPr>
            <w:tcW w:w="10314" w:type="dxa"/>
            <w:gridSpan w:val="3"/>
            <w:shd w:val="clear" w:color="auto" w:fill="E0E0E0"/>
          </w:tcPr>
          <w:p w14:paraId="685E53DD" w14:textId="77777777" w:rsidR="004A6218" w:rsidRDefault="004A6218">
            <w:pPr>
              <w:pStyle w:val="TAH"/>
              <w:ind w:right="-99"/>
              <w:jc w:val="left"/>
            </w:pPr>
            <w:r>
              <w:t>Other related Work Items (if any)</w:t>
            </w:r>
          </w:p>
        </w:tc>
      </w:tr>
      <w:tr w:rsidR="004A6218" w14:paraId="38BC6436" w14:textId="77777777">
        <w:tc>
          <w:tcPr>
            <w:tcW w:w="1101" w:type="dxa"/>
            <w:shd w:val="clear" w:color="auto" w:fill="E0E0E0"/>
          </w:tcPr>
          <w:p w14:paraId="5365F834" w14:textId="77777777" w:rsidR="004A6218" w:rsidRDefault="004A6218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09EFD71C" w14:textId="77777777" w:rsidR="004A6218" w:rsidRDefault="004A6218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511BF615" w14:textId="77777777" w:rsidR="004A6218" w:rsidRDefault="004A6218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3A63A2" w14:paraId="3B439CE0" w14:textId="77777777" w:rsidTr="004A6218">
        <w:tc>
          <w:tcPr>
            <w:tcW w:w="1101" w:type="dxa"/>
            <w:vAlign w:val="bottom"/>
          </w:tcPr>
          <w:p w14:paraId="2E5D4AA1" w14:textId="77777777" w:rsidR="003A63A2" w:rsidRPr="009801CE" w:rsidRDefault="003A63A2" w:rsidP="003A63A2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9801CE">
              <w:rPr>
                <w:rFonts w:ascii="Times New Roman" w:hAnsi="Times New Roman"/>
                <w:sz w:val="20"/>
                <w:szCs w:val="20"/>
              </w:rPr>
              <w:t>760087</w:t>
            </w:r>
          </w:p>
        </w:tc>
        <w:tc>
          <w:tcPr>
            <w:tcW w:w="3326" w:type="dxa"/>
            <w:vAlign w:val="bottom"/>
          </w:tcPr>
          <w:p w14:paraId="4C04C240" w14:textId="77777777" w:rsidR="003A63A2" w:rsidRPr="009801CE" w:rsidRDefault="003A63A2" w:rsidP="003A63A2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9801CE">
              <w:rPr>
                <w:rFonts w:ascii="Times New Roman" w:hAnsi="Times New Roman"/>
                <w:color w:val="000000"/>
                <w:sz w:val="20"/>
                <w:szCs w:val="20"/>
              </w:rPr>
              <w:t>UE Conformance Test Aspects - 5G system with NR and LTE</w:t>
            </w:r>
          </w:p>
        </w:tc>
        <w:tc>
          <w:tcPr>
            <w:tcW w:w="5887" w:type="dxa"/>
          </w:tcPr>
          <w:p w14:paraId="6D9D0131" w14:textId="77777777" w:rsidR="003A63A2" w:rsidRPr="009801CE" w:rsidRDefault="00AD4A08" w:rsidP="003A63A2">
            <w:pPr>
              <w:pStyle w:val="tah0"/>
              <w:rPr>
                <w:sz w:val="20"/>
                <w:szCs w:val="20"/>
              </w:rPr>
            </w:pPr>
            <w:r w:rsidRPr="009801CE">
              <w:rPr>
                <w:sz w:val="20"/>
                <w:szCs w:val="20"/>
              </w:rPr>
              <w:t>Baseline will be existing content of TS 38.533 test specification introduced via this Release 15 Work Item</w:t>
            </w:r>
          </w:p>
        </w:tc>
      </w:tr>
    </w:tbl>
    <w:p w14:paraId="2BE622C1" w14:textId="77777777" w:rsidR="004A6218" w:rsidRDefault="004A6218">
      <w:pPr>
        <w:ind w:right="-96"/>
        <w:rPr>
          <w:color w:val="0000FF"/>
        </w:rPr>
      </w:pPr>
    </w:p>
    <w:p w14:paraId="36D016BD" w14:textId="77777777" w:rsidR="004A6218" w:rsidRDefault="004A6218">
      <w:pPr>
        <w:pStyle w:val="Heading2"/>
      </w:pPr>
      <w:r>
        <w:t>3</w:t>
      </w:r>
      <w:r>
        <w:tab/>
        <w:t>Justification</w:t>
      </w:r>
    </w:p>
    <w:p w14:paraId="68051538" w14:textId="77777777" w:rsidR="003A63A2" w:rsidRPr="00466460" w:rsidRDefault="00CC06E4" w:rsidP="00BF49E0">
      <w:pPr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At the RAN#83, the scope of Rel-16 RRM enhancements was discussed and at the RAN4#91 meeting the specific pending topics under this topic were identified. </w:t>
      </w:r>
    </w:p>
    <w:p w14:paraId="260BE6E7" w14:textId="77777777" w:rsidR="005516BA" w:rsidRPr="00466460" w:rsidRDefault="005516BA" w:rsidP="003A63A2">
      <w:pPr>
        <w:jc w:val="both"/>
        <w:rPr>
          <w:sz w:val="20"/>
          <w:szCs w:val="20"/>
          <w:lang w:eastAsia="zh-CN"/>
        </w:rPr>
      </w:pPr>
    </w:p>
    <w:p w14:paraId="31A5F26D" w14:textId="77777777" w:rsidR="003A63A2" w:rsidRPr="00466460" w:rsidRDefault="005516BA" w:rsidP="003A63A2">
      <w:pPr>
        <w:jc w:val="both"/>
        <w:rPr>
          <w:sz w:val="20"/>
          <w:szCs w:val="20"/>
          <w:lang w:eastAsia="zh-CN"/>
        </w:rPr>
      </w:pPr>
      <w:r w:rsidRPr="00466460">
        <w:rPr>
          <w:sz w:val="20"/>
          <w:szCs w:val="20"/>
          <w:lang w:eastAsia="zh-CN"/>
        </w:rPr>
        <w:t>RAN4 introduced a Rel1</w:t>
      </w:r>
      <w:r w:rsidR="0033732D">
        <w:rPr>
          <w:sz w:val="20"/>
          <w:szCs w:val="20"/>
          <w:lang w:eastAsia="zh-CN"/>
        </w:rPr>
        <w:t>6</w:t>
      </w:r>
      <w:r w:rsidRPr="00466460">
        <w:rPr>
          <w:sz w:val="20"/>
          <w:szCs w:val="20"/>
          <w:lang w:eastAsia="zh-CN"/>
        </w:rPr>
        <w:t xml:space="preserve"> work item</w:t>
      </w:r>
      <w:r w:rsidR="006C2C99" w:rsidRPr="00466460">
        <w:rPr>
          <w:sz w:val="20"/>
          <w:szCs w:val="20"/>
          <w:lang w:eastAsia="zh-CN"/>
        </w:rPr>
        <w:t xml:space="preserve"> for NR</w:t>
      </w:r>
      <w:r w:rsidR="00BF49E0">
        <w:rPr>
          <w:sz w:val="20"/>
          <w:szCs w:val="20"/>
          <w:lang w:eastAsia="zh-CN"/>
        </w:rPr>
        <w:t xml:space="preserve"> RRM Enhancements for which</w:t>
      </w:r>
      <w:r w:rsidR="00D90A75">
        <w:rPr>
          <w:sz w:val="20"/>
          <w:szCs w:val="20"/>
          <w:lang w:eastAsia="zh-CN"/>
        </w:rPr>
        <w:t xml:space="preserve"> </w:t>
      </w:r>
      <w:r w:rsidR="00B850AA">
        <w:rPr>
          <w:sz w:val="20"/>
          <w:szCs w:val="20"/>
          <w:lang w:eastAsia="zh-CN"/>
        </w:rPr>
        <w:t>both the</w:t>
      </w:r>
      <w:r w:rsidR="00BF49E0">
        <w:rPr>
          <w:sz w:val="20"/>
          <w:szCs w:val="20"/>
          <w:lang w:eastAsia="zh-CN"/>
        </w:rPr>
        <w:t xml:space="preserve"> Core and Performance parts have been 100% </w:t>
      </w:r>
      <w:r w:rsidR="009801CE">
        <w:rPr>
          <w:sz w:val="20"/>
          <w:szCs w:val="20"/>
          <w:lang w:eastAsia="zh-CN"/>
        </w:rPr>
        <w:t>complete as</w:t>
      </w:r>
      <w:r w:rsidR="00D90A75">
        <w:rPr>
          <w:sz w:val="20"/>
          <w:szCs w:val="20"/>
          <w:lang w:eastAsia="zh-CN"/>
        </w:rPr>
        <w:t xml:space="preserve"> of </w:t>
      </w:r>
      <w:r w:rsidR="00BF49E0">
        <w:rPr>
          <w:sz w:val="20"/>
          <w:szCs w:val="20"/>
          <w:lang w:eastAsia="zh-CN"/>
        </w:rPr>
        <w:t>RAN#92 (June 2021)</w:t>
      </w:r>
      <w:r w:rsidR="006C2C99" w:rsidRPr="00466460">
        <w:rPr>
          <w:sz w:val="20"/>
          <w:szCs w:val="20"/>
          <w:lang w:eastAsia="zh-CN"/>
        </w:rPr>
        <w:t>.</w:t>
      </w:r>
      <w:r w:rsidR="006C2C99" w:rsidRPr="003004AE">
        <w:rPr>
          <w:sz w:val="20"/>
          <w:szCs w:val="20"/>
          <w:lang w:eastAsia="zh-CN"/>
        </w:rPr>
        <w:t xml:space="preserve"> </w:t>
      </w:r>
      <w:r w:rsidR="000432B1" w:rsidRPr="003004AE">
        <w:rPr>
          <w:sz w:val="20"/>
          <w:szCs w:val="20"/>
          <w:lang w:val="en-GB" w:eastAsia="zh-CN"/>
        </w:rPr>
        <w:t>To meet the industry expectations in time, there is a need for RAN5 to start a work item to deliver conformance test cases for NR</w:t>
      </w:r>
      <w:r w:rsidR="00D90A75">
        <w:rPr>
          <w:sz w:val="20"/>
          <w:szCs w:val="20"/>
          <w:lang w:val="en-GB" w:eastAsia="zh-CN"/>
        </w:rPr>
        <w:t xml:space="preserve"> RRM Enhancements </w:t>
      </w:r>
    </w:p>
    <w:p w14:paraId="46521684" w14:textId="77777777" w:rsidR="004A6218" w:rsidRPr="00466460" w:rsidRDefault="004A6218" w:rsidP="00466460">
      <w:pPr>
        <w:pStyle w:val="Heading2"/>
      </w:pPr>
      <w:r w:rsidRPr="00466460">
        <w:t>4</w:t>
      </w:r>
      <w:r w:rsidRPr="00466460">
        <w:tab/>
        <w:t>Objective</w:t>
      </w:r>
    </w:p>
    <w:p w14:paraId="56369467" w14:textId="77777777" w:rsidR="004A6218" w:rsidRPr="00466460" w:rsidRDefault="004A6218" w:rsidP="00466460">
      <w:pPr>
        <w:pStyle w:val="Heading3"/>
      </w:pPr>
      <w:r w:rsidRPr="00466460">
        <w:t>4.1</w:t>
      </w:r>
      <w:r w:rsidRPr="00466460">
        <w:tab/>
        <w:t>Objective of SI or Core part WI or Testing part WI</w:t>
      </w:r>
    </w:p>
    <w:p w14:paraId="06E81414" w14:textId="77777777" w:rsidR="003F68BE" w:rsidRPr="00466460" w:rsidRDefault="004A6218" w:rsidP="005516BA">
      <w:pPr>
        <w:rPr>
          <w:sz w:val="20"/>
          <w:szCs w:val="20"/>
          <w:lang w:eastAsia="zh-Hans"/>
        </w:rPr>
      </w:pPr>
      <w:r w:rsidRPr="00466460">
        <w:rPr>
          <w:bCs/>
          <w:sz w:val="20"/>
          <w:szCs w:val="20"/>
          <w:lang w:eastAsia="zh-CN"/>
        </w:rPr>
        <w:t xml:space="preserve">The objective of this </w:t>
      </w:r>
      <w:r w:rsidR="00145E9D" w:rsidRPr="00466460">
        <w:rPr>
          <w:bCs/>
          <w:sz w:val="20"/>
          <w:szCs w:val="20"/>
          <w:lang w:eastAsia="zh-CN"/>
        </w:rPr>
        <w:t xml:space="preserve">RAN5 </w:t>
      </w:r>
      <w:r w:rsidRPr="00466460">
        <w:rPr>
          <w:bCs/>
          <w:sz w:val="20"/>
          <w:szCs w:val="20"/>
          <w:lang w:eastAsia="zh-CN"/>
        </w:rPr>
        <w:t xml:space="preserve">WI is </w:t>
      </w:r>
      <w:r w:rsidRPr="00466460">
        <w:rPr>
          <w:sz w:val="20"/>
          <w:szCs w:val="20"/>
          <w:lang w:eastAsia="zh-CN"/>
        </w:rPr>
        <w:t xml:space="preserve">to </w:t>
      </w:r>
      <w:r w:rsidRPr="00466460">
        <w:rPr>
          <w:sz w:val="20"/>
          <w:szCs w:val="20"/>
          <w:lang w:eastAsia="zh-Hans"/>
        </w:rPr>
        <w:t xml:space="preserve">enable </w:t>
      </w:r>
      <w:r w:rsidRPr="00466460">
        <w:rPr>
          <w:sz w:val="20"/>
          <w:szCs w:val="20"/>
          <w:lang w:eastAsia="zh-CN"/>
        </w:rPr>
        <w:t xml:space="preserve">UE conformance </w:t>
      </w:r>
      <w:r w:rsidRPr="00466460">
        <w:rPr>
          <w:sz w:val="20"/>
          <w:szCs w:val="20"/>
          <w:lang w:eastAsia="zh-Hans"/>
        </w:rPr>
        <w:t xml:space="preserve">testing for the </w:t>
      </w:r>
      <w:r w:rsidR="00AD4A08">
        <w:rPr>
          <w:sz w:val="20"/>
          <w:szCs w:val="20"/>
          <w:lang w:eastAsia="zh-Hans"/>
        </w:rPr>
        <w:t xml:space="preserve">Release 16 RRM enhancements related </w:t>
      </w:r>
      <w:r w:rsidR="00CC06E4">
        <w:rPr>
          <w:sz w:val="20"/>
          <w:szCs w:val="20"/>
          <w:lang w:eastAsia="zh-Hans"/>
        </w:rPr>
        <w:t>requirements</w:t>
      </w:r>
      <w:r w:rsidR="00AD4A08">
        <w:rPr>
          <w:sz w:val="20"/>
          <w:szCs w:val="20"/>
          <w:lang w:eastAsia="zh-Hans"/>
        </w:rPr>
        <w:t xml:space="preserve"> for the sub-topics indicated below. </w:t>
      </w:r>
      <w:r w:rsidR="005516BA" w:rsidRPr="00466460">
        <w:rPr>
          <w:sz w:val="20"/>
          <w:szCs w:val="20"/>
          <w:lang w:eastAsia="zh-Hans"/>
        </w:rPr>
        <w:t xml:space="preserve">RAN5 conformance test </w:t>
      </w:r>
      <w:r w:rsidR="003F68BE" w:rsidRPr="00466460">
        <w:rPr>
          <w:sz w:val="20"/>
          <w:szCs w:val="20"/>
          <w:lang w:eastAsia="zh-Hans"/>
        </w:rPr>
        <w:t xml:space="preserve">procedures will be created to verify test </w:t>
      </w:r>
      <w:r w:rsidR="005516BA" w:rsidRPr="00466460">
        <w:rPr>
          <w:sz w:val="20"/>
          <w:szCs w:val="20"/>
          <w:lang w:eastAsia="zh-Hans"/>
        </w:rPr>
        <w:t xml:space="preserve">requirements </w:t>
      </w:r>
      <w:r w:rsidR="003F68BE" w:rsidRPr="00466460">
        <w:rPr>
          <w:sz w:val="20"/>
          <w:szCs w:val="20"/>
          <w:lang w:eastAsia="zh-Hans"/>
        </w:rPr>
        <w:t>as per the scope being covered in RAN4 namely:</w:t>
      </w:r>
    </w:p>
    <w:p w14:paraId="105702E2" w14:textId="77777777" w:rsidR="003F68BE" w:rsidRPr="00466460" w:rsidRDefault="003F68BE" w:rsidP="005516BA">
      <w:pPr>
        <w:rPr>
          <w:sz w:val="20"/>
          <w:szCs w:val="20"/>
          <w:lang w:eastAsia="zh-Hans"/>
        </w:rPr>
      </w:pPr>
    </w:p>
    <w:p w14:paraId="751653BE" w14:textId="77777777" w:rsidR="00AD4A08" w:rsidRPr="00A835B7" w:rsidRDefault="00CC06E4" w:rsidP="00AD4A08">
      <w:pPr>
        <w:pStyle w:val="ListParagraph"/>
        <w:spacing w:after="120"/>
        <w:ind w:left="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The focus will be to specify test requirements for the following</w:t>
      </w:r>
      <w:r w:rsidR="00AD4A08" w:rsidRPr="00A835B7">
        <w:rPr>
          <w:kern w:val="24"/>
          <w:sz w:val="20"/>
          <w:szCs w:val="20"/>
        </w:rPr>
        <w:t>:</w:t>
      </w:r>
    </w:p>
    <w:p w14:paraId="74979057" w14:textId="77777777" w:rsidR="00AD4A08" w:rsidRPr="00526169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sz w:val="20"/>
          <w:szCs w:val="20"/>
        </w:rPr>
      </w:pPr>
      <w:r w:rsidRPr="00142E3D">
        <w:rPr>
          <w:bCs/>
          <w:kern w:val="24"/>
          <w:sz w:val="20"/>
          <w:szCs w:val="20"/>
          <w:lang w:val="en-GB"/>
        </w:rPr>
        <w:t>RRM</w:t>
      </w:r>
      <w:r w:rsidR="000074AB">
        <w:rPr>
          <w:bCs/>
          <w:kern w:val="24"/>
          <w:sz w:val="20"/>
          <w:szCs w:val="20"/>
          <w:lang w:val="en-GB"/>
        </w:rPr>
        <w:t xml:space="preserve"> test</w:t>
      </w:r>
      <w:r w:rsidRPr="00142E3D">
        <w:rPr>
          <w:bCs/>
          <w:kern w:val="24"/>
          <w:sz w:val="20"/>
          <w:szCs w:val="20"/>
          <w:lang w:val="en-GB"/>
        </w:rPr>
        <w:t xml:space="preserve"> requirement of SRS carrier switching requirements for NR SA, NR-DC, EN-DC and NE-DC including</w:t>
      </w:r>
    </w:p>
    <w:p w14:paraId="75893E3B" w14:textId="77777777" w:rsidR="00AD4A08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142E3D">
        <w:rPr>
          <w:kern w:val="24"/>
          <w:sz w:val="20"/>
          <w:szCs w:val="20"/>
        </w:rPr>
        <w:t>Delay and interruption</w:t>
      </w:r>
      <w:r w:rsidR="000074AB">
        <w:rPr>
          <w:kern w:val="24"/>
          <w:sz w:val="20"/>
          <w:szCs w:val="20"/>
        </w:rPr>
        <w:t xml:space="preserve"> test</w:t>
      </w:r>
      <w:r w:rsidRPr="00142E3D">
        <w:rPr>
          <w:kern w:val="24"/>
          <w:sz w:val="20"/>
          <w:szCs w:val="20"/>
        </w:rPr>
        <w:t xml:space="preserve"> requirement</w:t>
      </w:r>
      <w:r>
        <w:rPr>
          <w:kern w:val="24"/>
          <w:sz w:val="20"/>
          <w:szCs w:val="20"/>
        </w:rPr>
        <w:t>s</w:t>
      </w:r>
      <w:r w:rsidRPr="00142E3D">
        <w:rPr>
          <w:kern w:val="24"/>
          <w:sz w:val="20"/>
          <w:szCs w:val="20"/>
        </w:rPr>
        <w:t xml:space="preserve"> of the following cases</w:t>
      </w:r>
    </w:p>
    <w:p w14:paraId="2D255B8A" w14:textId="77777777" w:rsidR="00AD4A08" w:rsidRPr="00142E3D" w:rsidRDefault="00AD4A08" w:rsidP="00AD4A08">
      <w:pPr>
        <w:pStyle w:val="ListParagraph"/>
        <w:numPr>
          <w:ilvl w:val="2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142E3D">
        <w:rPr>
          <w:kern w:val="24"/>
          <w:sz w:val="20"/>
          <w:szCs w:val="20"/>
        </w:rPr>
        <w:t>LTE SRS carrier switching impacting NR CC</w:t>
      </w:r>
    </w:p>
    <w:p w14:paraId="0D358B96" w14:textId="77777777" w:rsidR="00AD4A08" w:rsidRPr="00142E3D" w:rsidRDefault="00AD4A08" w:rsidP="00AD4A08">
      <w:pPr>
        <w:pStyle w:val="ListParagraph"/>
        <w:numPr>
          <w:ilvl w:val="2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142E3D">
        <w:rPr>
          <w:kern w:val="24"/>
          <w:sz w:val="20"/>
          <w:szCs w:val="20"/>
        </w:rPr>
        <w:t>NR SRS carrier switching impacting LTE CC</w:t>
      </w:r>
    </w:p>
    <w:p w14:paraId="5A38B3C9" w14:textId="77777777" w:rsidR="00AD4A08" w:rsidRPr="00142E3D" w:rsidRDefault="00AD4A08" w:rsidP="00AD4A08">
      <w:pPr>
        <w:pStyle w:val="ListParagraph"/>
        <w:numPr>
          <w:ilvl w:val="2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142E3D">
        <w:rPr>
          <w:kern w:val="24"/>
          <w:sz w:val="20"/>
          <w:szCs w:val="20"/>
        </w:rPr>
        <w:t>NR SRS carrier switching impacting NR CC</w:t>
      </w:r>
    </w:p>
    <w:p w14:paraId="4C560BFF" w14:textId="77777777" w:rsidR="00AD4A08" w:rsidRPr="00526169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>
        <w:rPr>
          <w:bCs/>
          <w:kern w:val="24"/>
          <w:sz w:val="20"/>
          <w:szCs w:val="20"/>
          <w:lang w:val="en-GB"/>
        </w:rPr>
        <w:t xml:space="preserve">RRM </w:t>
      </w:r>
      <w:r w:rsidR="000074AB">
        <w:rPr>
          <w:bCs/>
          <w:kern w:val="24"/>
          <w:sz w:val="20"/>
          <w:szCs w:val="20"/>
          <w:lang w:val="en-GB"/>
        </w:rPr>
        <w:t xml:space="preserve">test </w:t>
      </w:r>
      <w:r w:rsidRPr="00A835B7">
        <w:rPr>
          <w:bCs/>
          <w:kern w:val="24"/>
          <w:sz w:val="20"/>
          <w:szCs w:val="20"/>
          <w:lang w:val="en-GB"/>
        </w:rPr>
        <w:t xml:space="preserve">requirements </w:t>
      </w:r>
      <w:r w:rsidRPr="00142E3D">
        <w:rPr>
          <w:bCs/>
          <w:kern w:val="24"/>
          <w:sz w:val="20"/>
          <w:szCs w:val="20"/>
          <w:lang w:val="en-GB"/>
        </w:rPr>
        <w:t xml:space="preserve">of multiple </w:t>
      </w:r>
      <w:proofErr w:type="spellStart"/>
      <w:r w:rsidRPr="00142E3D">
        <w:rPr>
          <w:bCs/>
          <w:kern w:val="24"/>
          <w:sz w:val="20"/>
          <w:szCs w:val="20"/>
          <w:lang w:val="en-GB"/>
        </w:rPr>
        <w:t>Scell</w:t>
      </w:r>
      <w:proofErr w:type="spellEnd"/>
      <w:r w:rsidRPr="00142E3D">
        <w:rPr>
          <w:bCs/>
          <w:kern w:val="24"/>
          <w:sz w:val="20"/>
          <w:szCs w:val="20"/>
          <w:lang w:val="en-GB"/>
        </w:rPr>
        <w:t xml:space="preserve"> activation/deactivation in both FR1 and FR2</w:t>
      </w:r>
    </w:p>
    <w:p w14:paraId="1C1717A5" w14:textId="77777777" w:rsidR="00AD4A08" w:rsidRDefault="00AD4A08" w:rsidP="00AD4A08">
      <w:pPr>
        <w:pStyle w:val="ListParagraph"/>
        <w:numPr>
          <w:ilvl w:val="1"/>
          <w:numId w:val="4"/>
        </w:numPr>
        <w:spacing w:after="120"/>
        <w:rPr>
          <w:kern w:val="24"/>
          <w:sz w:val="20"/>
          <w:szCs w:val="20"/>
        </w:rPr>
      </w:pPr>
      <w:proofErr w:type="spellStart"/>
      <w:r>
        <w:rPr>
          <w:kern w:val="24"/>
          <w:sz w:val="20"/>
          <w:szCs w:val="20"/>
        </w:rPr>
        <w:t>Scell</w:t>
      </w:r>
      <w:proofErr w:type="spellEnd"/>
      <w:r>
        <w:rPr>
          <w:kern w:val="24"/>
          <w:sz w:val="20"/>
          <w:szCs w:val="20"/>
        </w:rPr>
        <w:t xml:space="preserve"> activation and deactivation d</w:t>
      </w:r>
      <w:r w:rsidRPr="00A835B7">
        <w:rPr>
          <w:kern w:val="24"/>
          <w:sz w:val="20"/>
          <w:szCs w:val="20"/>
        </w:rPr>
        <w:t xml:space="preserve">elay and interruption </w:t>
      </w:r>
      <w:r w:rsidR="000074AB">
        <w:rPr>
          <w:kern w:val="24"/>
          <w:sz w:val="20"/>
          <w:szCs w:val="20"/>
        </w:rPr>
        <w:t xml:space="preserve">test </w:t>
      </w:r>
      <w:r w:rsidRPr="00A835B7">
        <w:rPr>
          <w:kern w:val="24"/>
          <w:sz w:val="20"/>
          <w:szCs w:val="20"/>
        </w:rPr>
        <w:t xml:space="preserve">requirements for multiple </w:t>
      </w:r>
      <w:proofErr w:type="spellStart"/>
      <w:r w:rsidRPr="00A835B7">
        <w:rPr>
          <w:kern w:val="24"/>
          <w:sz w:val="20"/>
          <w:szCs w:val="20"/>
        </w:rPr>
        <w:t>SCell</w:t>
      </w:r>
      <w:proofErr w:type="spellEnd"/>
      <w:r w:rsidRPr="00A835B7">
        <w:rPr>
          <w:kern w:val="24"/>
          <w:sz w:val="20"/>
          <w:szCs w:val="20"/>
        </w:rPr>
        <w:t xml:space="preserve"> activation/d</w:t>
      </w:r>
      <w:r>
        <w:rPr>
          <w:kern w:val="24"/>
          <w:sz w:val="20"/>
          <w:szCs w:val="20"/>
        </w:rPr>
        <w:t>eactivation in FR1, and FR2, and FR1+</w:t>
      </w:r>
      <w:r w:rsidRPr="00A835B7">
        <w:rPr>
          <w:kern w:val="24"/>
          <w:sz w:val="20"/>
          <w:szCs w:val="20"/>
        </w:rPr>
        <w:t>FR2</w:t>
      </w:r>
    </w:p>
    <w:p w14:paraId="3CF2DEE5" w14:textId="77777777" w:rsidR="00AD4A08" w:rsidRPr="00A835B7" w:rsidRDefault="00AD4A08" w:rsidP="00AD4A08">
      <w:pPr>
        <w:pStyle w:val="ListParagraph"/>
        <w:numPr>
          <w:ilvl w:val="2"/>
          <w:numId w:val="4"/>
        </w:numPr>
        <w:spacing w:after="12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 xml:space="preserve"> t</w:t>
      </w:r>
      <w:r w:rsidRPr="002F2C29">
        <w:rPr>
          <w:kern w:val="24"/>
          <w:sz w:val="20"/>
          <w:szCs w:val="20"/>
        </w:rPr>
        <w:t>he corresponding delay requirements for both FR1 and FR2 should be power class agnostic</w:t>
      </w:r>
    </w:p>
    <w:p w14:paraId="4C5DDBBF" w14:textId="77777777" w:rsidR="00AD4A08" w:rsidRPr="00526169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 w:rsidRPr="00A835B7">
        <w:rPr>
          <w:bCs/>
          <w:kern w:val="24"/>
          <w:sz w:val="20"/>
          <w:szCs w:val="20"/>
          <w:lang w:val="en-GB"/>
        </w:rPr>
        <w:t xml:space="preserve">CGI reading </w:t>
      </w:r>
      <w:r w:rsidR="000074AB">
        <w:rPr>
          <w:bCs/>
          <w:kern w:val="24"/>
          <w:sz w:val="20"/>
          <w:szCs w:val="20"/>
          <w:lang w:val="en-GB"/>
        </w:rPr>
        <w:t xml:space="preserve">test </w:t>
      </w:r>
      <w:r w:rsidRPr="00A835B7">
        <w:rPr>
          <w:bCs/>
          <w:kern w:val="24"/>
          <w:sz w:val="20"/>
          <w:szCs w:val="20"/>
          <w:lang w:val="en-GB"/>
        </w:rPr>
        <w:t xml:space="preserve">requirements with autonomous gap for NR capable UE </w:t>
      </w:r>
    </w:p>
    <w:p w14:paraId="47C3FF16" w14:textId="77777777" w:rsidR="00AD4A08" w:rsidRPr="00A835B7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A835B7">
        <w:rPr>
          <w:kern w:val="24"/>
          <w:sz w:val="20"/>
          <w:szCs w:val="20"/>
        </w:rPr>
        <w:t>CGI reading for NR cell (NR capable UE in LTE SA, NR SA UE, EN-DC UE, NE-DC UE, and NR-DC)</w:t>
      </w:r>
    </w:p>
    <w:p w14:paraId="451DBA85" w14:textId="77777777" w:rsidR="00AD4A08" w:rsidRPr="00A835B7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A835B7">
        <w:rPr>
          <w:kern w:val="24"/>
          <w:sz w:val="20"/>
          <w:szCs w:val="20"/>
        </w:rPr>
        <w:t>CGI reading for LTE</w:t>
      </w:r>
      <w:r>
        <w:rPr>
          <w:kern w:val="24"/>
          <w:sz w:val="20"/>
          <w:szCs w:val="20"/>
        </w:rPr>
        <w:t xml:space="preserve"> </w:t>
      </w:r>
      <w:r w:rsidRPr="00A835B7">
        <w:rPr>
          <w:kern w:val="24"/>
          <w:sz w:val="20"/>
          <w:szCs w:val="20"/>
        </w:rPr>
        <w:t>cell (NR SA UE, EN-DC UE, NE-DC UE, and NR-DC UE)</w:t>
      </w:r>
    </w:p>
    <w:p w14:paraId="20895DC1" w14:textId="77777777" w:rsidR="00AD4A08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 w:rsidRPr="007242BB">
        <w:rPr>
          <w:bCs/>
          <w:kern w:val="24"/>
          <w:sz w:val="20"/>
          <w:szCs w:val="20"/>
          <w:lang w:val="en-GB"/>
        </w:rPr>
        <w:t>RRM</w:t>
      </w:r>
      <w:r w:rsidR="000074AB">
        <w:rPr>
          <w:bCs/>
          <w:kern w:val="24"/>
          <w:sz w:val="20"/>
          <w:szCs w:val="20"/>
          <w:lang w:val="en-GB"/>
        </w:rPr>
        <w:t xml:space="preserve"> test</w:t>
      </w:r>
      <w:r w:rsidRPr="007242BB">
        <w:rPr>
          <w:bCs/>
          <w:kern w:val="24"/>
          <w:sz w:val="20"/>
          <w:szCs w:val="20"/>
          <w:lang w:val="en-GB"/>
        </w:rPr>
        <w:t xml:space="preserve"> requirements of BWP switching </w:t>
      </w:r>
    </w:p>
    <w:p w14:paraId="50DE7BFF" w14:textId="77777777" w:rsidR="00AD4A08" w:rsidRPr="0065015D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7242BB">
        <w:rPr>
          <w:kern w:val="24"/>
          <w:sz w:val="20"/>
          <w:szCs w:val="20"/>
        </w:rPr>
        <w:t xml:space="preserve">The </w:t>
      </w:r>
      <w:r>
        <w:rPr>
          <w:kern w:val="24"/>
          <w:sz w:val="20"/>
          <w:szCs w:val="20"/>
        </w:rPr>
        <w:t>Interruption requirement and BWP switching delay</w:t>
      </w:r>
      <w:r w:rsidRPr="007242BB">
        <w:rPr>
          <w:kern w:val="24"/>
          <w:sz w:val="20"/>
          <w:szCs w:val="20"/>
        </w:rPr>
        <w:t xml:space="preserve"> requirement when UE is configured or indicated to change BWP on multiple CCs</w:t>
      </w:r>
    </w:p>
    <w:p w14:paraId="0247B909" w14:textId="77777777" w:rsidR="00AD4A08" w:rsidRPr="00AE3EE3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>
        <w:rPr>
          <w:bCs/>
          <w:kern w:val="24"/>
          <w:sz w:val="20"/>
          <w:szCs w:val="20"/>
          <w:lang w:val="en-GB"/>
        </w:rPr>
        <w:t>I</w:t>
      </w:r>
      <w:r w:rsidRPr="00482CAE">
        <w:rPr>
          <w:bCs/>
          <w:kern w:val="24"/>
          <w:sz w:val="20"/>
          <w:szCs w:val="20"/>
          <w:lang w:val="en-GB"/>
        </w:rPr>
        <w:t xml:space="preserve">nter-band CA </w:t>
      </w:r>
      <w:r w:rsidR="000074AB">
        <w:rPr>
          <w:bCs/>
          <w:kern w:val="24"/>
          <w:sz w:val="20"/>
          <w:szCs w:val="20"/>
          <w:lang w:val="en-GB"/>
        </w:rPr>
        <w:t xml:space="preserve">test </w:t>
      </w:r>
      <w:r w:rsidRPr="00482CAE">
        <w:rPr>
          <w:bCs/>
          <w:kern w:val="24"/>
          <w:sz w:val="20"/>
          <w:szCs w:val="20"/>
          <w:lang w:val="en-GB"/>
        </w:rPr>
        <w:t>requirement for FR2 UE measurement capability</w:t>
      </w:r>
      <w:r>
        <w:rPr>
          <w:bCs/>
          <w:kern w:val="24"/>
          <w:sz w:val="20"/>
          <w:szCs w:val="20"/>
          <w:lang w:val="en-GB"/>
        </w:rPr>
        <w:t xml:space="preserve"> of independent Rx beam </w:t>
      </w:r>
    </w:p>
    <w:p w14:paraId="1492481E" w14:textId="77777777" w:rsidR="00AD4A08" w:rsidRPr="00482CAE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C</w:t>
      </w:r>
      <w:r w:rsidRPr="00482CAE">
        <w:rPr>
          <w:kern w:val="24"/>
          <w:sz w:val="20"/>
          <w:szCs w:val="20"/>
        </w:rPr>
        <w:t xml:space="preserve">ell detection/measurement requirement, </w:t>
      </w:r>
    </w:p>
    <w:p w14:paraId="4AE56311" w14:textId="77777777" w:rsidR="00AD4A08" w:rsidRPr="00B64D1E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 w:rsidRPr="00B64D1E">
        <w:rPr>
          <w:kern w:val="24"/>
          <w:sz w:val="20"/>
          <w:szCs w:val="20"/>
        </w:rPr>
        <w:t xml:space="preserve">Beam management requirements, </w:t>
      </w:r>
    </w:p>
    <w:p w14:paraId="5D166E8C" w14:textId="77777777" w:rsidR="00AD4A08" w:rsidRPr="00482CAE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proofErr w:type="spellStart"/>
      <w:r w:rsidRPr="00482CAE">
        <w:rPr>
          <w:kern w:val="24"/>
          <w:sz w:val="20"/>
          <w:szCs w:val="20"/>
        </w:rPr>
        <w:lastRenderedPageBreak/>
        <w:t>Scell</w:t>
      </w:r>
      <w:proofErr w:type="spellEnd"/>
      <w:r w:rsidRPr="00482CAE">
        <w:rPr>
          <w:kern w:val="24"/>
          <w:sz w:val="20"/>
          <w:szCs w:val="20"/>
        </w:rPr>
        <w:t xml:space="preserve"> activation requirement, </w:t>
      </w:r>
    </w:p>
    <w:p w14:paraId="409BD5DD" w14:textId="77777777" w:rsidR="00AD4A08" w:rsidRPr="00482CAE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I</w:t>
      </w:r>
      <w:r w:rsidRPr="00482CAE">
        <w:rPr>
          <w:kern w:val="24"/>
          <w:sz w:val="20"/>
          <w:szCs w:val="20"/>
        </w:rPr>
        <w:t xml:space="preserve">nterruption requirement, </w:t>
      </w:r>
    </w:p>
    <w:p w14:paraId="3568536E" w14:textId="77777777" w:rsidR="00AD4A08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S</w:t>
      </w:r>
      <w:r w:rsidRPr="00482CAE">
        <w:rPr>
          <w:kern w:val="24"/>
          <w:sz w:val="20"/>
          <w:szCs w:val="20"/>
        </w:rPr>
        <w:t xml:space="preserve">cheduling restriction requirement </w:t>
      </w:r>
    </w:p>
    <w:p w14:paraId="7E557C1F" w14:textId="77777777" w:rsidR="00AD4A08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>
        <w:rPr>
          <w:bCs/>
          <w:kern w:val="24"/>
          <w:sz w:val="20"/>
          <w:szCs w:val="20"/>
          <w:lang w:val="en-GB"/>
        </w:rPr>
        <w:t>I</w:t>
      </w:r>
      <w:r w:rsidRPr="00875C94">
        <w:rPr>
          <w:bCs/>
          <w:kern w:val="24"/>
          <w:sz w:val="20"/>
          <w:szCs w:val="20"/>
          <w:lang w:val="en-GB"/>
        </w:rPr>
        <w:t>nter-frequency measurement</w:t>
      </w:r>
      <w:r w:rsidR="000074AB">
        <w:rPr>
          <w:bCs/>
          <w:kern w:val="24"/>
          <w:sz w:val="20"/>
          <w:szCs w:val="20"/>
          <w:lang w:val="en-GB"/>
        </w:rPr>
        <w:t xml:space="preserve"> test</w:t>
      </w:r>
      <w:r>
        <w:rPr>
          <w:bCs/>
          <w:kern w:val="24"/>
          <w:sz w:val="20"/>
          <w:szCs w:val="20"/>
          <w:lang w:val="en-GB"/>
        </w:rPr>
        <w:t xml:space="preserve"> requirement</w:t>
      </w:r>
      <w:r w:rsidRPr="00875C94">
        <w:rPr>
          <w:bCs/>
          <w:kern w:val="24"/>
          <w:sz w:val="20"/>
          <w:szCs w:val="20"/>
          <w:lang w:val="en-GB"/>
        </w:rPr>
        <w:t xml:space="preserve"> without </w:t>
      </w:r>
      <w:r>
        <w:rPr>
          <w:bCs/>
          <w:kern w:val="24"/>
          <w:sz w:val="20"/>
          <w:szCs w:val="20"/>
          <w:lang w:val="en-GB"/>
        </w:rPr>
        <w:t>MG</w:t>
      </w:r>
      <w:r w:rsidRPr="007242BB">
        <w:rPr>
          <w:bCs/>
          <w:kern w:val="24"/>
          <w:sz w:val="20"/>
          <w:szCs w:val="20"/>
          <w:lang w:val="en-GB"/>
        </w:rPr>
        <w:t xml:space="preserve"> </w:t>
      </w:r>
    </w:p>
    <w:p w14:paraId="3087B74F" w14:textId="77777777" w:rsidR="00AD4A08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>RRM</w:t>
      </w:r>
      <w:r w:rsidRPr="00875C94">
        <w:rPr>
          <w:kern w:val="24"/>
          <w:sz w:val="20"/>
          <w:szCs w:val="20"/>
        </w:rPr>
        <w:t xml:space="preserve"> requirements for inter-frequency measurement without </w:t>
      </w:r>
      <w:r>
        <w:rPr>
          <w:kern w:val="24"/>
          <w:sz w:val="20"/>
          <w:szCs w:val="20"/>
        </w:rPr>
        <w:t>MG</w:t>
      </w:r>
      <w:r w:rsidRPr="00875C94">
        <w:rPr>
          <w:kern w:val="24"/>
          <w:sz w:val="20"/>
          <w:szCs w:val="20"/>
        </w:rPr>
        <w:t xml:space="preserve"> when the SSB is completely contai</w:t>
      </w:r>
      <w:r>
        <w:rPr>
          <w:kern w:val="24"/>
          <w:sz w:val="20"/>
          <w:szCs w:val="20"/>
        </w:rPr>
        <w:t>ned in the active BWP of the UE</w:t>
      </w:r>
    </w:p>
    <w:p w14:paraId="619029E3" w14:textId="77777777" w:rsidR="00AD4A08" w:rsidRPr="00875C94" w:rsidRDefault="00AD4A08" w:rsidP="00AD4A08">
      <w:pPr>
        <w:pStyle w:val="NormalWeb"/>
        <w:numPr>
          <w:ilvl w:val="0"/>
          <w:numId w:val="5"/>
        </w:numPr>
        <w:spacing w:before="0" w:beforeAutospacing="0" w:after="120" w:afterAutospacing="0"/>
        <w:rPr>
          <w:bCs/>
          <w:kern w:val="24"/>
          <w:sz w:val="20"/>
          <w:szCs w:val="20"/>
          <w:lang w:val="en-GB"/>
        </w:rPr>
      </w:pPr>
      <w:r w:rsidRPr="00875C94">
        <w:rPr>
          <w:bCs/>
          <w:kern w:val="24"/>
          <w:sz w:val="20"/>
          <w:szCs w:val="20"/>
          <w:lang w:val="en-GB"/>
        </w:rPr>
        <w:t xml:space="preserve">RRM </w:t>
      </w:r>
      <w:r w:rsidR="000074AB">
        <w:rPr>
          <w:bCs/>
          <w:kern w:val="24"/>
          <w:sz w:val="20"/>
          <w:szCs w:val="20"/>
          <w:lang w:val="en-GB"/>
        </w:rPr>
        <w:t xml:space="preserve">test </w:t>
      </w:r>
      <w:r w:rsidRPr="00875C94">
        <w:rPr>
          <w:bCs/>
          <w:kern w:val="24"/>
          <w:sz w:val="20"/>
          <w:szCs w:val="20"/>
          <w:lang w:val="en-GB"/>
        </w:rPr>
        <w:t>requirements for UE specific channel BW change in FR1 and FR2</w:t>
      </w:r>
    </w:p>
    <w:p w14:paraId="72A3E1A6" w14:textId="77777777" w:rsidR="00AD4A08" w:rsidRDefault="00AD4A08" w:rsidP="00AD4A08">
      <w:pPr>
        <w:pStyle w:val="ListParagraph"/>
        <w:numPr>
          <w:ilvl w:val="1"/>
          <w:numId w:val="4"/>
        </w:numPr>
        <w:spacing w:after="120"/>
        <w:contextualSpacing w:val="0"/>
        <w:rPr>
          <w:kern w:val="24"/>
          <w:sz w:val="20"/>
          <w:szCs w:val="20"/>
        </w:rPr>
      </w:pPr>
      <w:r>
        <w:rPr>
          <w:kern w:val="24"/>
          <w:sz w:val="20"/>
          <w:szCs w:val="20"/>
        </w:rPr>
        <w:t xml:space="preserve">Introduce </w:t>
      </w:r>
      <w:r w:rsidRPr="00875C94">
        <w:rPr>
          <w:bCs/>
          <w:kern w:val="24"/>
          <w:sz w:val="20"/>
          <w:szCs w:val="20"/>
          <w:lang w:val="en-GB"/>
        </w:rPr>
        <w:t xml:space="preserve">RRM </w:t>
      </w:r>
      <w:r w:rsidR="000074AB">
        <w:rPr>
          <w:bCs/>
          <w:kern w:val="24"/>
          <w:sz w:val="20"/>
          <w:szCs w:val="20"/>
          <w:lang w:val="en-GB"/>
        </w:rPr>
        <w:t xml:space="preserve">test </w:t>
      </w:r>
      <w:r w:rsidRPr="00875C94">
        <w:rPr>
          <w:bCs/>
          <w:kern w:val="24"/>
          <w:sz w:val="20"/>
          <w:szCs w:val="20"/>
          <w:lang w:val="en-GB"/>
        </w:rPr>
        <w:t>requirements for UE specific channel BW change</w:t>
      </w:r>
      <w:r>
        <w:rPr>
          <w:bCs/>
          <w:kern w:val="24"/>
          <w:sz w:val="20"/>
          <w:szCs w:val="20"/>
          <w:lang w:val="en-GB"/>
        </w:rPr>
        <w:t xml:space="preserve"> </w:t>
      </w:r>
    </w:p>
    <w:p w14:paraId="141484A2" w14:textId="77777777" w:rsidR="004A6218" w:rsidRDefault="004A6218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134"/>
        <w:gridCol w:w="2409"/>
        <w:gridCol w:w="1107"/>
        <w:gridCol w:w="1080"/>
        <w:gridCol w:w="2066"/>
      </w:tblGrid>
      <w:tr w:rsidR="004A6218" w14:paraId="5CFCBE1D" w14:textId="7777777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3100E8" w14:textId="77777777" w:rsidR="004A6218" w:rsidRDefault="004A6218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New specifications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A6218" w14:paraId="1F46854C" w14:textId="77777777" w:rsidTr="001E6495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71645DC" w14:textId="77777777" w:rsidR="004A6218" w:rsidRDefault="004A6218">
            <w:pPr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2F544" w14:textId="77777777" w:rsidR="004A6218" w:rsidRDefault="004A6218">
            <w:pPr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082492" w14:textId="77777777" w:rsidR="004A6218" w:rsidRDefault="004A6218">
            <w:pPr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110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E6FB9F8" w14:textId="77777777" w:rsidR="004A6218" w:rsidRDefault="004A6218">
            <w:pPr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 info </w:t>
            </w:r>
            <w:r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8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F3E637F" w14:textId="77777777" w:rsidR="004A6218" w:rsidRDefault="004A6218">
            <w:pPr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06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7BB11D" w14:textId="77777777" w:rsidR="004A6218" w:rsidRDefault="004A6218">
            <w:pPr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7668A2" w14:paraId="65DD9D34" w14:textId="77777777" w:rsidTr="001E6495">
        <w:tc>
          <w:tcPr>
            <w:tcW w:w="1617" w:type="dxa"/>
          </w:tcPr>
          <w:p w14:paraId="6F746D54" w14:textId="77777777" w:rsidR="007668A2" w:rsidRPr="00466460" w:rsidRDefault="007668A2" w:rsidP="007668A2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931C9C" w14:textId="77777777" w:rsidR="007668A2" w:rsidRPr="00466460" w:rsidRDefault="007668A2" w:rsidP="007668A2">
            <w:pPr>
              <w:rPr>
                <w:i/>
                <w:sz w:val="20"/>
                <w:szCs w:val="20"/>
              </w:rPr>
            </w:pPr>
          </w:p>
        </w:tc>
        <w:tc>
          <w:tcPr>
            <w:tcW w:w="2409" w:type="dxa"/>
          </w:tcPr>
          <w:p w14:paraId="06BD787F" w14:textId="77777777" w:rsidR="007668A2" w:rsidRPr="00466460" w:rsidRDefault="007668A2" w:rsidP="007668A2">
            <w:pPr>
              <w:rPr>
                <w:i/>
                <w:sz w:val="20"/>
                <w:szCs w:val="20"/>
              </w:rPr>
            </w:pPr>
          </w:p>
        </w:tc>
        <w:tc>
          <w:tcPr>
            <w:tcW w:w="1107" w:type="dxa"/>
          </w:tcPr>
          <w:p w14:paraId="2DC4623A" w14:textId="77777777" w:rsidR="007668A2" w:rsidRPr="00466460" w:rsidRDefault="007668A2" w:rsidP="007668A2">
            <w:pPr>
              <w:rPr>
                <w:i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F9067D" w14:textId="77777777" w:rsidR="007668A2" w:rsidRPr="00466460" w:rsidRDefault="007668A2" w:rsidP="007668A2">
            <w:pPr>
              <w:rPr>
                <w:i/>
                <w:sz w:val="20"/>
                <w:szCs w:val="20"/>
              </w:rPr>
            </w:pPr>
          </w:p>
        </w:tc>
        <w:tc>
          <w:tcPr>
            <w:tcW w:w="2066" w:type="dxa"/>
          </w:tcPr>
          <w:p w14:paraId="297AC4D3" w14:textId="77777777" w:rsidR="007668A2" w:rsidRDefault="007668A2" w:rsidP="007668A2">
            <w:pPr>
              <w:rPr>
                <w:i/>
              </w:rPr>
            </w:pPr>
          </w:p>
        </w:tc>
      </w:tr>
    </w:tbl>
    <w:p w14:paraId="01E4C9D5" w14:textId="77777777" w:rsidR="004A6218" w:rsidRDefault="004A6218">
      <w:pPr>
        <w:pStyle w:val="NO"/>
        <w:spacing w:before="120"/>
        <w:rPr>
          <w:color w:val="0000FF"/>
        </w:rPr>
      </w:pPr>
    </w:p>
    <w:p w14:paraId="411FA01C" w14:textId="77777777" w:rsidR="004A6218" w:rsidRDefault="004A6218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1"/>
        <w:gridCol w:w="2107"/>
      </w:tblGrid>
      <w:tr w:rsidR="004A6218" w14:paraId="51494B4B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54E20B2" w14:textId="77777777" w:rsidR="004A6218" w:rsidRDefault="004A6218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bookmarkStart w:id="3" w:name="_Hlk17911028"/>
            <w:r>
              <w:rPr>
                <w:b/>
                <w:sz w:val="16"/>
                <w:szCs w:val="16"/>
              </w:rPr>
              <w:t xml:space="preserve">Impacted existing TS/TR </w:t>
            </w:r>
            <w:r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A6218" w14:paraId="2C6D583B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3DA5531" w14:textId="77777777" w:rsidR="004A6218" w:rsidRDefault="004A6218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02DD37" w14:textId="77777777" w:rsidR="004A6218" w:rsidRDefault="004A6218">
            <w:pPr>
              <w:ind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>
              <w:rPr>
                <w:rFonts w:ascii="Arial" w:hAnsi="Arial"/>
                <w:sz w:val="16"/>
                <w:szCs w:val="16"/>
              </w:rPr>
              <w:t>escription of change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ED6B76" w14:textId="77777777" w:rsidR="004A6218" w:rsidRDefault="004A6218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05799" w14:textId="77777777" w:rsidR="004A6218" w:rsidRDefault="004A6218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bookmarkEnd w:id="3"/>
      <w:tr w:rsidR="004A6218" w14:paraId="1C45217A" w14:textId="77777777">
        <w:trPr>
          <w:cantSplit/>
          <w:trHeight w:val="331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C7E" w14:textId="77777777" w:rsidR="004A6218" w:rsidRPr="000074AB" w:rsidRDefault="004A6218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 38.508-1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E8A" w14:textId="77777777" w:rsidR="004A6218" w:rsidRPr="000074AB" w:rsidRDefault="004A6218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 xml:space="preserve">Definition of common test environment for </w:t>
            </w:r>
            <w:r w:rsidR="00CC06E4" w:rsidRPr="000074AB">
              <w:rPr>
                <w:rFonts w:ascii="Times New Roman" w:hAnsi="Times New Roman"/>
                <w:sz w:val="20"/>
                <w:szCs w:val="20"/>
              </w:rPr>
              <w:t>NR RRM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EC36" w14:textId="77777777" w:rsidR="004A6218" w:rsidRPr="000074AB" w:rsidRDefault="004A6218">
            <w:pPr>
              <w:rPr>
                <w:i/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</w:t>
            </w:r>
            <w:r w:rsidR="00B80B09" w:rsidRPr="000074AB">
              <w:rPr>
                <w:sz w:val="20"/>
                <w:szCs w:val="20"/>
              </w:rPr>
              <w:t>2</w:t>
            </w:r>
            <w:r w:rsidRPr="000074AB">
              <w:rPr>
                <w:sz w:val="20"/>
                <w:szCs w:val="20"/>
              </w:rPr>
              <w:br/>
              <w:t>(</w:t>
            </w:r>
            <w:r w:rsidR="00B80B09" w:rsidRPr="000074AB">
              <w:rPr>
                <w:sz w:val="20"/>
                <w:szCs w:val="20"/>
              </w:rPr>
              <w:t>Dec</w:t>
            </w:r>
            <w:r w:rsidRPr="000074AB">
              <w:rPr>
                <w:sz w:val="20"/>
                <w:szCs w:val="20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92A3" w14:textId="77777777" w:rsidR="004A6218" w:rsidRDefault="004A621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4A6218" w14:paraId="00ED3140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9E2" w14:textId="77777777" w:rsidR="004A6218" w:rsidRPr="000074AB" w:rsidRDefault="004A6218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 38.508-2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DE4B" w14:textId="77777777" w:rsidR="004A6218" w:rsidRPr="000074AB" w:rsidRDefault="004A6218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 xml:space="preserve">Introduction of common implementation conformance statement (ICS) for </w:t>
            </w:r>
            <w:r w:rsidR="00CC06E4" w:rsidRPr="000074AB">
              <w:rPr>
                <w:rFonts w:ascii="Times New Roman" w:hAnsi="Times New Roman"/>
                <w:sz w:val="20"/>
                <w:szCs w:val="20"/>
              </w:rPr>
              <w:t>NR RRM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D01E" w14:textId="77777777" w:rsidR="004A6218" w:rsidRPr="000074AB" w:rsidRDefault="004A6218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</w:t>
            </w:r>
            <w:r w:rsidR="00B80B09" w:rsidRPr="000074AB">
              <w:rPr>
                <w:sz w:val="20"/>
                <w:szCs w:val="20"/>
              </w:rPr>
              <w:t>2</w:t>
            </w:r>
            <w:r w:rsidRPr="000074AB">
              <w:rPr>
                <w:sz w:val="20"/>
                <w:szCs w:val="20"/>
              </w:rPr>
              <w:br/>
              <w:t>(</w:t>
            </w:r>
            <w:r w:rsidR="00B80B09" w:rsidRPr="000074AB">
              <w:rPr>
                <w:sz w:val="20"/>
                <w:szCs w:val="20"/>
              </w:rPr>
              <w:t>Dec</w:t>
            </w:r>
            <w:r w:rsidRPr="000074AB">
              <w:rPr>
                <w:sz w:val="20"/>
                <w:szCs w:val="20"/>
              </w:rPr>
              <w:t>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5E4" w14:textId="77777777" w:rsidR="004A6218" w:rsidRDefault="004A6218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A75" w14:paraId="41414B0D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1A6D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TS 38.533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8797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 xml:space="preserve">Introduction of new test cases </w:t>
            </w:r>
            <w:r w:rsidR="0033732D" w:rsidRPr="000074AB">
              <w:rPr>
                <w:rFonts w:ascii="Times New Roman" w:hAnsi="Times New Roman"/>
                <w:sz w:val="20"/>
                <w:szCs w:val="20"/>
              </w:rPr>
              <w:t>to cover</w:t>
            </w:r>
            <w:r w:rsidRPr="000074AB">
              <w:rPr>
                <w:rFonts w:ascii="Times New Roman" w:hAnsi="Times New Roman"/>
                <w:sz w:val="20"/>
                <w:szCs w:val="20"/>
              </w:rPr>
              <w:t xml:space="preserve"> NR RRM enhancements</w:t>
            </w:r>
            <w:r w:rsidR="0033732D" w:rsidRPr="000074AB">
              <w:rPr>
                <w:rFonts w:ascii="Times New Roman" w:hAnsi="Times New Roman"/>
                <w:sz w:val="20"/>
                <w:szCs w:val="20"/>
              </w:rPr>
              <w:t xml:space="preserve"> related test requirements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6F7B" w14:textId="77777777" w:rsidR="00D90A75" w:rsidRPr="000074AB" w:rsidRDefault="00D90A75" w:rsidP="00D90A75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RAN#102</w:t>
            </w:r>
            <w:r w:rsidRPr="000074AB">
              <w:rPr>
                <w:sz w:val="20"/>
                <w:szCs w:val="20"/>
              </w:rPr>
              <w:br/>
              <w:t>(Dec-23)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85AE" w14:textId="77777777" w:rsidR="00D90A75" w:rsidRDefault="00D90A75" w:rsidP="00D90A75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A75" w14:paraId="4081C527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0400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TS 38.522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120D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Applicability for new test cases added under NR RRM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29FC" w14:textId="77777777" w:rsidR="00D90A75" w:rsidRPr="000074AB" w:rsidRDefault="00D90A75" w:rsidP="00D90A75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RAN#102</w:t>
            </w:r>
            <w:r w:rsidRPr="000074AB">
              <w:rPr>
                <w:sz w:val="20"/>
                <w:szCs w:val="20"/>
              </w:rPr>
              <w:br/>
              <w:t>(Dec-23)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5C6E" w14:textId="77777777" w:rsidR="00D90A75" w:rsidRDefault="00D90A75" w:rsidP="00D90A75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A75" w14:paraId="4FAD53B2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4960" w14:textId="77777777" w:rsidR="00D90A75" w:rsidRPr="000074AB" w:rsidRDefault="00D90A75" w:rsidP="00D90A75">
            <w:pPr>
              <w:pStyle w:val="TAL"/>
              <w:rPr>
                <w:rFonts w:ascii="Times New Roman" w:eastAsia="SimSun" w:hAnsi="Times New Roman"/>
                <w:sz w:val="20"/>
                <w:szCs w:val="20"/>
                <w:lang w:eastAsia="zh-Hans"/>
              </w:rPr>
            </w:pPr>
            <w:r w:rsidRPr="000074AB">
              <w:rPr>
                <w:rFonts w:ascii="Times New Roman" w:hAnsi="Times New Roman"/>
                <w:sz w:val="20"/>
                <w:szCs w:val="20"/>
                <w:lang w:eastAsia="zh-Hans"/>
              </w:rPr>
              <w:t>TR 38.903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CA68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Derivation of test tolerances and measurement uncertainty for new test requirements added under NR RRM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CC26" w14:textId="77777777" w:rsidR="00D90A75" w:rsidRPr="000074AB" w:rsidRDefault="00D90A75" w:rsidP="00D90A75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RAN#102</w:t>
            </w:r>
            <w:r w:rsidRPr="000074AB">
              <w:rPr>
                <w:sz w:val="20"/>
                <w:szCs w:val="20"/>
              </w:rPr>
              <w:br/>
              <w:t>(Dec-23)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BDF" w14:textId="77777777" w:rsidR="00D90A75" w:rsidRDefault="00D90A75" w:rsidP="00D90A75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D90A75" w14:paraId="1CBA2111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ACE7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TR 38.905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0092" w14:textId="77777777" w:rsidR="00D90A75" w:rsidRPr="000074AB" w:rsidRDefault="00D90A75" w:rsidP="00D90A75">
            <w:pPr>
              <w:pStyle w:val="TAL"/>
              <w:rPr>
                <w:rFonts w:ascii="Times New Roman" w:hAnsi="Times New Roman"/>
                <w:sz w:val="20"/>
                <w:szCs w:val="20"/>
              </w:rPr>
            </w:pPr>
            <w:r w:rsidRPr="000074AB">
              <w:rPr>
                <w:rFonts w:ascii="Times New Roman" w:hAnsi="Times New Roman"/>
                <w:sz w:val="20"/>
                <w:szCs w:val="20"/>
              </w:rPr>
              <w:t>Derivation of test points for test cases added under NR RRM enhancements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B509" w14:textId="77777777" w:rsidR="00D90A75" w:rsidRPr="000074AB" w:rsidRDefault="00D90A75" w:rsidP="00D90A75">
            <w:pPr>
              <w:rPr>
                <w:sz w:val="20"/>
                <w:szCs w:val="20"/>
              </w:rPr>
            </w:pPr>
            <w:r w:rsidRPr="000074AB">
              <w:rPr>
                <w:sz w:val="20"/>
                <w:szCs w:val="20"/>
              </w:rPr>
              <w:t>TSG RAN#102</w:t>
            </w:r>
            <w:r w:rsidRPr="000074AB">
              <w:rPr>
                <w:sz w:val="20"/>
                <w:szCs w:val="20"/>
              </w:rPr>
              <w:br/>
              <w:t>(Dec-23)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580" w14:textId="77777777" w:rsidR="00D90A75" w:rsidRDefault="00D90A75" w:rsidP="00D90A75">
            <w:pPr>
              <w:pStyle w:val="TAL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14:paraId="2B933A2E" w14:textId="77777777" w:rsidR="004A6218" w:rsidRDefault="004A6218"/>
    <w:p w14:paraId="4A2BC89B" w14:textId="77777777" w:rsidR="004A6218" w:rsidRDefault="004A6218">
      <w:pPr>
        <w:pStyle w:val="Heading2"/>
        <w:spacing w:before="0"/>
      </w:pPr>
      <w:r>
        <w:t>6</w:t>
      </w:r>
      <w:r>
        <w:tab/>
        <w:t>Work item Rapporteur(s)</w:t>
      </w:r>
    </w:p>
    <w:p w14:paraId="0CBBD09B" w14:textId="77777777" w:rsidR="004A6218" w:rsidRPr="00466460" w:rsidRDefault="00B80B09">
      <w:pPr>
        <w:rPr>
          <w:sz w:val="20"/>
          <w:szCs w:val="20"/>
        </w:rPr>
      </w:pPr>
      <w:r w:rsidRPr="00466460">
        <w:rPr>
          <w:sz w:val="20"/>
          <w:szCs w:val="20"/>
        </w:rPr>
        <w:t>Ashwin Mohan (Apple)</w:t>
      </w:r>
    </w:p>
    <w:p w14:paraId="1C3E8C2C" w14:textId="77777777" w:rsidR="00B80B09" w:rsidRPr="00466460" w:rsidRDefault="00CE56CF">
      <w:pPr>
        <w:rPr>
          <w:sz w:val="20"/>
          <w:szCs w:val="20"/>
        </w:rPr>
      </w:pPr>
      <w:hyperlink r:id="rId8" w:history="1">
        <w:r w:rsidR="00B80B09" w:rsidRPr="00466460">
          <w:rPr>
            <w:rStyle w:val="Hyperlink"/>
            <w:sz w:val="20"/>
            <w:szCs w:val="20"/>
          </w:rPr>
          <w:t>ashwin_mohan@apple.com</w:t>
        </w:r>
      </w:hyperlink>
    </w:p>
    <w:p w14:paraId="269440DD" w14:textId="77777777" w:rsidR="00B80B09" w:rsidRPr="00466460" w:rsidRDefault="00B80B09">
      <w:pPr>
        <w:rPr>
          <w:sz w:val="20"/>
          <w:szCs w:val="20"/>
        </w:rPr>
      </w:pPr>
    </w:p>
    <w:p w14:paraId="20891FB3" w14:textId="77777777" w:rsidR="004A6218" w:rsidRDefault="004A6218">
      <w:pPr>
        <w:pStyle w:val="Heading2"/>
        <w:spacing w:before="0"/>
      </w:pPr>
      <w:r>
        <w:t>7</w:t>
      </w:r>
      <w:r>
        <w:tab/>
        <w:t>Work item leadership</w:t>
      </w:r>
    </w:p>
    <w:p w14:paraId="4791DF75" w14:textId="77777777" w:rsidR="004A6218" w:rsidRPr="00466460" w:rsidRDefault="004A6218">
      <w:pPr>
        <w:ind w:right="-99"/>
        <w:rPr>
          <w:i/>
          <w:sz w:val="20"/>
          <w:szCs w:val="20"/>
        </w:rPr>
      </w:pPr>
      <w:r w:rsidRPr="00466460">
        <w:rPr>
          <w:sz w:val="20"/>
          <w:szCs w:val="20"/>
        </w:rPr>
        <w:t xml:space="preserve">RAN5 </w:t>
      </w:r>
    </w:p>
    <w:p w14:paraId="423665A5" w14:textId="77777777" w:rsidR="004A6218" w:rsidRDefault="004A6218">
      <w:pPr>
        <w:ind w:left="1134" w:right="-96"/>
      </w:pPr>
    </w:p>
    <w:p w14:paraId="3BE63220" w14:textId="77777777" w:rsidR="004A6218" w:rsidRDefault="004A6218">
      <w:pPr>
        <w:pStyle w:val="Heading2"/>
        <w:spacing w:before="0"/>
      </w:pPr>
      <w:r>
        <w:t>8</w:t>
      </w:r>
      <w:r>
        <w:tab/>
        <w:t>Aspects that involve other WGs</w:t>
      </w:r>
    </w:p>
    <w:p w14:paraId="091DBE89" w14:textId="77777777" w:rsidR="004A6218" w:rsidRDefault="004A6218">
      <w:pPr>
        <w:ind w:right="-99"/>
        <w:rPr>
          <w:sz w:val="20"/>
          <w:szCs w:val="20"/>
        </w:rPr>
      </w:pPr>
      <w:r w:rsidRPr="00466460">
        <w:rPr>
          <w:sz w:val="20"/>
          <w:szCs w:val="20"/>
        </w:rPr>
        <w:t>None</w:t>
      </w:r>
    </w:p>
    <w:p w14:paraId="55233721" w14:textId="77777777" w:rsidR="00466460" w:rsidRPr="00466460" w:rsidRDefault="00466460">
      <w:pPr>
        <w:ind w:right="-99"/>
        <w:rPr>
          <w:sz w:val="20"/>
          <w:szCs w:val="20"/>
        </w:rPr>
      </w:pPr>
    </w:p>
    <w:p w14:paraId="4306D105" w14:textId="77777777" w:rsidR="004A6218" w:rsidRDefault="004A6218">
      <w:pPr>
        <w:pStyle w:val="Heading2"/>
        <w:spacing w:before="0"/>
      </w:pPr>
      <w:r>
        <w:t>9</w:t>
      </w:r>
      <w:r>
        <w:tab/>
        <w:t>Supporting Individual Members</w:t>
      </w:r>
    </w:p>
    <w:p w14:paraId="778D7319" w14:textId="77777777" w:rsidR="004A6218" w:rsidRDefault="004A6218">
      <w:pPr>
        <w:ind w:right="-99"/>
        <w:rPr>
          <w:i/>
        </w:rPr>
      </w:pPr>
      <w:r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6"/>
      </w:tblGrid>
      <w:tr w:rsidR="004A6218" w14:paraId="01EB5965" w14:textId="77777777">
        <w:trPr>
          <w:jc w:val="center"/>
        </w:trPr>
        <w:tc>
          <w:tcPr>
            <w:tcW w:w="0" w:type="auto"/>
            <w:shd w:val="clear" w:color="auto" w:fill="E0E0E0"/>
          </w:tcPr>
          <w:p w14:paraId="08856E76" w14:textId="77777777" w:rsidR="004A6218" w:rsidRDefault="004A6218">
            <w:pPr>
              <w:pStyle w:val="TAH"/>
            </w:pPr>
            <w:r>
              <w:lastRenderedPageBreak/>
              <w:t>Supporting IM name</w:t>
            </w:r>
          </w:p>
        </w:tc>
      </w:tr>
      <w:tr w:rsidR="004A6218" w14:paraId="4157AC70" w14:textId="77777777">
        <w:trPr>
          <w:jc w:val="center"/>
        </w:trPr>
        <w:tc>
          <w:tcPr>
            <w:tcW w:w="0" w:type="auto"/>
          </w:tcPr>
          <w:p w14:paraId="3CD137D5" w14:textId="77777777" w:rsidR="004A6218" w:rsidRPr="00466460" w:rsidRDefault="00B80B09">
            <w:pPr>
              <w:pStyle w:val="TAL"/>
              <w:rPr>
                <w:rFonts w:ascii="Times New Roman" w:hAnsi="Times New Roman"/>
                <w:sz w:val="20"/>
                <w:szCs w:val="20"/>
                <w:lang w:val="en-GB" w:eastAsia="zh-CN"/>
              </w:rPr>
            </w:pPr>
            <w:r w:rsidRPr="00466460">
              <w:rPr>
                <w:rFonts w:ascii="Times New Roman" w:hAnsi="Times New Roman"/>
                <w:sz w:val="20"/>
                <w:szCs w:val="20"/>
                <w:lang w:eastAsia="zh-CN"/>
              </w:rPr>
              <w:t>Apple</w:t>
            </w:r>
          </w:p>
        </w:tc>
      </w:tr>
      <w:tr w:rsidR="00601042" w14:paraId="2BDBAE46" w14:textId="77777777" w:rsidTr="00B80B09">
        <w:trPr>
          <w:jc w:val="center"/>
        </w:trPr>
        <w:tc>
          <w:tcPr>
            <w:tcW w:w="0" w:type="auto"/>
          </w:tcPr>
          <w:p w14:paraId="059E7ADA" w14:textId="17B80879" w:rsidR="00601042" w:rsidRPr="00982BA3" w:rsidRDefault="00601042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China Unicom</w:t>
            </w:r>
          </w:p>
        </w:tc>
      </w:tr>
      <w:tr w:rsidR="00FC167C" w14:paraId="39411601" w14:textId="77777777" w:rsidTr="00B80B09">
        <w:trPr>
          <w:jc w:val="center"/>
        </w:trPr>
        <w:tc>
          <w:tcPr>
            <w:tcW w:w="0" w:type="auto"/>
          </w:tcPr>
          <w:p w14:paraId="5B7F2F29" w14:textId="6E6BBE4F" w:rsidR="00FC167C" w:rsidRPr="00982BA3" w:rsidRDefault="00A67A7B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Ericsson</w:t>
            </w:r>
          </w:p>
        </w:tc>
      </w:tr>
      <w:tr w:rsidR="00601042" w14:paraId="2FF1FE80" w14:textId="77777777" w:rsidTr="00B80B09">
        <w:trPr>
          <w:jc w:val="center"/>
        </w:trPr>
        <w:tc>
          <w:tcPr>
            <w:tcW w:w="0" w:type="auto"/>
          </w:tcPr>
          <w:p w14:paraId="2236EB6A" w14:textId="73EBF5A8" w:rsidR="00601042" w:rsidRPr="00982BA3" w:rsidRDefault="00601042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Huawei</w:t>
            </w:r>
          </w:p>
        </w:tc>
      </w:tr>
      <w:tr w:rsidR="00FC167C" w14:paraId="48F4D940" w14:textId="77777777" w:rsidTr="00B80B09">
        <w:trPr>
          <w:jc w:val="center"/>
        </w:trPr>
        <w:tc>
          <w:tcPr>
            <w:tcW w:w="0" w:type="auto"/>
          </w:tcPr>
          <w:p w14:paraId="10F6039A" w14:textId="426CC20C" w:rsidR="00FC167C" w:rsidRPr="00982BA3" w:rsidRDefault="00601042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proofErr w:type="spellStart"/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HiSilicon</w:t>
            </w:r>
            <w:proofErr w:type="spellEnd"/>
          </w:p>
        </w:tc>
      </w:tr>
      <w:tr w:rsidR="00151AC1" w14:paraId="323A80CB" w14:textId="77777777" w:rsidTr="00B80B09">
        <w:trPr>
          <w:jc w:val="center"/>
        </w:trPr>
        <w:tc>
          <w:tcPr>
            <w:tcW w:w="0" w:type="auto"/>
          </w:tcPr>
          <w:p w14:paraId="75B169F3" w14:textId="4B6D8C8F" w:rsidR="00151AC1" w:rsidRPr="00982BA3" w:rsidRDefault="00151AC1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Orange</w:t>
            </w:r>
          </w:p>
        </w:tc>
      </w:tr>
      <w:tr w:rsidR="00601042" w14:paraId="28DECA07" w14:textId="77777777" w:rsidTr="00B80B09">
        <w:trPr>
          <w:jc w:val="center"/>
        </w:trPr>
        <w:tc>
          <w:tcPr>
            <w:tcW w:w="0" w:type="auto"/>
          </w:tcPr>
          <w:p w14:paraId="4C63B9E1" w14:textId="3E6BFF5E" w:rsidR="00601042" w:rsidRPr="00982BA3" w:rsidRDefault="00601042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proofErr w:type="spellStart"/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Rohde&amp;Schwarz</w:t>
            </w:r>
            <w:proofErr w:type="spellEnd"/>
          </w:p>
        </w:tc>
      </w:tr>
      <w:tr w:rsidR="00151AC1" w14:paraId="5BAB24B1" w14:textId="77777777" w:rsidTr="00B80B09">
        <w:trPr>
          <w:jc w:val="center"/>
        </w:trPr>
        <w:tc>
          <w:tcPr>
            <w:tcW w:w="0" w:type="auto"/>
          </w:tcPr>
          <w:p w14:paraId="6E4B593B" w14:textId="43494684" w:rsidR="00151AC1" w:rsidRPr="00982BA3" w:rsidRDefault="00151AC1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Verizon</w:t>
            </w:r>
          </w:p>
        </w:tc>
      </w:tr>
      <w:tr w:rsidR="004A6218" w14:paraId="3BE66137" w14:textId="77777777" w:rsidTr="00B80B09">
        <w:trPr>
          <w:jc w:val="center"/>
        </w:trPr>
        <w:tc>
          <w:tcPr>
            <w:tcW w:w="0" w:type="auto"/>
          </w:tcPr>
          <w:p w14:paraId="743F4FD4" w14:textId="1285E4FF" w:rsidR="004A6218" w:rsidRPr="00982BA3" w:rsidRDefault="00A67A7B">
            <w:pPr>
              <w:pStyle w:val="TAL"/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</w:pPr>
            <w:r w:rsidRPr="00982BA3">
              <w:rPr>
                <w:rFonts w:ascii="Times New Roman" w:hAnsi="Times New Roman"/>
                <w:sz w:val="20"/>
                <w:szCs w:val="20"/>
                <w:highlight w:val="yellow"/>
                <w:lang w:eastAsia="zh-Hans"/>
              </w:rPr>
              <w:t>ZTE</w:t>
            </w:r>
          </w:p>
        </w:tc>
      </w:tr>
      <w:tr w:rsidR="00FC167C" w14:paraId="0FE14C6A" w14:textId="77777777" w:rsidTr="00B80B09">
        <w:trPr>
          <w:jc w:val="center"/>
        </w:trPr>
        <w:tc>
          <w:tcPr>
            <w:tcW w:w="0" w:type="auto"/>
          </w:tcPr>
          <w:p w14:paraId="102C55B9" w14:textId="77777777" w:rsidR="00FC167C" w:rsidRPr="00466460" w:rsidRDefault="00FC167C">
            <w:pPr>
              <w:pStyle w:val="TAL"/>
              <w:rPr>
                <w:rFonts w:ascii="Times New Roman" w:hAnsi="Times New Roman"/>
                <w:sz w:val="20"/>
                <w:szCs w:val="20"/>
                <w:lang w:eastAsia="zh-Hans"/>
              </w:rPr>
            </w:pPr>
          </w:p>
        </w:tc>
      </w:tr>
      <w:tr w:rsidR="004A6218" w14:paraId="31F8B623" w14:textId="77777777" w:rsidTr="00B80B09">
        <w:trPr>
          <w:jc w:val="center"/>
        </w:trPr>
        <w:tc>
          <w:tcPr>
            <w:tcW w:w="0" w:type="auto"/>
          </w:tcPr>
          <w:p w14:paraId="513D2672" w14:textId="77777777" w:rsidR="004A6218" w:rsidRPr="00466460" w:rsidRDefault="004A6218">
            <w:pPr>
              <w:pStyle w:val="TAL"/>
              <w:rPr>
                <w:rFonts w:ascii="Times New Roman" w:hAnsi="Times New Roman"/>
                <w:sz w:val="20"/>
                <w:szCs w:val="20"/>
                <w:lang w:eastAsia="zh-Hans"/>
              </w:rPr>
            </w:pPr>
          </w:p>
        </w:tc>
      </w:tr>
      <w:tr w:rsidR="00B80B09" w14:paraId="4237D64C" w14:textId="77777777" w:rsidTr="00B80B09">
        <w:trPr>
          <w:jc w:val="center"/>
        </w:trPr>
        <w:tc>
          <w:tcPr>
            <w:tcW w:w="0" w:type="auto"/>
          </w:tcPr>
          <w:p w14:paraId="2D702493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  <w:tr w:rsidR="00B80B09" w14:paraId="6B7C0BB5" w14:textId="77777777" w:rsidTr="00B80B09">
        <w:trPr>
          <w:jc w:val="center"/>
        </w:trPr>
        <w:tc>
          <w:tcPr>
            <w:tcW w:w="0" w:type="auto"/>
          </w:tcPr>
          <w:p w14:paraId="7324F29B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  <w:tr w:rsidR="00B80B09" w14:paraId="18F404FF" w14:textId="77777777" w:rsidTr="00B80B09">
        <w:trPr>
          <w:jc w:val="center"/>
        </w:trPr>
        <w:tc>
          <w:tcPr>
            <w:tcW w:w="0" w:type="auto"/>
          </w:tcPr>
          <w:p w14:paraId="10DA1212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  <w:tr w:rsidR="00B80B09" w14:paraId="498EC566" w14:textId="77777777" w:rsidTr="00B80B09">
        <w:trPr>
          <w:jc w:val="center"/>
        </w:trPr>
        <w:tc>
          <w:tcPr>
            <w:tcW w:w="0" w:type="auto"/>
          </w:tcPr>
          <w:p w14:paraId="647076E9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  <w:tr w:rsidR="00B80B09" w14:paraId="47786D48" w14:textId="77777777" w:rsidTr="00B80B09">
        <w:trPr>
          <w:jc w:val="center"/>
        </w:trPr>
        <w:tc>
          <w:tcPr>
            <w:tcW w:w="0" w:type="auto"/>
          </w:tcPr>
          <w:p w14:paraId="0537C475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  <w:tr w:rsidR="00B80B09" w14:paraId="4F6EE3E2" w14:textId="77777777" w:rsidTr="00B80B09">
        <w:trPr>
          <w:jc w:val="center"/>
        </w:trPr>
        <w:tc>
          <w:tcPr>
            <w:tcW w:w="0" w:type="auto"/>
          </w:tcPr>
          <w:p w14:paraId="72054682" w14:textId="77777777" w:rsidR="00B80B09" w:rsidRDefault="00B80B09">
            <w:pPr>
              <w:pStyle w:val="TAL"/>
              <w:rPr>
                <w:lang w:eastAsia="zh-Hans"/>
              </w:rPr>
            </w:pPr>
          </w:p>
        </w:tc>
      </w:tr>
    </w:tbl>
    <w:p w14:paraId="6C293C47" w14:textId="77777777" w:rsidR="004A6218" w:rsidRDefault="004A6218"/>
    <w:p w14:paraId="04FA4E35" w14:textId="77777777" w:rsidR="004A6218" w:rsidRDefault="004A6218"/>
    <w:sectPr w:rsidR="004A6218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2137"/>
    <w:multiLevelType w:val="hybridMultilevel"/>
    <w:tmpl w:val="B80E857A"/>
    <w:lvl w:ilvl="0" w:tplc="5C348F1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955"/>
    <w:multiLevelType w:val="hybridMultilevel"/>
    <w:tmpl w:val="5AF60FAE"/>
    <w:lvl w:ilvl="0" w:tplc="0EDA30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47F57"/>
    <w:multiLevelType w:val="multilevel"/>
    <w:tmpl w:val="12D47F57"/>
    <w:lvl w:ilvl="0">
      <w:start w:val="1"/>
      <w:numFmt w:val="bullet"/>
      <w:lvlText w:val=""/>
      <w:lvlJc w:val="left"/>
      <w:pPr>
        <w:ind w:left="11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777561D"/>
    <w:multiLevelType w:val="hybridMultilevel"/>
    <w:tmpl w:val="1B34E2DA"/>
    <w:lvl w:ilvl="0" w:tplc="9942FB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E10A8"/>
    <w:multiLevelType w:val="hybridMultilevel"/>
    <w:tmpl w:val="3EE444B4"/>
    <w:lvl w:ilvl="0" w:tplc="26C847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DC1816">
      <w:start w:val="30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AC12E2">
      <w:start w:val="30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6C64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F2FA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4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FA84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F62B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CA9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5237504">
    <w:abstractNumId w:val="2"/>
  </w:num>
  <w:num w:numId="2" w16cid:durableId="1186796434">
    <w:abstractNumId w:val="1"/>
  </w:num>
  <w:num w:numId="3" w16cid:durableId="1843546017">
    <w:abstractNumId w:val="0"/>
  </w:num>
  <w:num w:numId="4" w16cid:durableId="693267768">
    <w:abstractNumId w:val="4"/>
  </w:num>
  <w:num w:numId="5" w16cid:durableId="105840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oNotUseMarginsForDrawingGridOrigin/>
  <w:doNotShadeFormData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8FEFACF7"/>
    <w:rsid w:val="BDDF148F"/>
    <w:rsid w:val="BEFFA3CB"/>
    <w:rsid w:val="BFE9EDCE"/>
    <w:rsid w:val="BFFFDB3D"/>
    <w:rsid w:val="CFAA3B3F"/>
    <w:rsid w:val="E7DFB2BC"/>
    <w:rsid w:val="EF7902EE"/>
    <w:rsid w:val="EFDEA5BC"/>
    <w:rsid w:val="EFDFDAFB"/>
    <w:rsid w:val="F2F7FA58"/>
    <w:rsid w:val="F5FEABA5"/>
    <w:rsid w:val="FE7F579C"/>
    <w:rsid w:val="00003B9A"/>
    <w:rsid w:val="00006EF7"/>
    <w:rsid w:val="000074AB"/>
    <w:rsid w:val="00011074"/>
    <w:rsid w:val="0001220A"/>
    <w:rsid w:val="000132D1"/>
    <w:rsid w:val="000205C5"/>
    <w:rsid w:val="00025316"/>
    <w:rsid w:val="00037C06"/>
    <w:rsid w:val="000432B1"/>
    <w:rsid w:val="00044DAE"/>
    <w:rsid w:val="000458E9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A34F8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1D16"/>
    <w:rsid w:val="00102222"/>
    <w:rsid w:val="00120541"/>
    <w:rsid w:val="001211F3"/>
    <w:rsid w:val="00127B5D"/>
    <w:rsid w:val="00145E9D"/>
    <w:rsid w:val="00151AC1"/>
    <w:rsid w:val="00160047"/>
    <w:rsid w:val="00171925"/>
    <w:rsid w:val="00173998"/>
    <w:rsid w:val="0017433B"/>
    <w:rsid w:val="00174617"/>
    <w:rsid w:val="001759A7"/>
    <w:rsid w:val="001808F9"/>
    <w:rsid w:val="00182936"/>
    <w:rsid w:val="001A20BE"/>
    <w:rsid w:val="001A4192"/>
    <w:rsid w:val="001C5C86"/>
    <w:rsid w:val="001C718D"/>
    <w:rsid w:val="001E14C4"/>
    <w:rsid w:val="001E6495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A2851"/>
    <w:rsid w:val="002C1C50"/>
    <w:rsid w:val="002E6A7D"/>
    <w:rsid w:val="002E7A9E"/>
    <w:rsid w:val="002F3C41"/>
    <w:rsid w:val="002F6C5C"/>
    <w:rsid w:val="0030045C"/>
    <w:rsid w:val="003004AE"/>
    <w:rsid w:val="003205AD"/>
    <w:rsid w:val="0033027D"/>
    <w:rsid w:val="00335FB2"/>
    <w:rsid w:val="0033732D"/>
    <w:rsid w:val="00344158"/>
    <w:rsid w:val="00347B74"/>
    <w:rsid w:val="00355CB6"/>
    <w:rsid w:val="00366257"/>
    <w:rsid w:val="0038516D"/>
    <w:rsid w:val="003869D7"/>
    <w:rsid w:val="003A08AA"/>
    <w:rsid w:val="003A1EB0"/>
    <w:rsid w:val="003A63A2"/>
    <w:rsid w:val="003B2DAB"/>
    <w:rsid w:val="003B3A93"/>
    <w:rsid w:val="003C0F14"/>
    <w:rsid w:val="003C2DA6"/>
    <w:rsid w:val="003C6DA6"/>
    <w:rsid w:val="003D2781"/>
    <w:rsid w:val="003D62A9"/>
    <w:rsid w:val="003E2E3B"/>
    <w:rsid w:val="003F04C7"/>
    <w:rsid w:val="003F268E"/>
    <w:rsid w:val="003F68BE"/>
    <w:rsid w:val="003F7142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6460"/>
    <w:rsid w:val="0048267C"/>
    <w:rsid w:val="004876B9"/>
    <w:rsid w:val="00493A79"/>
    <w:rsid w:val="00495840"/>
    <w:rsid w:val="004A40BE"/>
    <w:rsid w:val="004A6218"/>
    <w:rsid w:val="004A6A60"/>
    <w:rsid w:val="004C0726"/>
    <w:rsid w:val="004C594F"/>
    <w:rsid w:val="004C634D"/>
    <w:rsid w:val="004D24B9"/>
    <w:rsid w:val="004E2CE2"/>
    <w:rsid w:val="004E5172"/>
    <w:rsid w:val="004E6F8A"/>
    <w:rsid w:val="00501091"/>
    <w:rsid w:val="00502CD2"/>
    <w:rsid w:val="00504E33"/>
    <w:rsid w:val="00511949"/>
    <w:rsid w:val="005516BA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A032D"/>
    <w:rsid w:val="005C29F7"/>
    <w:rsid w:val="005C4F58"/>
    <w:rsid w:val="005C5E8D"/>
    <w:rsid w:val="005C78F2"/>
    <w:rsid w:val="005D057C"/>
    <w:rsid w:val="005D3FEC"/>
    <w:rsid w:val="005D44BE"/>
    <w:rsid w:val="005E088B"/>
    <w:rsid w:val="00601042"/>
    <w:rsid w:val="00606A1A"/>
    <w:rsid w:val="00611EC4"/>
    <w:rsid w:val="00612542"/>
    <w:rsid w:val="006146D2"/>
    <w:rsid w:val="00620B3F"/>
    <w:rsid w:val="006239E7"/>
    <w:rsid w:val="006254C4"/>
    <w:rsid w:val="00626D3D"/>
    <w:rsid w:val="006323BE"/>
    <w:rsid w:val="006359C4"/>
    <w:rsid w:val="006418C6"/>
    <w:rsid w:val="00641ED8"/>
    <w:rsid w:val="00654893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2C99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46F46"/>
    <w:rsid w:val="0075252A"/>
    <w:rsid w:val="00761C97"/>
    <w:rsid w:val="0076388B"/>
    <w:rsid w:val="00764B84"/>
    <w:rsid w:val="00765028"/>
    <w:rsid w:val="007668A2"/>
    <w:rsid w:val="0078034D"/>
    <w:rsid w:val="00790BCC"/>
    <w:rsid w:val="00795CEE"/>
    <w:rsid w:val="00796F94"/>
    <w:rsid w:val="007974F5"/>
    <w:rsid w:val="007A5AA5"/>
    <w:rsid w:val="007A6136"/>
    <w:rsid w:val="007B0F49"/>
    <w:rsid w:val="007B5855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63E89"/>
    <w:rsid w:val="00872B3B"/>
    <w:rsid w:val="0088222A"/>
    <w:rsid w:val="008835FC"/>
    <w:rsid w:val="008901F6"/>
    <w:rsid w:val="00894417"/>
    <w:rsid w:val="00896C03"/>
    <w:rsid w:val="008A05BF"/>
    <w:rsid w:val="008A495D"/>
    <w:rsid w:val="008A76FD"/>
    <w:rsid w:val="008B114B"/>
    <w:rsid w:val="008B2D09"/>
    <w:rsid w:val="008B519F"/>
    <w:rsid w:val="008C0E78"/>
    <w:rsid w:val="008C537F"/>
    <w:rsid w:val="008D658B"/>
    <w:rsid w:val="0090137E"/>
    <w:rsid w:val="00922FCB"/>
    <w:rsid w:val="00935CB0"/>
    <w:rsid w:val="009428A9"/>
    <w:rsid w:val="009437A2"/>
    <w:rsid w:val="00944B28"/>
    <w:rsid w:val="00953E83"/>
    <w:rsid w:val="00967838"/>
    <w:rsid w:val="009801CE"/>
    <w:rsid w:val="00982BA3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F"/>
    <w:rsid w:val="009C2977"/>
    <w:rsid w:val="009C2DCC"/>
    <w:rsid w:val="009D5CCE"/>
    <w:rsid w:val="009E6C21"/>
    <w:rsid w:val="009F7959"/>
    <w:rsid w:val="00A01CFF"/>
    <w:rsid w:val="00A10539"/>
    <w:rsid w:val="00A145F8"/>
    <w:rsid w:val="00A15763"/>
    <w:rsid w:val="00A226C6"/>
    <w:rsid w:val="00A27912"/>
    <w:rsid w:val="00A338A3"/>
    <w:rsid w:val="00A339CF"/>
    <w:rsid w:val="00A35110"/>
    <w:rsid w:val="00A36378"/>
    <w:rsid w:val="00A40015"/>
    <w:rsid w:val="00A433A5"/>
    <w:rsid w:val="00A47445"/>
    <w:rsid w:val="00A6656B"/>
    <w:rsid w:val="00A67A7B"/>
    <w:rsid w:val="00A70E1E"/>
    <w:rsid w:val="00A73257"/>
    <w:rsid w:val="00A75C75"/>
    <w:rsid w:val="00A9081F"/>
    <w:rsid w:val="00A9188C"/>
    <w:rsid w:val="00A97002"/>
    <w:rsid w:val="00A97A52"/>
    <w:rsid w:val="00AA0D6A"/>
    <w:rsid w:val="00AB58BF"/>
    <w:rsid w:val="00AD0751"/>
    <w:rsid w:val="00AD4A08"/>
    <w:rsid w:val="00AD77C4"/>
    <w:rsid w:val="00AE19CA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0B09"/>
    <w:rsid w:val="00B8483E"/>
    <w:rsid w:val="00B850AA"/>
    <w:rsid w:val="00B946CD"/>
    <w:rsid w:val="00B96481"/>
    <w:rsid w:val="00BA3A53"/>
    <w:rsid w:val="00BA3C54"/>
    <w:rsid w:val="00BA4095"/>
    <w:rsid w:val="00BA5B43"/>
    <w:rsid w:val="00BB2BFA"/>
    <w:rsid w:val="00BB5EBF"/>
    <w:rsid w:val="00BC642A"/>
    <w:rsid w:val="00BF49E0"/>
    <w:rsid w:val="00BF7C9D"/>
    <w:rsid w:val="00C01E8C"/>
    <w:rsid w:val="00C02DF6"/>
    <w:rsid w:val="00C03E01"/>
    <w:rsid w:val="00C162C9"/>
    <w:rsid w:val="00C23582"/>
    <w:rsid w:val="00C25D09"/>
    <w:rsid w:val="00C2724D"/>
    <w:rsid w:val="00C27CA9"/>
    <w:rsid w:val="00C317E7"/>
    <w:rsid w:val="00C3799C"/>
    <w:rsid w:val="00C40F44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06E4"/>
    <w:rsid w:val="00CC72A4"/>
    <w:rsid w:val="00CD3153"/>
    <w:rsid w:val="00CE56CF"/>
    <w:rsid w:val="00CF6810"/>
    <w:rsid w:val="00D06117"/>
    <w:rsid w:val="00D24760"/>
    <w:rsid w:val="00D31CC8"/>
    <w:rsid w:val="00D32678"/>
    <w:rsid w:val="00D521C1"/>
    <w:rsid w:val="00D71F40"/>
    <w:rsid w:val="00D77416"/>
    <w:rsid w:val="00D80FC6"/>
    <w:rsid w:val="00D8707A"/>
    <w:rsid w:val="00D90A75"/>
    <w:rsid w:val="00D94917"/>
    <w:rsid w:val="00DA60FB"/>
    <w:rsid w:val="00DA74F3"/>
    <w:rsid w:val="00DB0480"/>
    <w:rsid w:val="00DB69F3"/>
    <w:rsid w:val="00DC14B9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20C37"/>
    <w:rsid w:val="00E52C57"/>
    <w:rsid w:val="00E57E7D"/>
    <w:rsid w:val="00E70355"/>
    <w:rsid w:val="00E7350B"/>
    <w:rsid w:val="00E84CD8"/>
    <w:rsid w:val="00E90B85"/>
    <w:rsid w:val="00E91679"/>
    <w:rsid w:val="00E92452"/>
    <w:rsid w:val="00E94CC1"/>
    <w:rsid w:val="00E96431"/>
    <w:rsid w:val="00EA43B1"/>
    <w:rsid w:val="00EB07D7"/>
    <w:rsid w:val="00EC3039"/>
    <w:rsid w:val="00EC5235"/>
    <w:rsid w:val="00ED6B03"/>
    <w:rsid w:val="00ED7A5B"/>
    <w:rsid w:val="00EF6C75"/>
    <w:rsid w:val="00F07C92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774F"/>
    <w:rsid w:val="00F62688"/>
    <w:rsid w:val="00F65FE2"/>
    <w:rsid w:val="00F76BE5"/>
    <w:rsid w:val="00F83D11"/>
    <w:rsid w:val="00F921F1"/>
    <w:rsid w:val="00FB127E"/>
    <w:rsid w:val="00FC0804"/>
    <w:rsid w:val="00FC167C"/>
    <w:rsid w:val="00FC3B6D"/>
    <w:rsid w:val="00FD3A4E"/>
    <w:rsid w:val="00FD7192"/>
    <w:rsid w:val="00FF3F0C"/>
    <w:rsid w:val="17BBDDB3"/>
    <w:rsid w:val="2F6842AF"/>
    <w:rsid w:val="37FDDECF"/>
    <w:rsid w:val="4FB78E9D"/>
    <w:rsid w:val="597FF34D"/>
    <w:rsid w:val="5BBF10FD"/>
    <w:rsid w:val="76EF437F"/>
    <w:rsid w:val="76FF2B79"/>
    <w:rsid w:val="7B7ED357"/>
    <w:rsid w:val="7BF5963B"/>
    <w:rsid w:val="7EF433C7"/>
    <w:rsid w:val="7FE61A1C"/>
    <w:rsid w:val="7FF3E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A3266"/>
  <w15:chartTrackingRefBased/>
  <w15:docId w15:val="{E52F70DF-E69F-C545-99F0-7D828572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3A2"/>
    <w:rPr>
      <w:rFonts w:eastAsia="Times New Roman"/>
      <w:sz w:val="24"/>
      <w:szCs w:val="24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pPr>
      <w:ind w:left="0" w:firstLine="0"/>
    </w:pPr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  <w:pPr>
      <w:ind w:left="0" w:firstLine="0"/>
    </w:pPr>
  </w:style>
  <w:style w:type="paragraph" w:styleId="CommentText">
    <w:name w:val="annotation text"/>
    <w:basedOn w:val="Normal"/>
    <w:semiHidden/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styleId="EndnoteText">
    <w:name w:val="endnote text"/>
    <w:basedOn w:val="Normal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FootnoteText">
    <w:name w:val="footnote text"/>
    <w:basedOn w:val="Normal"/>
    <w:semiHidden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Index1">
    <w:name w:val="index 1"/>
    <w:basedOn w:val="Normal"/>
    <w:semiHidden/>
    <w:pPr>
      <w:keepLines/>
    </w:pPr>
  </w:style>
  <w:style w:type="paragraph" w:styleId="Index2">
    <w:name w:val="index 2"/>
    <w:basedOn w:val="Index1"/>
    <w:semiHidden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TAL">
    <w:name w:val="TAL"/>
    <w:basedOn w:val="Normal"/>
    <w:pPr>
      <w:keepNext/>
      <w:keepLines/>
    </w:pPr>
    <w:rPr>
      <w:rFonts w:ascii="Arial" w:hAnsi="Arial"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HE">
    <w:name w:val="HE"/>
    <w:basedOn w:val="Normal"/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</w:style>
  <w:style w:type="paragraph" w:customStyle="1" w:styleId="EW">
    <w:name w:val="EW"/>
    <w:basedOn w:val="EX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tah0">
    <w:name w:val="tah"/>
    <w:basedOn w:val="Normal"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pPr>
      <w:spacing w:before="100" w:beforeAutospacing="1" w:after="100" w:afterAutospacing="1"/>
    </w:pPr>
    <w:rPr>
      <w:rFonts w:eastAsia="Calibri"/>
    </w:rPr>
  </w:style>
  <w:style w:type="character" w:styleId="UnresolvedMention">
    <w:name w:val="Unresolved Mention"/>
    <w:uiPriority w:val="99"/>
    <w:semiHidden/>
    <w:unhideWhenUsed/>
    <w:rsid w:val="00B80B09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D4A08"/>
    <w:pPr>
      <w:ind w:left="720"/>
      <w:contextualSpacing/>
    </w:pPr>
    <w:rPr>
      <w:rFonts w:eastAsia="SimSun"/>
    </w:rPr>
  </w:style>
  <w:style w:type="paragraph" w:styleId="NormalWeb">
    <w:name w:val="Normal (Web)"/>
    <w:basedOn w:val="Normal"/>
    <w:uiPriority w:val="99"/>
    <w:unhideWhenUsed/>
    <w:rsid w:val="00AD4A08"/>
    <w:pPr>
      <w:spacing w:before="100" w:beforeAutospacing="1" w:after="100" w:afterAutospacing="1"/>
    </w:pPr>
    <w:rPr>
      <w:rFonts w:eastAsia="SimSun"/>
    </w:rPr>
  </w:style>
  <w:style w:type="character" w:customStyle="1" w:styleId="ListParagraphChar">
    <w:name w:val="List Paragraph Char"/>
    <w:link w:val="ListParagraph"/>
    <w:uiPriority w:val="34"/>
    <w:rsid w:val="00AD4A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win_mohan@appl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specifications-groups/working-procedures" TargetMode="External"/><Relationship Id="rId5" Type="http://schemas.openxmlformats.org/officeDocument/2006/relationships/hyperlink" Target="http://www.3gpp.org/Work-Ite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5669</CharactersWithSpaces>
  <SharedDoc>false</SharedDoc>
  <HLinks>
    <vt:vector size="24" baseType="variant">
      <vt:variant>
        <vt:i4>5111900</vt:i4>
      </vt:variant>
      <vt:variant>
        <vt:i4>15</vt:i4>
      </vt:variant>
      <vt:variant>
        <vt:i4>0</vt:i4>
      </vt:variant>
      <vt:variant>
        <vt:i4>5</vt:i4>
      </vt:variant>
      <vt:variant>
        <vt:lpwstr>mailto:ashwin_mohan@apple.com</vt:lpwstr>
      </vt:variant>
      <vt:variant>
        <vt:lpwstr/>
      </vt:variant>
      <vt:variant>
        <vt:i4>2031686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R5</cp:lastModifiedBy>
  <cp:revision>2</cp:revision>
  <cp:lastPrinted>2000-03-06T18:31:00Z</cp:lastPrinted>
  <dcterms:created xsi:type="dcterms:W3CDTF">2022-05-19T13:09:00Z</dcterms:created>
  <dcterms:modified xsi:type="dcterms:W3CDTF">2022-05-19T13:09:00Z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KSOProductBuildVer">
    <vt:lpwstr>2052-3.9.4.6398</vt:lpwstr>
  </property>
</Properties>
</file>