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92</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R5-214384</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16th Aug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27th Aug 2021</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1070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clause 7 for R17 DC RX characteristics in TS 38.521-3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2021-07-29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color w:val="000000" w:themeColor="text1"/>
                <w:lang w:val="en-US" w:eastAsia="zh-CN"/>
                <w14:textFill>
                  <w14:solidFill>
                    <w14:schemeClr w14:val="tx1"/>
                  </w14:solidFill>
                </w14:textFill>
              </w:rPr>
              <w:t xml:space="preserve">The </w:t>
            </w:r>
            <w:r>
              <w:rPr>
                <w:color w:val="000000" w:themeColor="text1"/>
                <w14:textFill>
                  <w14:solidFill>
                    <w14:schemeClr w14:val="tx1"/>
                  </w14:solidFill>
                </w14:textFill>
              </w:rPr>
              <w:t>Wideband Intermodulation for EN-DC within FR1 (5 CCs)</w:t>
            </w:r>
            <w:r>
              <w:rPr>
                <w:rFonts w:hint="eastAsia" w:eastAsia="宋体"/>
                <w:color w:val="000000" w:themeColor="text1"/>
                <w:lang w:val="en-US" w:eastAsia="zh-CN"/>
                <w14:textFill>
                  <w14:solidFill>
                    <w14:schemeClr w14:val="tx1"/>
                  </w14:solidFill>
                </w14:textFill>
              </w:rPr>
              <w:t xml:space="preserve"> need to be added to align with R17 38.101-1 for the combination of DC_1A-1A-3C_n78A.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color w:val="000000" w:themeColor="text1"/>
                <w14:textFill>
                  <w14:solidFill>
                    <w14:schemeClr w14:val="tx1"/>
                  </w14:solidFill>
                </w14:textFill>
              </w:rPr>
              <w:t>Wideband Intermodulation for EN-DC within FR1 (5 CCs)</w:t>
            </w:r>
            <w:r>
              <w:rPr>
                <w:rFonts w:hint="eastAsia" w:eastAsia="宋体"/>
                <w:color w:val="000000" w:themeColor="text1"/>
                <w:lang w:val="en-US" w:eastAsia="zh-CN"/>
                <w14:textFill>
                  <w14:solidFill>
                    <w14:schemeClr w14:val="tx1"/>
                  </w14:solidFill>
                </w14:textFill>
              </w:rPr>
              <w:t xml:space="preserve"> need to be added for the combination of DC_1A-1A-3C_n78A.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work plan </w:t>
            </w:r>
            <w:r>
              <w:rPr>
                <w:rFonts w:hint="eastAsia"/>
                <w:lang w:eastAsia="zh-CN"/>
              </w:rPr>
              <w:t>could</w:t>
            </w:r>
            <w:r>
              <w:t xml:space="preserve"> not complete</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color w:val="000000" w:themeColor="text1"/>
                <w14:textFill>
                  <w14:solidFill>
                    <w14:schemeClr w14:val="tx1"/>
                  </w14:solidFill>
                </w14:textFill>
              </w:rPr>
              <w:t>7.8B.2.3_1.3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ins w:id="0" w:author="JIN GAO" w:date="2021-07-29T18:08:07Z"/>
          <w:color w:val="FF0000"/>
        </w:rPr>
      </w:pPr>
      <w:r>
        <w:rPr>
          <w:color w:val="FF0000"/>
        </w:rPr>
        <w:t>&lt;Unchanged Text Skipped&gt;</w:t>
      </w:r>
    </w:p>
    <w:p>
      <w:pPr>
        <w:pStyle w:val="6"/>
        <w:rPr>
          <w:ins w:id="1" w:author="JIN GAO" w:date="2021-07-29T18:26:18Z"/>
        </w:rPr>
      </w:pPr>
      <w:ins w:id="2" w:author="JIN GAO" w:date="2021-07-29T18:08:07Z">
        <w:r>
          <w:rPr/>
          <w:t>7.8B.2.3_1.3</w:t>
        </w:r>
      </w:ins>
      <w:ins w:id="3" w:author="JIN GAO" w:date="2021-07-29T18:08:07Z">
        <w:r>
          <w:rPr/>
          <w:tab/>
        </w:r>
      </w:ins>
      <w:ins w:id="4" w:author="JIN GAO" w:date="2021-07-29T18:08:07Z">
        <w:r>
          <w:rPr/>
          <w:t>Wideband Intermodulation for EN-DC within FR1 (5 CCs)</w:t>
        </w:r>
      </w:ins>
    </w:p>
    <w:p>
      <w:pPr>
        <w:pStyle w:val="74"/>
        <w:rPr>
          <w:ins w:id="5" w:author="JIN GAO" w:date="2021-07-29T18:26:18Z"/>
          <w:rFonts w:hint="eastAsia" w:eastAsia="宋体"/>
          <w:lang w:val="en-US" w:eastAsia="zh-CN"/>
        </w:rPr>
      </w:pPr>
      <w:ins w:id="6" w:author="JIN GAO" w:date="2021-07-29T18:26:18Z">
        <w:r>
          <w:rPr/>
          <w:t>Editor's note:</w:t>
        </w:r>
      </w:ins>
      <w:ins w:id="7" w:author="JIN GAO" w:date="2021-07-29T18:26:18Z">
        <w:r>
          <w:rPr/>
          <w:tab/>
        </w:r>
      </w:ins>
      <w:ins w:id="8" w:author="JIN GAO" w:date="2021-07-29T18:26:18Z">
        <w:r>
          <w:rPr/>
          <w:t xml:space="preserve">The </w:t>
        </w:r>
      </w:ins>
      <w:ins w:id="9" w:author="JIN GAO" w:date="2021-07-29T18:26:55Z">
        <w:r>
          <w:rPr/>
          <w:t>Table 7.8B.2.3_1.</w:t>
        </w:r>
      </w:ins>
      <w:ins w:id="10" w:author="JIN GAO" w:date="2021-07-29T18:26:55Z">
        <w:r>
          <w:rPr>
            <w:rFonts w:hint="eastAsia" w:eastAsia="宋体"/>
            <w:lang w:val="en-US" w:eastAsia="zh-CN"/>
          </w:rPr>
          <w:t>3</w:t>
        </w:r>
      </w:ins>
      <w:ins w:id="11" w:author="JIN GAO" w:date="2021-07-29T18:26:55Z">
        <w:r>
          <w:rPr/>
          <w:t>.4.2-1</w:t>
        </w:r>
      </w:ins>
      <w:ins w:id="12" w:author="JIN GAO" w:date="2021-07-29T18:26:18Z">
        <w:r>
          <w:rPr/>
          <w:t xml:space="preserve"> are either missing or not yet determined</w:t>
        </w:r>
      </w:ins>
      <w:ins w:id="13" w:author="JIN GAO" w:date="2021-07-29T18:27:12Z">
        <w:r>
          <w:rPr>
            <w:rFonts w:hint="eastAsia" w:eastAsia="宋体"/>
            <w:lang w:val="en-US" w:eastAsia="zh-CN"/>
          </w:rPr>
          <w:t>.</w:t>
        </w:r>
      </w:ins>
    </w:p>
    <w:p>
      <w:pPr>
        <w:pStyle w:val="8"/>
        <w:rPr>
          <w:ins w:id="14" w:author="JIN GAO" w:date="2021-07-29T17:05:15Z"/>
        </w:rPr>
      </w:pPr>
      <w:ins w:id="15" w:author="JIN GAO" w:date="2021-07-29T17:05:15Z">
        <w:r>
          <w:rPr/>
          <w:t>7.8B.2.3_1.</w:t>
        </w:r>
      </w:ins>
      <w:ins w:id="16" w:author="JIN GAO" w:date="2021-07-29T17:05:32Z">
        <w:r>
          <w:rPr>
            <w:rFonts w:hint="eastAsia" w:eastAsia="宋体"/>
            <w:lang w:val="en-US" w:eastAsia="zh-CN"/>
          </w:rPr>
          <w:t>3</w:t>
        </w:r>
      </w:ins>
      <w:ins w:id="17" w:author="JIN GAO" w:date="2021-07-29T17:05:15Z">
        <w:r>
          <w:rPr/>
          <w:t>.1</w:t>
        </w:r>
      </w:ins>
      <w:ins w:id="18" w:author="JIN GAO" w:date="2021-07-29T17:05:15Z">
        <w:r>
          <w:rPr/>
          <w:tab/>
        </w:r>
      </w:ins>
      <w:ins w:id="19" w:author="JIN GAO" w:date="2021-07-29T17:05:15Z">
        <w:r>
          <w:rPr/>
          <w:t>Test Purpose</w:t>
        </w:r>
      </w:ins>
    </w:p>
    <w:p>
      <w:pPr>
        <w:rPr>
          <w:ins w:id="20" w:author="JIN GAO" w:date="2021-07-29T17:05:15Z"/>
        </w:rPr>
      </w:pPr>
      <w:ins w:id="21" w:author="JIN GAO" w:date="2021-07-29T17:05:15Z">
        <w:r>
          <w:rPr>
            <w:rFonts w:cs="v5.0.0"/>
          </w:rPr>
          <w:t xml:space="preserve">Intermodulation response </w:t>
        </w:r>
      </w:ins>
      <w:ins w:id="22" w:author="JIN GAO" w:date="2021-07-29T17:05:15Z">
        <w:r>
          <w:rPr/>
          <w:t xml:space="preserve">tests the UE's ability to receive data with a given average throughput for a specified reference measurement channel, in the presence of </w:t>
        </w:r>
      </w:ins>
      <w:ins w:id="23" w:author="JIN GAO" w:date="2021-07-29T17:05:15Z">
        <w:r>
          <w:rPr>
            <w:rFonts w:cs="v5.0.0"/>
          </w:rPr>
          <w:t>two or more interfering signals which have a specific frequency relationship to the wanted signa</w:t>
        </w:r>
      </w:ins>
      <w:ins w:id="24" w:author="JIN GAO" w:date="2021-07-29T17:05:15Z">
        <w:r>
          <w:rPr/>
          <w:t>l, under conditions of ideal propagation and no added noise.</w:t>
        </w:r>
      </w:ins>
    </w:p>
    <w:p>
      <w:pPr>
        <w:rPr>
          <w:ins w:id="25" w:author="JIN GAO" w:date="2021-07-29T17:05:15Z"/>
        </w:rPr>
      </w:pPr>
      <w:ins w:id="26" w:author="JIN GAO" w:date="2021-07-29T17:05:15Z">
        <w:r>
          <w:rPr/>
          <w:t>A UE unable to meet the throughput requirement under these conditions will decrease the coverage area when two or more interfering signals exist which have a specific frequency relationship to the wanted signal.</w:t>
        </w:r>
      </w:ins>
    </w:p>
    <w:p>
      <w:pPr>
        <w:pStyle w:val="8"/>
        <w:rPr>
          <w:ins w:id="27" w:author="JIN GAO" w:date="2021-07-29T17:05:15Z"/>
        </w:rPr>
      </w:pPr>
      <w:ins w:id="28" w:author="JIN GAO" w:date="2021-07-29T17:05:15Z">
        <w:r>
          <w:rPr/>
          <w:t>7.8B.2.3_1.</w:t>
        </w:r>
      </w:ins>
      <w:ins w:id="29" w:author="JIN GAO" w:date="2021-07-29T17:05:50Z">
        <w:r>
          <w:rPr>
            <w:rFonts w:hint="eastAsia" w:eastAsia="宋体"/>
            <w:lang w:val="en-US" w:eastAsia="zh-CN"/>
          </w:rPr>
          <w:t>3</w:t>
        </w:r>
      </w:ins>
      <w:ins w:id="30" w:author="JIN GAO" w:date="2021-07-29T17:05:15Z">
        <w:r>
          <w:rPr/>
          <w:t>.2</w:t>
        </w:r>
      </w:ins>
      <w:ins w:id="31" w:author="JIN GAO" w:date="2021-07-29T17:05:15Z">
        <w:r>
          <w:rPr/>
          <w:tab/>
        </w:r>
      </w:ins>
      <w:ins w:id="32" w:author="JIN GAO" w:date="2021-07-29T17:05:15Z">
        <w:r>
          <w:rPr/>
          <w:t>Test Applicability</w:t>
        </w:r>
      </w:ins>
    </w:p>
    <w:p>
      <w:pPr>
        <w:rPr>
          <w:ins w:id="33" w:author="JIN GAO" w:date="2021-07-29T17:05:15Z"/>
        </w:rPr>
      </w:pPr>
      <w:ins w:id="34" w:author="JIN GAO" w:date="2021-07-29T17:05:15Z">
        <w:r>
          <w:rPr/>
          <w:t>This test case applies to all types of E-UTRA UE release 15 and forward, supporting EN-DC within FR1 (</w:t>
        </w:r>
      </w:ins>
      <w:ins w:id="35" w:author="JIN GAO" w:date="2021-07-29T17:05:54Z">
        <w:r>
          <w:rPr>
            <w:rFonts w:hint="eastAsia" w:eastAsia="宋体"/>
            <w:lang w:val="en-US" w:eastAsia="zh-CN"/>
          </w:rPr>
          <w:t>5</w:t>
        </w:r>
      </w:ins>
      <w:ins w:id="36" w:author="JIN GAO" w:date="2021-07-29T17:05:15Z">
        <w:r>
          <w:rPr/>
          <w:t xml:space="preserve"> CCs).</w:t>
        </w:r>
      </w:ins>
    </w:p>
    <w:p>
      <w:pPr>
        <w:pStyle w:val="8"/>
        <w:rPr>
          <w:ins w:id="37" w:author="JIN GAO" w:date="2021-07-29T17:05:15Z"/>
        </w:rPr>
      </w:pPr>
      <w:ins w:id="38" w:author="JIN GAO" w:date="2021-07-29T17:05:15Z">
        <w:r>
          <w:rPr/>
          <w:t>7.8B.2.3_1.</w:t>
        </w:r>
      </w:ins>
      <w:ins w:id="39" w:author="JIN GAO" w:date="2021-07-29T17:06:30Z">
        <w:r>
          <w:rPr>
            <w:rFonts w:hint="eastAsia" w:eastAsia="宋体"/>
            <w:lang w:val="en-US" w:eastAsia="zh-CN"/>
          </w:rPr>
          <w:t>3</w:t>
        </w:r>
      </w:ins>
      <w:ins w:id="40" w:author="JIN GAO" w:date="2021-07-29T17:05:15Z">
        <w:r>
          <w:rPr/>
          <w:t>.3</w:t>
        </w:r>
      </w:ins>
      <w:ins w:id="41" w:author="JIN GAO" w:date="2021-07-29T17:05:15Z">
        <w:r>
          <w:rPr/>
          <w:tab/>
        </w:r>
      </w:ins>
      <w:ins w:id="42" w:author="JIN GAO" w:date="2021-07-29T17:05:15Z">
        <w:r>
          <w:rPr/>
          <w:t>Minimum Conformance Requirements</w:t>
        </w:r>
      </w:ins>
    </w:p>
    <w:p>
      <w:pPr>
        <w:rPr>
          <w:ins w:id="43" w:author="JIN GAO" w:date="2021-07-29T17:05:15Z"/>
        </w:rPr>
      </w:pPr>
      <w:ins w:id="44" w:author="JIN GAO" w:date="2021-07-29T17:05:15Z">
        <w:r>
          <w:rPr/>
          <w:t>The minimum conformance requirements are defined in clause </w:t>
        </w:r>
        <w:bookmarkStart w:id="1" w:name="OLE_LINK1"/>
        <w:r>
          <w:rPr/>
          <w:t>7.8B.2.0</w:t>
        </w:r>
        <w:bookmarkEnd w:id="1"/>
        <w:r>
          <w:rPr/>
          <w:t>.</w:t>
        </w:r>
      </w:ins>
    </w:p>
    <w:p>
      <w:pPr>
        <w:pStyle w:val="8"/>
        <w:rPr>
          <w:ins w:id="45" w:author="JIN GAO" w:date="2021-07-29T17:05:15Z"/>
        </w:rPr>
      </w:pPr>
      <w:ins w:id="46" w:author="JIN GAO" w:date="2021-07-29T17:05:15Z">
        <w:r>
          <w:rPr/>
          <w:t>7.8B.2.3_1.</w:t>
        </w:r>
      </w:ins>
      <w:ins w:id="47" w:author="JIN GAO" w:date="2021-07-29T17:07:04Z">
        <w:r>
          <w:rPr>
            <w:rFonts w:hint="eastAsia" w:eastAsia="宋体"/>
            <w:lang w:val="en-US" w:eastAsia="zh-CN"/>
          </w:rPr>
          <w:t>3</w:t>
        </w:r>
      </w:ins>
      <w:ins w:id="48" w:author="JIN GAO" w:date="2021-07-29T17:05:15Z">
        <w:r>
          <w:rPr/>
          <w:t>.4</w:t>
        </w:r>
      </w:ins>
      <w:ins w:id="49" w:author="JIN GAO" w:date="2021-07-29T17:05:15Z">
        <w:r>
          <w:rPr/>
          <w:tab/>
        </w:r>
      </w:ins>
      <w:ins w:id="50" w:author="JIN GAO" w:date="2021-07-29T17:05:15Z">
        <w:r>
          <w:rPr/>
          <w:t>Test Description</w:t>
        </w:r>
      </w:ins>
    </w:p>
    <w:p>
      <w:pPr>
        <w:pStyle w:val="8"/>
        <w:rPr>
          <w:ins w:id="51" w:author="JIN GAO" w:date="2021-07-29T17:05:15Z"/>
        </w:rPr>
      </w:pPr>
      <w:ins w:id="52" w:author="JIN GAO" w:date="2021-07-29T17:05:15Z">
        <w:r>
          <w:rPr/>
          <w:t>7.8B.2.3_1.</w:t>
        </w:r>
      </w:ins>
      <w:ins w:id="53" w:author="JIN GAO" w:date="2021-07-29T17:07:08Z">
        <w:r>
          <w:rPr>
            <w:rFonts w:hint="eastAsia" w:eastAsia="宋体"/>
            <w:lang w:val="en-US" w:eastAsia="zh-CN"/>
          </w:rPr>
          <w:t>3</w:t>
        </w:r>
      </w:ins>
      <w:ins w:id="54" w:author="JIN GAO" w:date="2021-07-29T17:05:15Z">
        <w:r>
          <w:rPr/>
          <w:t>.4.1</w:t>
        </w:r>
      </w:ins>
      <w:ins w:id="55" w:author="JIN GAO" w:date="2021-07-29T17:05:15Z">
        <w:r>
          <w:rPr/>
          <w:tab/>
        </w:r>
      </w:ins>
      <w:ins w:id="56" w:author="JIN GAO" w:date="2021-07-29T17:05:15Z">
        <w:r>
          <w:rPr/>
          <w:t>Initial condition</w:t>
        </w:r>
      </w:ins>
    </w:p>
    <w:p>
      <w:pPr>
        <w:rPr>
          <w:ins w:id="57" w:author="JIN GAO" w:date="2021-07-29T17:05:15Z"/>
        </w:rPr>
      </w:pPr>
      <w:ins w:id="58" w:author="JIN GAO" w:date="2021-07-29T17:05:15Z">
        <w:r>
          <w:rPr/>
          <w:t>Initial conditions are a set of test configurations the UE needs to be tested in and the steps for the SS to take with the UE to reach the correct measurement state.</w:t>
        </w:r>
      </w:ins>
    </w:p>
    <w:p>
      <w:pPr>
        <w:rPr>
          <w:ins w:id="59" w:author="JIN GAO" w:date="2021-07-29T17:05:15Z"/>
        </w:rPr>
      </w:pPr>
      <w:ins w:id="60" w:author="JIN GAO" w:date="2021-07-29T17:05:15Z">
        <w:r>
          <w:rPr/>
          <w:t>The initial test configurations consist of environmental conditions, test frequencies and channel bandwidths based on EN-DC operating bands specified in clause 5.5B.2, 5.5B.3, and 5.5B.4,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7.8B.2.3_1.</w:t>
        </w:r>
      </w:ins>
      <w:ins w:id="61" w:author="JIN GAO" w:date="2021-07-29T17:08:39Z">
        <w:r>
          <w:rPr>
            <w:rFonts w:hint="eastAsia" w:eastAsia="宋体"/>
            <w:lang w:val="en-US" w:eastAsia="zh-CN"/>
          </w:rPr>
          <w:t>3</w:t>
        </w:r>
      </w:ins>
      <w:ins w:id="62" w:author="JIN GAO" w:date="2021-07-29T17:05:15Z">
        <w:r>
          <w:rPr/>
          <w:t>.4.1-1. The details of the uplink reference measurement channels (RMCs) are specified in Annex A.2. Configurations of PDSCH and PDCCH before measurement are specified in TS 36.521-1 [10] Annex C.2 and in TS 38.521-1 [8] Annex C.2 for E-UTRA CG and NR CG respectively.</w:t>
        </w:r>
      </w:ins>
    </w:p>
    <w:p>
      <w:pPr>
        <w:pStyle w:val="55"/>
        <w:rPr>
          <w:ins w:id="63" w:author="JIN GAO" w:date="2021-07-29T17:05:15Z"/>
        </w:rPr>
      </w:pPr>
      <w:ins w:id="64" w:author="JIN GAO" w:date="2021-07-29T17:05:15Z">
        <w:r>
          <w:rPr/>
          <w:t>Table 7.8B.2.3_1.</w:t>
        </w:r>
      </w:ins>
      <w:ins w:id="65" w:author="JIN GAO" w:date="2021-07-29T17:09:03Z">
        <w:r>
          <w:rPr>
            <w:rFonts w:hint="eastAsia" w:eastAsia="宋体"/>
            <w:lang w:val="en-US" w:eastAsia="zh-CN"/>
          </w:rPr>
          <w:t>3</w:t>
        </w:r>
      </w:ins>
      <w:ins w:id="66" w:author="JIN GAO" w:date="2021-07-29T17:05:15Z">
        <w:r>
          <w:rPr/>
          <w:t>.4.1-1: Test configuration table</w:t>
        </w:r>
      </w:ins>
    </w:p>
    <w:tbl>
      <w:tblPr>
        <w:tblStyle w:val="42"/>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99" w:type="dxa"/>
          <w:bottom w:w="0" w:type="dxa"/>
          <w:right w:w="99" w:type="dxa"/>
        </w:tblCellMar>
      </w:tblPr>
      <w:tblGrid>
        <w:gridCol w:w="1972"/>
        <w:gridCol w:w="1299"/>
        <w:gridCol w:w="1132"/>
        <w:gridCol w:w="1304"/>
        <w:gridCol w:w="792"/>
        <w:gridCol w:w="29"/>
        <w:gridCol w:w="3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ins w:id="67" w:author="JIN GAO" w:date="2021-07-29T17:05:15Z"/>
        </w:trPr>
        <w:tc>
          <w:tcPr>
            <w:tcW w:w="9918" w:type="dxa"/>
            <w:gridSpan w:val="7"/>
            <w:shd w:val="clear" w:color="auto" w:fill="auto"/>
            <w:vAlign w:val="center"/>
          </w:tcPr>
          <w:p>
            <w:pPr>
              <w:pStyle w:val="51"/>
              <w:rPr>
                <w:ins w:id="68" w:author="JIN GAO" w:date="2021-07-29T17:05:15Z"/>
                <w:rFonts w:eastAsia="MS PGothic"/>
              </w:rPr>
            </w:pPr>
            <w:ins w:id="69" w:author="JIN GAO" w:date="2021-07-29T17:05:15Z">
              <w:r>
                <w:rPr>
                  <w:rFonts w:eastAsia="MS PGothic"/>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ins w:id="70" w:author="JIN GAO" w:date="2021-07-29T17:05:15Z"/>
        </w:trPr>
        <w:tc>
          <w:tcPr>
            <w:tcW w:w="6528" w:type="dxa"/>
            <w:gridSpan w:val="6"/>
            <w:shd w:val="clear" w:color="auto" w:fill="auto"/>
            <w:vAlign w:val="center"/>
          </w:tcPr>
          <w:p>
            <w:pPr>
              <w:pStyle w:val="53"/>
              <w:rPr>
                <w:ins w:id="71" w:author="JIN GAO" w:date="2021-07-29T17:05:15Z"/>
              </w:rPr>
            </w:pPr>
            <w:ins w:id="72" w:author="JIN GAO" w:date="2021-07-29T17:05:15Z">
              <w:r>
                <w:rPr/>
                <w:t>Test Environment as specified in TS 38.508-1 [6] clause 4.1</w:t>
              </w:r>
            </w:ins>
          </w:p>
        </w:tc>
        <w:tc>
          <w:tcPr>
            <w:tcW w:w="3390" w:type="dxa"/>
            <w:shd w:val="clear" w:color="auto" w:fill="auto"/>
            <w:vAlign w:val="center"/>
          </w:tcPr>
          <w:p>
            <w:pPr>
              <w:pStyle w:val="53"/>
              <w:rPr>
                <w:ins w:id="73" w:author="JIN GAO" w:date="2021-07-29T17:05:15Z"/>
              </w:rPr>
            </w:pPr>
            <w:ins w:id="74" w:author="JIN GAO" w:date="2021-07-29T17:05:15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ins w:id="75" w:author="JIN GAO" w:date="2021-07-29T17:05:15Z"/>
        </w:trPr>
        <w:tc>
          <w:tcPr>
            <w:tcW w:w="6528" w:type="dxa"/>
            <w:gridSpan w:val="6"/>
            <w:shd w:val="clear" w:color="auto" w:fill="auto"/>
            <w:vAlign w:val="center"/>
          </w:tcPr>
          <w:p>
            <w:pPr>
              <w:pStyle w:val="53"/>
              <w:rPr>
                <w:ins w:id="76" w:author="JIN GAO" w:date="2021-07-29T17:05:15Z"/>
              </w:rPr>
            </w:pPr>
            <w:ins w:id="77" w:author="JIN GAO" w:date="2021-07-29T17:05:15Z">
              <w:r>
                <w:rPr/>
                <w:t>Test Frequencies as specified in TS 38.508-1 [6] clause 4.3.1 for different EN-DC bandwidth classes</w:t>
              </w:r>
            </w:ins>
          </w:p>
        </w:tc>
        <w:tc>
          <w:tcPr>
            <w:tcW w:w="3390" w:type="dxa"/>
            <w:shd w:val="clear" w:color="auto" w:fill="auto"/>
            <w:vAlign w:val="center"/>
          </w:tcPr>
          <w:p>
            <w:pPr>
              <w:pStyle w:val="53"/>
              <w:rPr>
                <w:ins w:id="78" w:author="JIN GAO" w:date="2021-07-29T17:05:15Z"/>
              </w:rPr>
            </w:pPr>
            <w:ins w:id="79" w:author="JIN GAO" w:date="2021-07-29T17:05:15Z">
              <w:r>
                <w:rPr/>
                <w:t>Mid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ins w:id="80" w:author="JIN GAO" w:date="2021-07-29T17:05:15Z"/>
        </w:trPr>
        <w:tc>
          <w:tcPr>
            <w:tcW w:w="6528" w:type="dxa"/>
            <w:gridSpan w:val="6"/>
            <w:shd w:val="clear" w:color="auto" w:fill="auto"/>
            <w:vAlign w:val="center"/>
          </w:tcPr>
          <w:p>
            <w:pPr>
              <w:pStyle w:val="53"/>
              <w:rPr>
                <w:ins w:id="81" w:author="JIN GAO" w:date="2021-07-29T17:05:15Z"/>
              </w:rPr>
            </w:pPr>
            <w:ins w:id="82" w:author="JIN GAO" w:date="2021-07-29T17:05:15Z">
              <w:r>
                <w:rPr/>
                <w:t>Test EN-DC bandwidth combination as specified in Table 5.3B.1.2-1 across bandwidth combination sets supported by the UE</w:t>
              </w:r>
            </w:ins>
          </w:p>
        </w:tc>
        <w:tc>
          <w:tcPr>
            <w:tcW w:w="3390" w:type="dxa"/>
            <w:shd w:val="clear" w:color="auto" w:fill="auto"/>
            <w:vAlign w:val="center"/>
          </w:tcPr>
          <w:p>
            <w:pPr>
              <w:pStyle w:val="53"/>
              <w:rPr>
                <w:ins w:id="83" w:author="JIN GAO" w:date="2021-07-29T17:05:15Z"/>
              </w:rPr>
            </w:pPr>
            <w:ins w:id="84" w:author="JIN GAO" w:date="2021-07-29T17:05:15Z">
              <w:r>
                <w:rPr>
                  <w:rFonts w:eastAsia="MS PGothic"/>
                </w:rPr>
                <w:t>Highest N</w:t>
              </w:r>
            </w:ins>
            <w:ins w:id="85" w:author="JIN GAO" w:date="2021-07-29T17:05:15Z">
              <w:r>
                <w:rPr>
                  <w:rFonts w:eastAsia="MS PGothic"/>
                  <w:vertAlign w:val="subscript"/>
                </w:rPr>
                <w:t>RB_agg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ins w:id="86" w:author="JIN GAO" w:date="2021-07-29T17:05:15Z"/>
        </w:trPr>
        <w:tc>
          <w:tcPr>
            <w:tcW w:w="6528" w:type="dxa"/>
            <w:gridSpan w:val="6"/>
            <w:shd w:val="clear" w:color="auto" w:fill="auto"/>
            <w:noWrap/>
            <w:vAlign w:val="center"/>
          </w:tcPr>
          <w:p>
            <w:pPr>
              <w:pStyle w:val="53"/>
              <w:rPr>
                <w:ins w:id="87" w:author="JIN GAO" w:date="2021-07-29T17:05:15Z"/>
              </w:rPr>
            </w:pPr>
            <w:ins w:id="88" w:author="JIN GAO" w:date="2021-07-29T17:05:15Z">
              <w:r>
                <w:rPr/>
                <w:t>NR Test SCS as specified in Table 5.3.5-1 in TS 38.521-1 [8]</w:t>
              </w:r>
            </w:ins>
          </w:p>
        </w:tc>
        <w:tc>
          <w:tcPr>
            <w:tcW w:w="3390" w:type="dxa"/>
            <w:shd w:val="clear" w:color="auto" w:fill="auto"/>
            <w:vAlign w:val="center"/>
          </w:tcPr>
          <w:p>
            <w:pPr>
              <w:pStyle w:val="53"/>
              <w:rPr>
                <w:ins w:id="89" w:author="JIN GAO" w:date="2021-07-29T17:05:15Z"/>
              </w:rPr>
            </w:pPr>
            <w:ins w:id="90" w:author="JIN GAO" w:date="2021-07-29T17:05:15Z">
              <w:r>
                <w:rPr/>
                <w:t>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ins w:id="91" w:author="JIN GAO" w:date="2021-07-29T17:05:15Z"/>
        </w:trPr>
        <w:tc>
          <w:tcPr>
            <w:tcW w:w="6528" w:type="dxa"/>
            <w:gridSpan w:val="6"/>
            <w:shd w:val="clear" w:color="auto" w:fill="auto"/>
            <w:vAlign w:val="center"/>
          </w:tcPr>
          <w:p>
            <w:pPr>
              <w:pStyle w:val="53"/>
              <w:rPr>
                <w:ins w:id="92" w:author="JIN GAO" w:date="2021-07-29T17:05:15Z"/>
              </w:rPr>
            </w:pPr>
            <w:ins w:id="93" w:author="JIN GAO" w:date="2021-07-29T17:05:15Z">
              <w:r>
                <w:rPr/>
                <w:t>Network signalling value</w:t>
              </w:r>
            </w:ins>
          </w:p>
        </w:tc>
        <w:tc>
          <w:tcPr>
            <w:tcW w:w="3390" w:type="dxa"/>
            <w:shd w:val="clear" w:color="auto" w:fill="auto"/>
            <w:vAlign w:val="center"/>
          </w:tcPr>
          <w:p>
            <w:pPr>
              <w:pStyle w:val="53"/>
              <w:rPr>
                <w:ins w:id="94" w:author="JIN GAO" w:date="2021-07-29T17:05:15Z"/>
              </w:rPr>
            </w:pPr>
            <w:ins w:id="95" w:author="JIN GAO" w:date="2021-07-29T17:05:15Z">
              <w:r>
                <w:rPr/>
                <w:t>NS_01 by default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ins w:id="96" w:author="JIN GAO" w:date="2021-07-29T17:05:15Z"/>
        </w:trPr>
        <w:tc>
          <w:tcPr>
            <w:tcW w:w="9918" w:type="dxa"/>
            <w:gridSpan w:val="7"/>
            <w:shd w:val="clear" w:color="auto" w:fill="auto"/>
            <w:vAlign w:val="center"/>
          </w:tcPr>
          <w:p>
            <w:pPr>
              <w:pStyle w:val="51"/>
              <w:rPr>
                <w:ins w:id="97" w:author="JIN GAO" w:date="2021-07-29T17:05:15Z"/>
                <w:rFonts w:eastAsia="MS PGothic"/>
              </w:rPr>
            </w:pPr>
            <w:ins w:id="98" w:author="JIN GAO" w:date="2021-07-29T17:05:15Z">
              <w:r>
                <w:rPr>
                  <w:rFonts w:eastAsia="MS PGothic"/>
                </w:rPr>
                <w:t>Test Parameters for EN-DC Configurations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ins w:id="99" w:author="JIN GAO" w:date="2021-07-29T17:05:15Z"/>
        </w:trPr>
        <w:tc>
          <w:tcPr>
            <w:tcW w:w="1972" w:type="dxa"/>
            <w:shd w:val="clear" w:color="auto" w:fill="auto"/>
            <w:vAlign w:val="center"/>
          </w:tcPr>
          <w:p>
            <w:pPr>
              <w:pStyle w:val="51"/>
              <w:rPr>
                <w:ins w:id="100" w:author="JIN GAO" w:date="2021-07-29T17:05:15Z"/>
                <w:rFonts w:eastAsia="MS PGothic"/>
                <w:lang w:eastAsia="ja-JP"/>
              </w:rPr>
            </w:pPr>
            <w:ins w:id="101" w:author="JIN GAO" w:date="2021-07-29T17:05:15Z">
              <w:r>
                <w:rPr>
                  <w:rFonts w:eastAsia="MS PGothic"/>
                  <w:lang w:eastAsia="ja-JP"/>
                </w:rPr>
                <w:t>EN-DC Configurations</w:t>
              </w:r>
            </w:ins>
          </w:p>
        </w:tc>
        <w:tc>
          <w:tcPr>
            <w:tcW w:w="1299" w:type="dxa"/>
            <w:shd w:val="clear" w:color="auto" w:fill="auto"/>
            <w:vAlign w:val="center"/>
          </w:tcPr>
          <w:p>
            <w:pPr>
              <w:pStyle w:val="51"/>
              <w:rPr>
                <w:ins w:id="102" w:author="JIN GAO" w:date="2021-07-29T17:05:15Z"/>
                <w:rFonts w:eastAsia="MS PGothic"/>
                <w:lang w:eastAsia="ja-JP"/>
              </w:rPr>
            </w:pPr>
            <w:ins w:id="103" w:author="JIN GAO" w:date="2021-07-29T17:05:15Z">
              <w:r>
                <w:rPr>
                  <w:rFonts w:eastAsia="MS PGothic"/>
                  <w:lang w:eastAsia="ja-JP"/>
                </w:rPr>
                <w:t>Environment</w:t>
              </w:r>
            </w:ins>
          </w:p>
        </w:tc>
        <w:tc>
          <w:tcPr>
            <w:tcW w:w="1132" w:type="dxa"/>
            <w:shd w:val="clear" w:color="auto" w:fill="auto"/>
            <w:vAlign w:val="center"/>
          </w:tcPr>
          <w:p>
            <w:pPr>
              <w:pStyle w:val="51"/>
              <w:rPr>
                <w:ins w:id="104" w:author="JIN GAO" w:date="2021-07-29T17:05:15Z"/>
                <w:rFonts w:eastAsia="MS PGothic"/>
                <w:lang w:eastAsia="ja-JP"/>
              </w:rPr>
            </w:pPr>
            <w:ins w:id="105" w:author="JIN GAO" w:date="2021-07-29T17:05:15Z">
              <w:r>
                <w:rPr>
                  <w:rFonts w:eastAsia="MS PGothic"/>
                  <w:lang w:eastAsia="ja-JP"/>
                </w:rPr>
                <w:t>Frequency</w:t>
              </w:r>
            </w:ins>
          </w:p>
        </w:tc>
        <w:tc>
          <w:tcPr>
            <w:tcW w:w="1304" w:type="dxa"/>
            <w:shd w:val="clear" w:color="auto" w:fill="auto"/>
            <w:vAlign w:val="center"/>
          </w:tcPr>
          <w:p>
            <w:pPr>
              <w:pStyle w:val="51"/>
              <w:rPr>
                <w:ins w:id="106" w:author="JIN GAO" w:date="2021-07-29T17:05:15Z"/>
                <w:rFonts w:eastAsia="MS PGothic"/>
                <w:lang w:eastAsia="ja-JP"/>
              </w:rPr>
            </w:pPr>
            <w:ins w:id="107" w:author="JIN GAO" w:date="2021-07-29T17:05:15Z">
              <w:r>
                <w:rPr>
                  <w:rFonts w:eastAsia="MS PGothic"/>
                  <w:lang w:eastAsia="ja-JP"/>
                </w:rPr>
                <w:t>Bandwidth Combination</w:t>
              </w:r>
            </w:ins>
          </w:p>
        </w:tc>
        <w:tc>
          <w:tcPr>
            <w:tcW w:w="792" w:type="dxa"/>
            <w:shd w:val="clear" w:color="auto" w:fill="auto"/>
            <w:vAlign w:val="center"/>
          </w:tcPr>
          <w:p>
            <w:pPr>
              <w:pStyle w:val="51"/>
              <w:rPr>
                <w:ins w:id="108" w:author="JIN GAO" w:date="2021-07-29T17:05:15Z"/>
                <w:rFonts w:eastAsia="MS PGothic"/>
                <w:lang w:eastAsia="ja-JP"/>
              </w:rPr>
            </w:pPr>
            <w:ins w:id="109" w:author="JIN GAO" w:date="2021-07-29T17:05:15Z">
              <w:r>
                <w:rPr>
                  <w:rFonts w:eastAsia="MS PGothic"/>
                  <w:lang w:eastAsia="ja-JP"/>
                </w:rPr>
                <w:t>SCS</w:t>
              </w:r>
            </w:ins>
          </w:p>
        </w:tc>
        <w:tc>
          <w:tcPr>
            <w:tcW w:w="3419" w:type="dxa"/>
            <w:gridSpan w:val="2"/>
            <w:shd w:val="clear" w:color="auto" w:fill="auto"/>
            <w:vAlign w:val="center"/>
          </w:tcPr>
          <w:p>
            <w:pPr>
              <w:pStyle w:val="51"/>
              <w:rPr>
                <w:ins w:id="110" w:author="JIN GAO" w:date="2021-07-29T17:05:15Z"/>
                <w:rFonts w:eastAsia="MS PGothic"/>
                <w:lang w:eastAsia="ja-JP"/>
              </w:rPr>
            </w:pPr>
            <w:ins w:id="111" w:author="JIN GAO" w:date="2021-07-29T17:05:15Z">
              <w:r>
                <w:rPr>
                  <w:rFonts w:eastAsia="MS PGothic"/>
                  <w:lang w:eastAsia="ja-JP"/>
                </w:rPr>
                <w:t>Other Parameter Settings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ins w:id="112" w:author="JIN GAO" w:date="2021-07-29T17:05:15Z"/>
        </w:trPr>
        <w:tc>
          <w:tcPr>
            <w:tcW w:w="1972" w:type="dxa"/>
            <w:shd w:val="clear" w:color="auto" w:fill="auto"/>
            <w:vAlign w:val="center"/>
          </w:tcPr>
          <w:p>
            <w:pPr>
              <w:pStyle w:val="53"/>
              <w:rPr>
                <w:ins w:id="113" w:author="JIN GAO" w:date="2021-07-29T17:05:15Z"/>
                <w:lang w:eastAsia="ja-JP"/>
              </w:rPr>
            </w:pPr>
            <w:ins w:id="114" w:author="JIN GAO" w:date="2021-07-29T17:05:15Z">
              <w:r>
                <w:rPr>
                  <w:lang w:eastAsia="ja-JP"/>
                </w:rPr>
                <w:t>DC_XA-XA-Y</w:t>
              </w:r>
            </w:ins>
            <w:ins w:id="115" w:author="JIN GAO" w:date="2021-07-29T17:09:35Z">
              <w:r>
                <w:rPr>
                  <w:rFonts w:hint="eastAsia" w:eastAsia="宋体"/>
                  <w:lang w:val="en-US" w:eastAsia="zh-CN"/>
                </w:rPr>
                <w:t>C</w:t>
              </w:r>
            </w:ins>
            <w:ins w:id="116" w:author="JIN GAO" w:date="2021-07-29T17:05:15Z">
              <w:r>
                <w:rPr>
                  <w:lang w:eastAsia="ja-JP"/>
                </w:rPr>
                <w:t>_nZA</w:t>
              </w:r>
            </w:ins>
          </w:p>
        </w:tc>
        <w:tc>
          <w:tcPr>
            <w:tcW w:w="1299" w:type="dxa"/>
            <w:shd w:val="clear" w:color="auto" w:fill="auto"/>
            <w:vAlign w:val="center"/>
          </w:tcPr>
          <w:p>
            <w:pPr>
              <w:pStyle w:val="52"/>
              <w:rPr>
                <w:ins w:id="117" w:author="JIN GAO" w:date="2021-07-29T17:05:15Z"/>
                <w:lang w:eastAsia="ja-JP"/>
              </w:rPr>
            </w:pPr>
            <w:ins w:id="118" w:author="JIN GAO" w:date="2021-07-29T17:12:57Z">
              <w:r>
                <w:rPr>
                  <w:lang w:eastAsia="ja-JP"/>
                </w:rPr>
                <w:t>-</w:t>
              </w:r>
            </w:ins>
          </w:p>
        </w:tc>
        <w:tc>
          <w:tcPr>
            <w:tcW w:w="1132" w:type="dxa"/>
            <w:shd w:val="clear" w:color="auto" w:fill="auto"/>
            <w:vAlign w:val="center"/>
          </w:tcPr>
          <w:p>
            <w:pPr>
              <w:pStyle w:val="52"/>
              <w:rPr>
                <w:ins w:id="119" w:author="JIN GAO" w:date="2021-07-29T17:05:15Z"/>
                <w:lang w:eastAsia="ja-JP"/>
              </w:rPr>
            </w:pPr>
            <w:ins w:id="120" w:author="JIN GAO" w:date="2021-07-29T17:12:59Z">
              <w:r>
                <w:rPr>
                  <w:lang w:eastAsia="ja-JP"/>
                </w:rPr>
                <w:t>-</w:t>
              </w:r>
            </w:ins>
          </w:p>
        </w:tc>
        <w:tc>
          <w:tcPr>
            <w:tcW w:w="1304" w:type="dxa"/>
            <w:shd w:val="clear" w:color="auto" w:fill="auto"/>
            <w:vAlign w:val="center"/>
          </w:tcPr>
          <w:p>
            <w:pPr>
              <w:pStyle w:val="52"/>
              <w:rPr>
                <w:ins w:id="121" w:author="JIN GAO" w:date="2021-07-29T17:05:15Z"/>
                <w:lang w:eastAsia="ja-JP"/>
              </w:rPr>
            </w:pPr>
            <w:ins w:id="122" w:author="JIN GAO" w:date="2021-07-29T17:13:04Z">
              <w:r>
                <w:rPr>
                  <w:lang w:eastAsia="ja-JP"/>
                </w:rPr>
                <w:t>-</w:t>
              </w:r>
            </w:ins>
          </w:p>
        </w:tc>
        <w:tc>
          <w:tcPr>
            <w:tcW w:w="792" w:type="dxa"/>
            <w:shd w:val="clear" w:color="auto" w:fill="auto"/>
            <w:vAlign w:val="center"/>
          </w:tcPr>
          <w:p>
            <w:pPr>
              <w:pStyle w:val="52"/>
              <w:rPr>
                <w:ins w:id="123" w:author="JIN GAO" w:date="2021-07-29T17:05:15Z"/>
                <w:lang w:eastAsia="ja-JP"/>
              </w:rPr>
            </w:pPr>
            <w:ins w:id="124" w:author="JIN GAO" w:date="2021-07-29T17:13:08Z">
              <w:r>
                <w:rPr>
                  <w:lang w:eastAsia="ja-JP"/>
                </w:rPr>
                <w:t>-</w:t>
              </w:r>
            </w:ins>
          </w:p>
        </w:tc>
        <w:tc>
          <w:tcPr>
            <w:tcW w:w="3419" w:type="dxa"/>
            <w:gridSpan w:val="2"/>
            <w:shd w:val="clear" w:color="auto" w:fill="auto"/>
            <w:vAlign w:val="center"/>
          </w:tcPr>
          <w:p>
            <w:pPr>
              <w:pStyle w:val="53"/>
              <w:rPr>
                <w:ins w:id="125" w:author="JIN GAO" w:date="2021-07-29T17:05:15Z"/>
                <w:lang w:eastAsia="ja-JP"/>
              </w:rPr>
            </w:pPr>
            <w:ins w:id="126" w:author="JIN GAO" w:date="2021-07-29T17:05:15Z">
              <w:r>
                <w:rPr>
                  <w:lang w:eastAsia="ja-JP"/>
                </w:rPr>
                <w:t>No test required (</w:t>
              </w:r>
            </w:ins>
            <w:ins w:id="127" w:author="JIN GAO" w:date="2021-07-29T18:22:48Z">
              <w:r>
                <w:rPr>
                  <w:lang w:eastAsia="ja-JP"/>
                </w:rPr>
                <w:t>LTE 1CC fallback is tested in 7.8B.2.3_1.</w:t>
              </w:r>
            </w:ins>
            <w:ins w:id="128" w:author="JIN GAO" w:date="2021-07-29T18:22:59Z">
              <w:r>
                <w:rPr>
                  <w:rFonts w:hint="eastAsia" w:eastAsia="宋体"/>
                  <w:lang w:val="en-US" w:eastAsia="zh-CN"/>
                </w:rPr>
                <w:t>2</w:t>
              </w:r>
            </w:ins>
            <w:ins w:id="129" w:author="JIN GAO" w:date="2021-07-29T17:05:15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786" w:hRule="atLeast"/>
          <w:ins w:id="130" w:author="JIN GAO" w:date="2021-07-29T17:05:15Z"/>
        </w:trPr>
        <w:tc>
          <w:tcPr>
            <w:tcW w:w="9918" w:type="dxa"/>
            <w:gridSpan w:val="7"/>
            <w:shd w:val="clear" w:color="auto" w:fill="auto"/>
            <w:vAlign w:val="center"/>
          </w:tcPr>
          <w:p>
            <w:pPr>
              <w:pStyle w:val="66"/>
              <w:rPr>
                <w:ins w:id="131" w:author="JIN GAO" w:date="2021-07-29T17:05:15Z"/>
                <w:rFonts w:eastAsia="MS PGothic"/>
              </w:rPr>
            </w:pPr>
            <w:ins w:id="132" w:author="JIN GAO" w:date="2021-07-29T17:05:15Z">
              <w:r>
                <w:rPr>
                  <w:rFonts w:eastAsia="MS PGothic"/>
                </w:rPr>
                <w:t>NOTE 1:</w:t>
              </w:r>
            </w:ins>
            <w:ins w:id="133" w:author="JIN GAO" w:date="2021-07-29T17:05:15Z">
              <w:r>
                <w:rPr>
                  <w:rFonts w:eastAsia="MS PGothic"/>
                </w:rPr>
                <w:tab/>
              </w:r>
            </w:ins>
            <w:ins w:id="134" w:author="JIN GAO" w:date="2021-07-29T17:05:15Z">
              <w:r>
                <w:rPr>
                  <w:rFonts w:eastAsia="MS PGothic"/>
                </w:rPr>
                <w:t>X, Y, Z and R in this table correspond to different bands i.e. X != Y != Z != R</w:t>
              </w:r>
            </w:ins>
          </w:p>
          <w:p>
            <w:pPr>
              <w:pStyle w:val="66"/>
              <w:rPr>
                <w:ins w:id="135" w:author="JIN GAO" w:date="2021-07-29T17:05:15Z"/>
                <w:rFonts w:eastAsia="MS PGothic"/>
              </w:rPr>
            </w:pPr>
            <w:ins w:id="136" w:author="JIN GAO" w:date="2021-07-29T17:05:15Z">
              <w:r>
                <w:rPr>
                  <w:rFonts w:eastAsia="MS PGothic"/>
                </w:rPr>
                <w:t>NOTE 2:</w:t>
              </w:r>
            </w:ins>
            <w:ins w:id="137" w:author="JIN GAO" w:date="2021-07-29T17:05:15Z">
              <w:r>
                <w:rPr>
                  <w:rFonts w:eastAsia="MS PGothic"/>
                </w:rPr>
                <w:tab/>
              </w:r>
            </w:ins>
            <w:ins w:id="138" w:author="JIN GAO" w:date="2021-07-29T17:05:15Z">
              <w:r>
                <w:rPr>
                  <w:rFonts w:eastAsia="MS PGothic"/>
                </w:rPr>
                <w:t>The band combinations with difference appearance order of bands/sub-blocks in the band combination string are not distinguished. E.g. DC_YA-(n)XAA represents the set of DC_YA-(n)XAA and DC_(n)XAA-YA</w:t>
              </w:r>
            </w:ins>
          </w:p>
          <w:p>
            <w:pPr>
              <w:pStyle w:val="66"/>
              <w:rPr>
                <w:ins w:id="139" w:author="JIN GAO" w:date="2021-07-29T17:05:15Z"/>
              </w:rPr>
            </w:pPr>
            <w:ins w:id="140" w:author="JIN GAO" w:date="2021-07-29T17:05:15Z">
              <w:r>
                <w:rPr/>
                <w:t>NOTE 3:</w:t>
              </w:r>
            </w:ins>
            <w:ins w:id="141" w:author="JIN GAO" w:date="2021-07-29T17:05:15Z">
              <w:r>
                <w:rPr/>
                <w:tab/>
              </w:r>
            </w:ins>
            <w:ins w:id="142" w:author="JIN GAO" w:date="2021-07-29T17:05:15Z">
              <w:r>
                <w:rPr/>
                <w:t>In a FR1 band where UE supports 4Rx, the test shall be performed only with 4Rx antennas ports connected and 4Rx REFSENS requirement (TS 38.521-1 [8] Table 7.3.2.5-2) is used in the test requirements.</w:t>
              </w:r>
            </w:ins>
          </w:p>
        </w:tc>
      </w:tr>
    </w:tbl>
    <w:p>
      <w:pPr>
        <w:rPr>
          <w:ins w:id="143" w:author="JIN GAO" w:date="2021-07-29T17:05:15Z"/>
        </w:rPr>
      </w:pPr>
    </w:p>
    <w:p>
      <w:pPr>
        <w:pStyle w:val="75"/>
        <w:rPr>
          <w:ins w:id="144" w:author="JIN GAO" w:date="2021-07-29T17:05:15Z"/>
        </w:rPr>
      </w:pPr>
      <w:ins w:id="145" w:author="JIN GAO" w:date="2021-07-29T17:05:15Z">
        <w:r>
          <w:rPr/>
          <w:t>1.</w:t>
        </w:r>
      </w:ins>
      <w:ins w:id="146" w:author="JIN GAO" w:date="2021-07-29T17:05:15Z">
        <w:r>
          <w:rPr/>
          <w:tab/>
        </w:r>
      </w:ins>
      <w:ins w:id="147" w:author="JIN GAO" w:date="2021-07-29T17:05:15Z">
        <w:r>
          <w:rPr/>
          <w:t>Connect the SS to the UE antenna connectors as shown in [6] TS 38.508-1 A.3.1.2.1 for SS diagram and A.3.2 for UE diagram.</w:t>
        </w:r>
      </w:ins>
    </w:p>
    <w:p>
      <w:pPr>
        <w:pStyle w:val="75"/>
        <w:rPr>
          <w:ins w:id="148" w:author="JIN GAO" w:date="2021-07-29T17:05:15Z"/>
        </w:rPr>
      </w:pPr>
      <w:ins w:id="149" w:author="JIN GAO" w:date="2021-07-29T17:05:15Z">
        <w:r>
          <w:rPr/>
          <w:t>2.</w:t>
        </w:r>
      </w:ins>
      <w:ins w:id="150" w:author="JIN GAO" w:date="2021-07-29T17:05:15Z">
        <w:r>
          <w:rPr/>
          <w:tab/>
        </w:r>
      </w:ins>
      <w:ins w:id="151" w:author="JIN GAO" w:date="2021-07-29T17:05:15Z">
        <w:r>
          <w:rPr/>
          <w:t>The parameter settings for the E-UTRA cell are set up according to TS 36.508 [11] clause 4.4.3, and the parameter settings for the NR cell are set up according to TS 38.508-1 [6] clause 4.4.3.</w:t>
        </w:r>
      </w:ins>
    </w:p>
    <w:p>
      <w:pPr>
        <w:pStyle w:val="75"/>
        <w:rPr>
          <w:ins w:id="152" w:author="JIN GAO" w:date="2021-07-29T17:05:15Z"/>
        </w:rPr>
      </w:pPr>
      <w:ins w:id="153" w:author="JIN GAO" w:date="2021-07-29T17:05:15Z">
        <w:r>
          <w:rPr/>
          <w:t>3.</w:t>
        </w:r>
      </w:ins>
      <w:ins w:id="154" w:author="JIN GAO" w:date="2021-07-29T17:05:15Z">
        <w:r>
          <w:rPr/>
          <w:tab/>
        </w:r>
      </w:ins>
      <w:ins w:id="155" w:author="JIN GAO" w:date="2021-07-29T17:05:15Z">
        <w:r>
          <w:rPr/>
          <w:t>Downlink signals are initially set up according to TS 36.521-1 [10] Annex C.0 and TS 38.521-1 [8] Annex C.0 for E-UTRA CG and NR CG respectively, and uplink signals according to TS 36.521-1 [10] Annex H and TS 38.521-1 [8] Annex G for E-UTRA CG and NR CG respectively.</w:t>
        </w:r>
      </w:ins>
    </w:p>
    <w:p>
      <w:pPr>
        <w:pStyle w:val="75"/>
        <w:rPr>
          <w:ins w:id="156" w:author="JIN GAO" w:date="2021-07-29T17:05:15Z"/>
        </w:rPr>
      </w:pPr>
      <w:ins w:id="157" w:author="JIN GAO" w:date="2021-07-29T17:05:15Z">
        <w:r>
          <w:rPr/>
          <w:t>4.</w:t>
        </w:r>
      </w:ins>
      <w:ins w:id="158" w:author="JIN GAO" w:date="2021-07-29T17:05:15Z">
        <w:r>
          <w:rPr/>
          <w:tab/>
        </w:r>
      </w:ins>
      <w:ins w:id="159" w:author="JIN GAO" w:date="2021-07-29T17:05:15Z">
        <w:r>
          <w:rPr/>
          <w:t>The UL Reference Measurement channels are TS 36.521-1 [10] Annex A.2 and TS 38.521-1 [8] Annex A.2 for E-UTRA CG and NR CG respectively.</w:t>
        </w:r>
      </w:ins>
    </w:p>
    <w:p>
      <w:pPr>
        <w:pStyle w:val="75"/>
        <w:rPr>
          <w:ins w:id="160" w:author="JIN GAO" w:date="2021-07-29T17:05:15Z"/>
          <w:rFonts w:hint="default" w:eastAsia="宋体"/>
          <w:lang w:val="en-US" w:eastAsia="zh-CN"/>
        </w:rPr>
      </w:pPr>
      <w:ins w:id="161" w:author="JIN GAO" w:date="2021-07-29T17:05:15Z">
        <w:r>
          <w:rPr/>
          <w:t>5.</w:t>
        </w:r>
      </w:ins>
      <w:ins w:id="162" w:author="JIN GAO" w:date="2021-07-29T17:05:15Z">
        <w:r>
          <w:rPr/>
          <w:tab/>
        </w:r>
      </w:ins>
      <w:ins w:id="163" w:author="JIN GAO" w:date="2021-07-29T17:05:15Z">
        <w:r>
          <w:rPr/>
          <w:t>Propagation conditions are set according to TS 36.521-1 [10] Annex B.0 and TS 38.521-1 [8] Annex B.0 for E-UTRA CG and NR CG respectively.</w:t>
        </w:r>
      </w:ins>
      <w:ins w:id="164" w:author="JIN GAO" w:date="2021-07-29T18:29:05Z">
        <w:r>
          <w:rPr>
            <w:rFonts w:hint="eastAsia" w:eastAsia="宋体"/>
            <w:lang w:val="en-US" w:eastAsia="zh-CN"/>
          </w:rPr>
          <w:t>fv</w:t>
        </w:r>
      </w:ins>
    </w:p>
    <w:p>
      <w:pPr>
        <w:pStyle w:val="75"/>
        <w:rPr>
          <w:ins w:id="165" w:author="JIN GAO" w:date="2021-07-29T17:05:15Z"/>
        </w:rPr>
      </w:pPr>
      <w:ins w:id="166" w:author="JIN GAO" w:date="2021-07-29T17:05:15Z">
        <w:r>
          <w:rPr/>
          <w:t>6.</w:t>
        </w:r>
      </w:ins>
      <w:ins w:id="167" w:author="JIN GAO" w:date="2021-07-29T17:05:15Z">
        <w:r>
          <w:rPr/>
          <w:tab/>
        </w:r>
      </w:ins>
      <w:ins w:id="168" w:author="JIN GAO" w:date="2021-07-29T17:05:15Z">
        <w:r>
          <w:rPr/>
          <w:t xml:space="preserve">Ensure the UE is in state RRC_CONNECTED with generic procedure parameters Connectivity EN-DC, DC bearer </w:t>
        </w:r>
      </w:ins>
      <w:ins w:id="169" w:author="JIN GAO" w:date="2021-07-29T17:05:15Z">
        <w:r>
          <w:rPr>
            <w:i/>
          </w:rPr>
          <w:t>MCG</w:t>
        </w:r>
      </w:ins>
      <w:ins w:id="170" w:author="JIN GAO" w:date="2021-07-29T17:05:15Z">
        <w:r>
          <w:rPr/>
          <w:t xml:space="preserve"> and </w:t>
        </w:r>
      </w:ins>
      <w:ins w:id="171" w:author="JIN GAO" w:date="2021-07-29T17:05:15Z">
        <w:r>
          <w:rPr>
            <w:i/>
          </w:rPr>
          <w:t>SCG</w:t>
        </w:r>
      </w:ins>
      <w:ins w:id="172" w:author="JIN GAO" w:date="2021-07-29T17:05:15Z">
        <w:r>
          <w:rPr/>
          <w:t xml:space="preserve">, Connected without release </w:t>
        </w:r>
      </w:ins>
      <w:ins w:id="173" w:author="JIN GAO" w:date="2021-07-29T17:05:15Z">
        <w:r>
          <w:rPr>
            <w:i/>
          </w:rPr>
          <w:t>On</w:t>
        </w:r>
      </w:ins>
      <w:ins w:id="174" w:author="JIN GAO" w:date="2021-07-29T17:05:15Z">
        <w:r>
          <w:rPr/>
          <w:t xml:space="preserve"> according to TS 38.508-1 [6] clause 4.5. Message contents are defined in clause 6.2B.1.1.4.3.</w:t>
        </w:r>
      </w:ins>
    </w:p>
    <w:p>
      <w:pPr>
        <w:pStyle w:val="75"/>
        <w:rPr>
          <w:ins w:id="175" w:author="JIN GAO" w:date="2021-07-29T17:05:15Z"/>
        </w:rPr>
      </w:pPr>
      <w:ins w:id="176" w:author="JIN GAO" w:date="2021-07-29T17:05:15Z">
        <w:r>
          <w:rPr/>
          <w:t>7.</w:t>
        </w:r>
      </w:ins>
      <w:ins w:id="177" w:author="JIN GAO" w:date="2021-07-29T17:05:15Z">
        <w:r>
          <w:rPr/>
          <w:tab/>
        </w:r>
      </w:ins>
      <w:ins w:id="178" w:author="JIN GAO" w:date="2021-07-29T17:05:15Z">
        <w:r>
          <w:rPr/>
          <w:t xml:space="preserve">For the E-UTRA CC(s) where anchor agnostic apply according to NOTE 4 in </w:t>
        </w:r>
      </w:ins>
      <w:ins w:id="179" w:author="JIN GAO" w:date="2021-07-29T17:05:15Z">
        <w:r>
          <w:rPr>
            <w:lang w:eastAsia="ja-JP"/>
          </w:rPr>
          <w:t>Table 7.3B.2.3_1.2.4.1-1</w:t>
        </w:r>
      </w:ins>
      <w:ins w:id="180" w:author="JIN GAO" w:date="2021-07-29T17:05:15Z">
        <w:r>
          <w:rPr/>
          <w:t xml:space="preserve">, downlink signal level and uplink signal level are set according to Table 4.6-1 and propagation conditions are set according to Annex B, clause B.0 of TS 36.521-1 [10]. Disable periodic and aperiodic CQI reports, disable SRS, set </w:t>
        </w:r>
      </w:ins>
      <w:ins w:id="181" w:author="JIN GAO" w:date="2021-07-29T17:05:15Z">
        <w:r>
          <w:rPr>
            <w:i/>
            <w:iCs/>
          </w:rPr>
          <w:t>TimeAlignmentTimerDedicated</w:t>
        </w:r>
      </w:ins>
      <w:ins w:id="182" w:author="JIN GAO" w:date="2021-07-29T17:05:15Z">
        <w:r>
          <w:rPr/>
          <w:t xml:space="preserve"> IE to infinity and disable downlink and uplink scheduling, all as per Table 4.6-1 under clause 4.6.</w:t>
        </w:r>
      </w:ins>
    </w:p>
    <w:p>
      <w:pPr>
        <w:pStyle w:val="8"/>
        <w:rPr>
          <w:ins w:id="183" w:author="JIN GAO" w:date="2021-07-29T17:05:15Z"/>
        </w:rPr>
      </w:pPr>
      <w:ins w:id="184" w:author="JIN GAO" w:date="2021-07-29T17:05:15Z">
        <w:r>
          <w:rPr/>
          <w:t>7.8B.2.3_1.</w:t>
        </w:r>
      </w:ins>
      <w:ins w:id="185" w:author="JIN GAO" w:date="2021-07-29T17:21:46Z">
        <w:r>
          <w:rPr>
            <w:rFonts w:hint="eastAsia" w:eastAsia="宋体"/>
            <w:lang w:val="en-US" w:eastAsia="zh-CN"/>
          </w:rPr>
          <w:t>3</w:t>
        </w:r>
      </w:ins>
      <w:ins w:id="186" w:author="JIN GAO" w:date="2021-07-29T17:05:15Z">
        <w:r>
          <w:rPr/>
          <w:t>.4.2</w:t>
        </w:r>
      </w:ins>
      <w:ins w:id="187" w:author="JIN GAO" w:date="2021-07-29T17:05:15Z">
        <w:r>
          <w:rPr/>
          <w:tab/>
        </w:r>
      </w:ins>
      <w:ins w:id="188" w:author="JIN GAO" w:date="2021-07-29T17:05:15Z">
        <w:r>
          <w:rPr/>
          <w:t>Test procedure</w:t>
        </w:r>
      </w:ins>
    </w:p>
    <w:p>
      <w:pPr>
        <w:pStyle w:val="75"/>
        <w:rPr>
          <w:ins w:id="189" w:author="JIN GAO" w:date="2021-07-29T17:05:15Z"/>
        </w:rPr>
      </w:pPr>
      <w:ins w:id="190" w:author="JIN GAO" w:date="2021-07-29T17:05:15Z">
        <w:r>
          <w:rPr/>
          <w:t>1.</w:t>
        </w:r>
      </w:ins>
      <w:ins w:id="191" w:author="JIN GAO" w:date="2021-07-29T17:05:15Z">
        <w:r>
          <w:rPr/>
          <w:tab/>
        </w:r>
      </w:ins>
      <w:ins w:id="192" w:author="JIN GAO" w:date="2021-07-29T17:05:15Z">
        <w:r>
          <w:rPr/>
          <w:t>SS sends uplink scheduling information for each UL HARQ process via PDCCH DCI format 0 and DCI format 0_1 for C_RNTI to schedule the UL RMC according to table 7.8B.2.3_1.</w:t>
        </w:r>
      </w:ins>
      <w:ins w:id="193" w:author="JIN GAO" w:date="2021-07-29T17:17:15Z">
        <w:r>
          <w:rPr>
            <w:rFonts w:hint="eastAsia" w:eastAsia="宋体"/>
            <w:lang w:val="en-US" w:eastAsia="zh-CN"/>
          </w:rPr>
          <w:t>3</w:t>
        </w:r>
      </w:ins>
      <w:ins w:id="194" w:author="JIN GAO" w:date="2021-07-29T17:05:15Z">
        <w:r>
          <w:rPr/>
          <w:t>.4.2-1 on E-UTRA CC and NR CC respectively. Since the UL has no payload and no loopback data to send the UE sends uplink MAC padding bits on the UL RMC.</w:t>
        </w:r>
      </w:ins>
    </w:p>
    <w:p>
      <w:pPr>
        <w:pStyle w:val="75"/>
        <w:rPr>
          <w:ins w:id="195" w:author="JIN GAO" w:date="2021-07-29T17:05:15Z"/>
        </w:rPr>
      </w:pPr>
      <w:ins w:id="196" w:author="JIN GAO" w:date="2021-07-29T17:05:15Z">
        <w:r>
          <w:rPr/>
          <w:t>2.</w:t>
        </w:r>
      </w:ins>
      <w:ins w:id="197" w:author="JIN GAO" w:date="2021-07-29T17:05:15Z">
        <w:r>
          <w:rPr/>
          <w:tab/>
        </w:r>
      </w:ins>
      <w:ins w:id="198" w:author="JIN GAO" w:date="2021-07-29T17:05:15Z">
        <w:r>
          <w:rPr/>
          <w:t>Set the Downlink signal level to the value as defined in Table 7.8B.2.3_1.</w:t>
        </w:r>
      </w:ins>
      <w:ins w:id="199" w:author="JIN GAO" w:date="2021-07-29T17:17:24Z">
        <w:r>
          <w:rPr>
            <w:rFonts w:hint="eastAsia" w:eastAsia="宋体"/>
            <w:lang w:val="en-US" w:eastAsia="zh-CN"/>
          </w:rPr>
          <w:t>3</w:t>
        </w:r>
      </w:ins>
      <w:ins w:id="200" w:author="JIN GAO" w:date="2021-07-29T17:05:15Z">
        <w:r>
          <w:rPr/>
          <w:t>.4.2-1. For E-UTRA CC and NR CC where uplink is allocated according to Table 7.8B.2.3_1.</w:t>
        </w:r>
      </w:ins>
      <w:ins w:id="201" w:author="JIN GAO" w:date="2021-07-29T17:17:32Z">
        <w:r>
          <w:rPr>
            <w:rFonts w:hint="eastAsia" w:eastAsia="宋体"/>
            <w:lang w:val="en-US" w:eastAsia="zh-CN"/>
          </w:rPr>
          <w:t>3</w:t>
        </w:r>
      </w:ins>
      <w:ins w:id="202" w:author="JIN GAO" w:date="2021-07-29T17:05:15Z">
        <w:r>
          <w:rPr/>
          <w:t>.4.1-1, send uplink power control commands to the UE using 1dB power step size to ensure that the UE output power measured by the test system is within the Uplink power control window, defined as -MU to - (MU + Uplink power control window size) dB of the 4dB below PCMAX_L with PCMAX_L as defined in clause 6.2B.4 for at least the duration of the Throughput measurement.</w:t>
        </w:r>
      </w:ins>
    </w:p>
    <w:p>
      <w:pPr>
        <w:pStyle w:val="76"/>
        <w:rPr>
          <w:ins w:id="203" w:author="JIN GAO" w:date="2021-07-29T17:05:15Z"/>
        </w:rPr>
      </w:pPr>
      <w:ins w:id="204" w:author="JIN GAO" w:date="2021-07-29T17:05:15Z">
        <w:r>
          <w:rPr/>
          <w:t>-</w:t>
        </w:r>
      </w:ins>
      <w:ins w:id="205" w:author="JIN GAO" w:date="2021-07-29T17:05:15Z">
        <w:r>
          <w:rPr/>
          <w:tab/>
        </w:r>
      </w:ins>
      <w:ins w:id="206" w:author="JIN GAO" w:date="2021-07-29T17:05:15Z">
        <w:r>
          <w:rPr/>
          <w:t>MU is the test system uplink power measurement uncertainty and is specified in Table F.1.3-1 for the carrier frequency f and the channel bandwidth BW.</w:t>
        </w:r>
      </w:ins>
    </w:p>
    <w:p>
      <w:pPr>
        <w:pStyle w:val="76"/>
        <w:rPr>
          <w:ins w:id="207" w:author="JIN GAO" w:date="2021-07-29T17:05:15Z"/>
        </w:rPr>
      </w:pPr>
      <w:ins w:id="208" w:author="JIN GAO" w:date="2021-07-29T17:05:15Z">
        <w:r>
          <w:rPr/>
          <w:t>-</w:t>
        </w:r>
      </w:ins>
      <w:ins w:id="209" w:author="JIN GAO" w:date="2021-07-29T17:05:15Z">
        <w:r>
          <w:rPr/>
          <w:tab/>
        </w:r>
      </w:ins>
      <w:ins w:id="210" w:author="JIN GAO" w:date="2021-07-29T17:05:15Z">
        <w:r>
          <w:rPr/>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ins>
    </w:p>
    <w:p>
      <w:pPr>
        <w:pStyle w:val="76"/>
        <w:rPr>
          <w:ins w:id="211" w:author="JIN GAO" w:date="2021-07-29T17:05:15Z"/>
        </w:rPr>
      </w:pPr>
      <w:ins w:id="212" w:author="JIN GAO" w:date="2021-07-29T17:05:15Z">
        <w:r>
          <w:rPr/>
          <w:t>-</w:t>
        </w:r>
      </w:ins>
      <w:ins w:id="213" w:author="JIN GAO" w:date="2021-07-29T17:05:15Z">
        <w:r>
          <w:rPr/>
          <w:tab/>
        </w:r>
      </w:ins>
      <w:ins w:id="214" w:author="JIN GAO" w:date="2021-07-29T17:05:15Z">
        <w:r>
          <w:rPr/>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ins>
    </w:p>
    <w:p>
      <w:pPr>
        <w:pStyle w:val="56"/>
        <w:rPr>
          <w:ins w:id="215" w:author="JIN GAO" w:date="2021-07-29T17:05:15Z"/>
        </w:rPr>
      </w:pPr>
      <w:ins w:id="216" w:author="JIN GAO" w:date="2021-07-29T17:05:15Z">
        <w:r>
          <w:rPr/>
          <w:t>NOTE:</w:t>
        </w:r>
      </w:ins>
      <w:ins w:id="217" w:author="JIN GAO" w:date="2021-07-29T17:05:15Z">
        <w:r>
          <w:rPr/>
          <w:tab/>
        </w:r>
      </w:ins>
      <w:ins w:id="218" w:author="JIN GAO" w:date="2021-07-29T17:05:15Z">
        <w:r>
          <w:rPr/>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ins>
    </w:p>
    <w:p>
      <w:pPr>
        <w:pStyle w:val="75"/>
        <w:rPr>
          <w:ins w:id="219" w:author="JIN GAO" w:date="2021-07-29T17:05:15Z"/>
        </w:rPr>
      </w:pPr>
      <w:ins w:id="220" w:author="JIN GAO" w:date="2021-07-29T17:05:15Z">
        <w:r>
          <w:rPr/>
          <w:t>3.</w:t>
        </w:r>
      </w:ins>
      <w:ins w:id="221" w:author="JIN GAO" w:date="2021-07-29T17:05:15Z">
        <w:r>
          <w:rPr/>
          <w:tab/>
        </w:r>
      </w:ins>
      <w:ins w:id="222" w:author="JIN GAO" w:date="2021-07-29T17:05:15Z">
        <w:r>
          <w:rPr/>
          <w:t xml:space="preserve">Set the Interfering signal levels to the values as defined in </w:t>
        </w:r>
        <w:bookmarkStart w:id="2" w:name="_GoBack"/>
        <w:bookmarkEnd w:id="2"/>
        <w:r>
          <w:rPr/>
          <w:t>Table 7.8B.2.3_1.</w:t>
        </w:r>
      </w:ins>
      <w:ins w:id="223" w:author="JIN GAO" w:date="2021-07-29T17:17:57Z">
        <w:r>
          <w:rPr>
            <w:rFonts w:hint="eastAsia" w:eastAsia="宋体"/>
            <w:lang w:val="en-US" w:eastAsia="zh-CN"/>
          </w:rPr>
          <w:t>3</w:t>
        </w:r>
      </w:ins>
      <w:ins w:id="224" w:author="JIN GAO" w:date="2021-07-29T17:05:15Z">
        <w:r>
          <w:rPr/>
          <w:t>.4.2-1 and frequency below the wanted signal.</w:t>
        </w:r>
      </w:ins>
    </w:p>
    <w:p>
      <w:pPr>
        <w:pStyle w:val="75"/>
        <w:rPr>
          <w:ins w:id="225" w:author="JIN GAO" w:date="2021-07-29T17:05:15Z"/>
        </w:rPr>
      </w:pPr>
      <w:ins w:id="226" w:author="JIN GAO" w:date="2021-07-29T17:05:15Z">
        <w:r>
          <w:rPr/>
          <w:t>4.</w:t>
        </w:r>
      </w:ins>
      <w:ins w:id="227" w:author="JIN GAO" w:date="2021-07-29T17:05:15Z">
        <w:r>
          <w:rPr/>
          <w:tab/>
        </w:r>
      </w:ins>
      <w:ins w:id="228" w:author="JIN GAO" w:date="2021-07-29T17:05:15Z">
        <w:r>
          <w:rPr/>
          <w:t>Measure the average throughput for a duration sufficient to achieve statistical significance according to Annex G, clause G.2.</w:t>
        </w:r>
      </w:ins>
    </w:p>
    <w:p>
      <w:pPr>
        <w:pStyle w:val="75"/>
        <w:rPr>
          <w:ins w:id="229" w:author="JIN GAO" w:date="2021-07-29T17:05:15Z"/>
        </w:rPr>
      </w:pPr>
      <w:ins w:id="230" w:author="JIN GAO" w:date="2021-07-29T17:05:15Z">
        <w:r>
          <w:rPr/>
          <w:t>5.</w:t>
        </w:r>
      </w:ins>
      <w:ins w:id="231" w:author="JIN GAO" w:date="2021-07-29T17:05:15Z">
        <w:r>
          <w:rPr/>
          <w:tab/>
        </w:r>
      </w:ins>
      <w:ins w:id="232" w:author="JIN GAO" w:date="2021-07-29T17:05:15Z">
        <w:r>
          <w:rPr/>
          <w:t>Repeat steps from 2 to 4, using an interfering signal above the wanted signal at step 3.</w:t>
        </w:r>
      </w:ins>
    </w:p>
    <w:p>
      <w:pPr>
        <w:pStyle w:val="75"/>
        <w:rPr>
          <w:ins w:id="233" w:author="JIN GAO" w:date="2021-07-29T17:05:15Z"/>
        </w:rPr>
      </w:pPr>
      <w:ins w:id="234" w:author="JIN GAO" w:date="2021-07-29T17:05:15Z">
        <w:r>
          <w:rPr/>
          <w:t>6.</w:t>
        </w:r>
      </w:ins>
      <w:ins w:id="235" w:author="JIN GAO" w:date="2021-07-29T17:05:15Z">
        <w:r>
          <w:rPr/>
          <w:tab/>
        </w:r>
      </w:ins>
      <w:ins w:id="236" w:author="JIN GAO" w:date="2021-07-29T17:05:15Z">
        <w:r>
          <w:rPr/>
          <w:t>Repeat steps 2 to 5 for component carriers listed in Table 7.8B.2.3_1.</w:t>
        </w:r>
      </w:ins>
      <w:ins w:id="237" w:author="JIN GAO" w:date="2021-07-29T17:18:36Z">
        <w:r>
          <w:rPr>
            <w:rFonts w:hint="eastAsia" w:eastAsia="宋体"/>
            <w:lang w:val="en-US" w:eastAsia="zh-CN"/>
          </w:rPr>
          <w:t>3</w:t>
        </w:r>
      </w:ins>
      <w:ins w:id="238" w:author="JIN GAO" w:date="2021-07-29T17:05:15Z">
        <w:r>
          <w:rPr/>
          <w:t>.4.2-1.</w:t>
        </w:r>
      </w:ins>
    </w:p>
    <w:p>
      <w:pPr>
        <w:pStyle w:val="55"/>
        <w:rPr>
          <w:ins w:id="239" w:author="JIN GAO" w:date="2021-07-29T17:05:15Z"/>
        </w:rPr>
      </w:pPr>
      <w:ins w:id="240" w:author="JIN GAO" w:date="2021-07-29T17:05:15Z">
        <w:r>
          <w:rPr/>
          <w:t>Table 7.8B.2.3_1.</w:t>
        </w:r>
      </w:ins>
      <w:ins w:id="241" w:author="JIN GAO" w:date="2021-07-29T17:18:20Z">
        <w:r>
          <w:rPr>
            <w:rFonts w:hint="eastAsia" w:eastAsia="宋体"/>
            <w:lang w:val="en-US" w:eastAsia="zh-CN"/>
          </w:rPr>
          <w:t>3</w:t>
        </w:r>
      </w:ins>
      <w:ins w:id="242" w:author="JIN GAO" w:date="2021-07-29T17:05:15Z">
        <w:r>
          <w:rPr/>
          <w:t>.4.2-1: Test repetition and measurement configuration</w:t>
        </w:r>
      </w:ins>
    </w:p>
    <w:p>
      <w:pPr>
        <w:rPr>
          <w:ins w:id="243" w:author="JIN GAO" w:date="2021-07-29T17:05:15Z"/>
          <w:rFonts w:hint="default" w:eastAsia="宋体"/>
          <w:lang w:val="en-US" w:eastAsia="zh-CN"/>
        </w:rPr>
      </w:pPr>
      <w:ins w:id="244" w:author="JIN GAO" w:date="2021-07-29T17:21:20Z">
        <w:r>
          <w:rPr>
            <w:rFonts w:hint="eastAsia" w:eastAsia="宋体"/>
            <w:lang w:val="en-US" w:eastAsia="zh-CN"/>
          </w:rPr>
          <w:t>FFS</w:t>
        </w:r>
      </w:ins>
    </w:p>
    <w:p>
      <w:pPr>
        <w:pStyle w:val="8"/>
        <w:rPr>
          <w:ins w:id="245" w:author="JIN GAO" w:date="2021-07-29T17:05:15Z"/>
        </w:rPr>
      </w:pPr>
      <w:ins w:id="246" w:author="JIN GAO" w:date="2021-07-29T17:05:15Z">
        <w:r>
          <w:rPr/>
          <w:t>7.8B.2.3_1.</w:t>
        </w:r>
      </w:ins>
      <w:ins w:id="247" w:author="JIN GAO" w:date="2021-07-29T17:21:33Z">
        <w:r>
          <w:rPr>
            <w:rFonts w:hint="eastAsia" w:eastAsia="宋体"/>
            <w:lang w:val="en-US" w:eastAsia="zh-CN"/>
          </w:rPr>
          <w:t>3</w:t>
        </w:r>
      </w:ins>
      <w:ins w:id="248" w:author="JIN GAO" w:date="2021-07-29T17:05:15Z">
        <w:r>
          <w:rPr/>
          <w:t>.4.3</w:t>
        </w:r>
      </w:ins>
      <w:ins w:id="249" w:author="JIN GAO" w:date="2021-07-29T17:05:15Z">
        <w:r>
          <w:rPr/>
          <w:tab/>
        </w:r>
      </w:ins>
      <w:ins w:id="250" w:author="JIN GAO" w:date="2021-07-29T17:05:15Z">
        <w:r>
          <w:rPr/>
          <w:t>Message contents</w:t>
        </w:r>
      </w:ins>
    </w:p>
    <w:p>
      <w:pPr>
        <w:rPr>
          <w:ins w:id="251" w:author="JIN GAO" w:date="2021-07-29T17:05:15Z"/>
        </w:rPr>
      </w:pPr>
      <w:ins w:id="252" w:author="JIN GAO" w:date="2021-07-29T17:05:15Z">
        <w:r>
          <w:rPr/>
          <w:t>Message contents are according to TS 38.508-1 [5] clause 4.6 with DFT-s-OFDM condition in Table 4.6.3-118 PUSCH-Config.</w:t>
        </w:r>
      </w:ins>
    </w:p>
    <w:p>
      <w:pPr>
        <w:pStyle w:val="8"/>
        <w:rPr>
          <w:ins w:id="253" w:author="JIN GAO" w:date="2021-07-29T17:05:15Z"/>
        </w:rPr>
      </w:pPr>
      <w:ins w:id="254" w:author="JIN GAO" w:date="2021-07-29T17:05:15Z">
        <w:r>
          <w:rPr/>
          <w:t>7.8B.2.3_1.</w:t>
        </w:r>
      </w:ins>
      <w:ins w:id="255" w:author="JIN GAO" w:date="2021-07-29T17:21:57Z">
        <w:r>
          <w:rPr>
            <w:rFonts w:hint="eastAsia" w:eastAsia="宋体"/>
            <w:lang w:val="en-US" w:eastAsia="zh-CN"/>
          </w:rPr>
          <w:t>3</w:t>
        </w:r>
      </w:ins>
      <w:ins w:id="256" w:author="JIN GAO" w:date="2021-07-29T17:05:15Z">
        <w:r>
          <w:rPr/>
          <w:t>.5</w:t>
        </w:r>
      </w:ins>
      <w:ins w:id="257" w:author="JIN GAO" w:date="2021-07-29T17:05:15Z">
        <w:r>
          <w:rPr/>
          <w:tab/>
        </w:r>
      </w:ins>
      <w:ins w:id="258" w:author="JIN GAO" w:date="2021-07-29T17:05:15Z">
        <w:r>
          <w:rPr/>
          <w:t>Test Requirement</w:t>
        </w:r>
      </w:ins>
    </w:p>
    <w:p>
      <w:ins w:id="259" w:author="JIN GAO" w:date="2021-07-29T17:05:15Z">
        <w:r>
          <w:rPr/>
          <w:t>The throughput shall be ≥ 95% of the maximum throughput of the reference measurement channels as specified in Annex A, clause A.3.2 with parameters specified in Table 7.8B.2.3_1.</w:t>
        </w:r>
      </w:ins>
      <w:ins w:id="260" w:author="JIN GAO" w:date="2021-07-29T17:22:04Z">
        <w:r>
          <w:rPr>
            <w:rFonts w:hint="eastAsia" w:eastAsia="宋体"/>
            <w:lang w:val="en-US" w:eastAsia="zh-CN"/>
          </w:rPr>
          <w:t>3</w:t>
        </w:r>
      </w:ins>
      <w:ins w:id="261" w:author="JIN GAO" w:date="2021-07-29T17:05:15Z">
        <w:r>
          <w:rPr/>
          <w:t>.4.2-1 for the specified wanted signal mean power in the presence of two interfering signals.</w:t>
        </w:r>
      </w:ins>
    </w:p>
    <w:p>
      <w:pPr>
        <w:pStyle w:val="4"/>
        <w:rPr>
          <w:color w:val="FF0000"/>
        </w:rPr>
      </w:pPr>
      <w:r>
        <w:rPr>
          <w:color w:val="FF0000"/>
        </w:rPr>
        <w:t>&lt;Unchanged Text Skipped&gt;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2"/>
    <w:family w:val="modern"/>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B8B0C0E"/>
    <w:rsid w:val="0BEF0BF4"/>
    <w:rsid w:val="11901341"/>
    <w:rsid w:val="200A1C81"/>
    <w:rsid w:val="200F0BFB"/>
    <w:rsid w:val="224076ED"/>
    <w:rsid w:val="24060F76"/>
    <w:rsid w:val="34751937"/>
    <w:rsid w:val="41924CDA"/>
    <w:rsid w:val="42FA4B52"/>
    <w:rsid w:val="43C74D63"/>
    <w:rsid w:val="455B0A82"/>
    <w:rsid w:val="4888404B"/>
    <w:rsid w:val="4C9E1AC6"/>
    <w:rsid w:val="526C61FE"/>
    <w:rsid w:val="5E384951"/>
    <w:rsid w:val="61B839B2"/>
    <w:rsid w:val="61F6389D"/>
    <w:rsid w:val="65631DC0"/>
    <w:rsid w:val="69475565"/>
    <w:rsid w:val="6C105694"/>
    <w:rsid w:val="709F5808"/>
    <w:rsid w:val="759077B0"/>
    <w:rsid w:val="7723603E"/>
    <w:rsid w:val="79622CD1"/>
    <w:rsid w:val="7C1267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3</TotalTime>
  <ScaleCrop>false</ScaleCrop>
  <LinksUpToDate>false</LinksUpToDate>
  <CharactersWithSpaces>2376</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2021-07-29T10:31:04Z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R5-214384</vt:lpwstr>
  </property>
  <property fmtid="{D5CDD505-2E9C-101B-9397-08002B2CF9AE}" pid="10" name="Spec#">
    <vt:lpwstr>38.521-3</vt:lpwstr>
  </property>
  <property fmtid="{D5CDD505-2E9C-101B-9397-08002B2CF9AE}" pid="11" name="Cr#">
    <vt:lpwstr>1070</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clause 7 for R17 DC RX characteristics in TS 38.521-3</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2021-07-29</vt:lpwstr>
  </property>
  <property fmtid="{D5CDD505-2E9C-101B-9397-08002B2CF9AE}" pid="20" name="Release">
    <vt:lpwstr>Rel-17</vt:lpwstr>
  </property>
  <property fmtid="{D5CDD505-2E9C-101B-9397-08002B2CF9AE}" pid="21" name="KSOProductBuildVer">
    <vt:lpwstr>2052-11.1.0.10228</vt:lpwstr>
  </property>
</Properties>
</file>