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78FAED26"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090668">
        <w:rPr>
          <w:rFonts w:ascii="Arial" w:hAnsi="Arial" w:cs="Arial"/>
          <w:b/>
          <w:bCs/>
          <w:sz w:val="28"/>
          <w:szCs w:val="28"/>
          <w:lang w:val="en-GB"/>
        </w:rPr>
        <w:t>1275</w:t>
      </w:r>
    </w:p>
    <w:p w14:paraId="258131DC" w14:textId="77777777" w:rsidR="005560D9" w:rsidRDefault="005560D9" w:rsidP="005560D9">
      <w:pPr>
        <w:pStyle w:val="CRCoverPage"/>
        <w:rPr>
          <w:b/>
          <w:bCs/>
          <w:sz w:val="24"/>
          <w:szCs w:val="24"/>
        </w:rPr>
      </w:pPr>
      <w:r>
        <w:rPr>
          <w:b/>
          <w:bCs/>
          <w:sz w:val="24"/>
          <w:szCs w:val="24"/>
        </w:rPr>
        <w:t xml:space="preserve">Electronic Meeting, </w:t>
      </w:r>
      <w:r w:rsidR="0027603E">
        <w:rPr>
          <w:b/>
          <w:bCs/>
          <w:sz w:val="24"/>
          <w:szCs w:val="24"/>
        </w:rPr>
        <w:t>22</w:t>
      </w:r>
      <w:r w:rsidR="0027603E" w:rsidRPr="0027603E">
        <w:rPr>
          <w:b/>
          <w:bCs/>
          <w:sz w:val="24"/>
          <w:szCs w:val="24"/>
          <w:vertAlign w:val="superscript"/>
        </w:rPr>
        <w:t>nd</w:t>
      </w:r>
      <w:r w:rsidR="0027603E">
        <w:rPr>
          <w:b/>
          <w:bCs/>
          <w:sz w:val="24"/>
          <w:szCs w:val="24"/>
        </w:rPr>
        <w:t xml:space="preserve"> February – 5</w:t>
      </w:r>
      <w:r w:rsidR="0027603E" w:rsidRPr="0027603E">
        <w:rPr>
          <w:b/>
          <w:bCs/>
          <w:sz w:val="24"/>
          <w:szCs w:val="24"/>
          <w:vertAlign w:val="superscript"/>
        </w:rPr>
        <w:t>th</w:t>
      </w:r>
      <w:r w:rsidR="0027603E">
        <w:rPr>
          <w:b/>
          <w:bCs/>
          <w:sz w:val="24"/>
          <w:szCs w:val="24"/>
        </w:rPr>
        <w:t xml:space="preserve"> March</w:t>
      </w:r>
    </w:p>
    <w:p w14:paraId="68628F53" w14:textId="77777777"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00325BD7" w:rsidRPr="00325BD7">
        <w:rPr>
          <w:rFonts w:ascii="Arial" w:hAnsi="Arial"/>
        </w:rPr>
        <w:t>Measurement uncertainties for PC1 devices</w:t>
      </w:r>
    </w:p>
    <w:p w14:paraId="28214B28"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Pr>
          <w:rFonts w:ascii="Arial" w:eastAsia="MS Mincho" w:hAnsi="Arial"/>
          <w:lang w:val="pt-BR"/>
        </w:rPr>
        <w:t>5.3.2.17</w:t>
      </w:r>
    </w:p>
    <w:p w14:paraId="437323A4"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Document for:</w:t>
      </w:r>
      <w:r>
        <w:rPr>
          <w:rFonts w:ascii="Arial" w:hAnsi="Arial"/>
          <w:lang w:val="pt-BR"/>
        </w:rPr>
        <w:tab/>
      </w:r>
      <w:r>
        <w:rPr>
          <w:rFonts w:ascii="Arial" w:eastAsia="Times New Roman" w:hAnsi="Arial"/>
          <w:lang w:val="pt-BR"/>
        </w:rPr>
        <w:t>E</w:t>
      </w:r>
      <w:r>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3A3CCE9" w14:textId="77777777" w:rsidR="00520F67" w:rsidRDefault="00FB3C53" w:rsidP="00BD439C">
      <w:pPr>
        <w:spacing w:before="120" w:after="120"/>
        <w:rPr>
          <w:rFonts w:eastAsia="MS Mincho"/>
          <w:lang w:val="en-GB"/>
        </w:rPr>
      </w:pPr>
      <w:r>
        <w:rPr>
          <w:rFonts w:eastAsia="MS Mincho"/>
          <w:lang w:val="en-GB"/>
        </w:rPr>
        <w:t xml:space="preserve">PC1 measurement uncertainties remain undefined </w:t>
      </w:r>
      <w:r w:rsidR="00520F67">
        <w:rPr>
          <w:rFonts w:eastAsia="MS Mincho"/>
          <w:lang w:val="en-GB"/>
        </w:rPr>
        <w:t>in 38.903 ([1]).</w:t>
      </w:r>
    </w:p>
    <w:p w14:paraId="263058B9" w14:textId="6D7196F5" w:rsidR="00520F67" w:rsidRDefault="00520F67" w:rsidP="00BD439C">
      <w:pPr>
        <w:spacing w:before="120" w:after="120"/>
        <w:rPr>
          <w:rFonts w:eastAsia="MS Mincho"/>
          <w:lang w:val="en-GB"/>
        </w:rPr>
      </w:pPr>
      <w:r>
        <w:rPr>
          <w:rFonts w:eastAsia="MS Mincho"/>
          <w:lang w:val="en-GB"/>
        </w:rPr>
        <w:t>In case of PC3 devices</w:t>
      </w:r>
      <w:r w:rsidR="00AC454D">
        <w:rPr>
          <w:rFonts w:eastAsia="MS Mincho"/>
          <w:lang w:val="en-GB"/>
        </w:rPr>
        <w:t xml:space="preserve">, </w:t>
      </w:r>
      <w:r>
        <w:rPr>
          <w:rFonts w:eastAsia="MS Mincho"/>
          <w:lang w:val="en-GB"/>
        </w:rPr>
        <w:t>TE vendors</w:t>
      </w:r>
      <w:r w:rsidR="00E40C1C">
        <w:rPr>
          <w:rFonts w:eastAsia="MS Mincho"/>
          <w:lang w:val="en-GB"/>
        </w:rPr>
        <w:t xml:space="preserve"> have been providing </w:t>
      </w:r>
      <w:r w:rsidR="00AC454D">
        <w:rPr>
          <w:rFonts w:eastAsia="MS Mincho"/>
          <w:lang w:val="en-GB"/>
        </w:rPr>
        <w:t xml:space="preserve">noise impact </w:t>
      </w:r>
      <w:r w:rsidR="00E40C1C">
        <w:rPr>
          <w:rFonts w:eastAsia="MS Mincho"/>
          <w:lang w:val="en-GB"/>
        </w:rPr>
        <w:t xml:space="preserve">analysis </w:t>
      </w:r>
      <w:r w:rsidR="00AC454D">
        <w:rPr>
          <w:rFonts w:eastAsia="MS Mincho"/>
          <w:lang w:val="en-GB"/>
        </w:rPr>
        <w:t xml:space="preserve">for each measurement based on current test system implementations </w:t>
      </w:r>
      <w:r w:rsidR="00E40C1C">
        <w:rPr>
          <w:rFonts w:eastAsia="MS Mincho"/>
          <w:lang w:val="en-GB"/>
        </w:rPr>
        <w:t xml:space="preserve">so testability as well as measurement uncertainties could be </w:t>
      </w:r>
      <w:r w:rsidR="0048381C">
        <w:rPr>
          <w:rFonts w:eastAsia="MS Mincho"/>
          <w:lang w:val="en-GB"/>
        </w:rPr>
        <w:t>analysed</w:t>
      </w:r>
      <w:r w:rsidR="00E40C1C">
        <w:rPr>
          <w:rFonts w:eastAsia="MS Mincho"/>
          <w:lang w:val="en-GB"/>
        </w:rPr>
        <w:t>. Additionally, t</w:t>
      </w:r>
      <w:r w:rsidR="00AC454D">
        <w:rPr>
          <w:rFonts w:eastAsia="MS Mincho"/>
          <w:lang w:val="en-GB"/>
        </w:rPr>
        <w:t xml:space="preserve">o understand the noise impact in EIRP spherical coverage measurements, some CDF assumptions were requested to device/chipset vendors. </w:t>
      </w:r>
    </w:p>
    <w:p w14:paraId="0F5C99DE" w14:textId="6C963016" w:rsidR="00520F67" w:rsidRDefault="00AC454D" w:rsidP="00AC454D">
      <w:pPr>
        <w:spacing w:before="120" w:after="120"/>
        <w:rPr>
          <w:rFonts w:eastAsia="Batang"/>
          <w:sz w:val="20"/>
          <w:szCs w:val="20"/>
        </w:rPr>
      </w:pPr>
      <w:r>
        <w:rPr>
          <w:rFonts w:eastAsia="MS Mincho"/>
          <w:lang w:val="en-GB"/>
        </w:rPr>
        <w:t xml:space="preserve">This document provides </w:t>
      </w:r>
      <w:r w:rsidR="00E40C1C">
        <w:rPr>
          <w:rFonts w:eastAsia="MS Mincho"/>
          <w:lang w:val="en-GB"/>
        </w:rPr>
        <w:t>initial</w:t>
      </w:r>
      <w:r>
        <w:rPr>
          <w:rFonts w:eastAsia="MS Mincho"/>
          <w:lang w:val="en-GB"/>
        </w:rPr>
        <w:t xml:space="preserve"> insights on these topics for PC1 devices , using inputs to </w:t>
      </w:r>
      <w:r w:rsidR="00520F67">
        <w:rPr>
          <w:rFonts w:eastAsia="MS Mincho"/>
          <w:lang w:val="en-GB"/>
        </w:rPr>
        <w:t>RAN5#89-e</w:t>
      </w:r>
      <w:r>
        <w:rPr>
          <w:rFonts w:eastAsia="MS Mincho"/>
          <w:lang w:val="en-GB"/>
        </w:rPr>
        <w:t xml:space="preserve"> from </w:t>
      </w:r>
      <w:r w:rsidR="00520F67">
        <w:rPr>
          <w:rFonts w:eastAsia="MS Mincho"/>
          <w:lang w:val="en-GB"/>
        </w:rPr>
        <w:t xml:space="preserve">Qualcomm </w:t>
      </w:r>
      <w:r>
        <w:rPr>
          <w:rFonts w:eastAsia="Batang"/>
        </w:rPr>
        <w:t>on</w:t>
      </w:r>
      <w:r w:rsidR="00520F67">
        <w:rPr>
          <w:rFonts w:eastAsia="Batang"/>
        </w:rPr>
        <w:t xml:space="preserve"> </w:t>
      </w:r>
      <w:r w:rsidR="00520F67">
        <w:rPr>
          <w:rFonts w:eastAsia="Batang"/>
        </w:rPr>
        <w:t xml:space="preserve">assumptions for PC1 CDF curve for MOP </w:t>
      </w:r>
      <w:r w:rsidR="00520F67">
        <w:rPr>
          <w:rFonts w:eastAsia="Batang"/>
        </w:rPr>
        <w:t>E</w:t>
      </w:r>
      <w:r w:rsidR="00520F67">
        <w:rPr>
          <w:rFonts w:eastAsia="Batang"/>
        </w:rPr>
        <w:t>IRP Spherical Coverage</w:t>
      </w:r>
      <w:r w:rsidR="00520F67">
        <w:rPr>
          <w:rFonts w:eastAsia="Batang"/>
        </w:rPr>
        <w:t xml:space="preserve"> ([2])</w:t>
      </w:r>
      <w:r w:rsidR="00520F67">
        <w:rPr>
          <w:rFonts w:eastAsia="Batang"/>
        </w:rPr>
        <w:t>, as a response to AP coming out of RAN5-87e, R5-202845, Proposal 9.</w:t>
      </w:r>
    </w:p>
    <w:p w14:paraId="7E0F3AB4" w14:textId="76417C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0A2374">
        <w:rPr>
          <w:b/>
          <w:noProof w:val="0"/>
        </w:rPr>
        <w:t>Noise impact</w:t>
      </w:r>
      <w:r w:rsidR="0048381C">
        <w:rPr>
          <w:b/>
          <w:noProof w:val="0"/>
        </w:rPr>
        <w:t xml:space="preserve"> simulations</w:t>
      </w:r>
      <w:r w:rsidR="000A2374">
        <w:rPr>
          <w:b/>
          <w:noProof w:val="0"/>
        </w:rPr>
        <w:t xml:space="preserve"> for </w:t>
      </w:r>
      <w:r w:rsidR="00E40C1C">
        <w:rPr>
          <w:b/>
          <w:noProof w:val="0"/>
        </w:rPr>
        <w:t>EIRP spherical coverage</w:t>
      </w:r>
    </w:p>
    <w:p w14:paraId="1FF9E8F8" w14:textId="77777777" w:rsidR="00E40C1C" w:rsidRDefault="00E40C1C" w:rsidP="00ED08C5">
      <w:pPr>
        <w:spacing w:before="120" w:after="120"/>
        <w:rPr>
          <w:rFonts w:eastAsia="MS Mincho"/>
          <w:lang w:val="en-GB"/>
        </w:rPr>
      </w:pPr>
      <w:r>
        <w:rPr>
          <w:rFonts w:eastAsia="MS Mincho"/>
          <w:lang w:val="en-GB"/>
        </w:rPr>
        <w:t>Similar simulations to the ones shown in [4] for PC3 devices have been run using sample CDF curve provided by Qualcomm in [2].</w:t>
      </w:r>
    </w:p>
    <w:p w14:paraId="5F555290" w14:textId="07508930" w:rsidR="00F92069" w:rsidRDefault="00F92069" w:rsidP="00F92069">
      <w:r>
        <w:t>S</w:t>
      </w:r>
      <w:r>
        <w:t xml:space="preserve">imulations have been run for different noise values to check how noise affects the final </w:t>
      </w:r>
      <w:r>
        <w:t>85</w:t>
      </w:r>
      <w:r>
        <w:t>%-</w:t>
      </w:r>
      <w:proofErr w:type="spellStart"/>
      <w:r>
        <w:t>ile</w:t>
      </w:r>
      <w:proofErr w:type="spellEnd"/>
      <w:r>
        <w:t xml:space="preserve"> for a power class </w:t>
      </w:r>
      <w:r>
        <w:t>1</w:t>
      </w:r>
      <w:r>
        <w:t xml:space="preserve"> UE. Noise levels are defined by SNR to theoretical </w:t>
      </w:r>
      <w:r>
        <w:t>85</w:t>
      </w:r>
      <w:r>
        <w:t>%-</w:t>
      </w:r>
      <w:proofErr w:type="spellStart"/>
      <w:r>
        <w:t>ile</w:t>
      </w:r>
      <w:proofErr w:type="spellEnd"/>
      <w:r>
        <w:t xml:space="preserve"> limit.</w:t>
      </w:r>
    </w:p>
    <w:p w14:paraId="37ABB5E7" w14:textId="742E3723" w:rsidR="00F92069" w:rsidRDefault="00F92069" w:rsidP="00F92069">
      <w:r>
        <w:t>The results of such simulations also include the comparison to the approach proposed in [5] to quantify the impact of noise in EIRP spherical coverage measurements slightly modified for PC1 devices:</w:t>
      </w:r>
    </w:p>
    <w:tbl>
      <w:tblPr>
        <w:tblStyle w:val="TableGrid"/>
        <w:tblW w:w="0" w:type="auto"/>
        <w:tblLook w:val="04A0" w:firstRow="1" w:lastRow="0" w:firstColumn="1" w:lastColumn="0" w:noHBand="0" w:noVBand="1"/>
      </w:tblPr>
      <w:tblGrid>
        <w:gridCol w:w="9576"/>
      </w:tblGrid>
      <w:tr w:rsidR="00F92069" w14:paraId="33AF9BEA" w14:textId="77777777" w:rsidTr="00F92069">
        <w:tc>
          <w:tcPr>
            <w:tcW w:w="9576" w:type="dxa"/>
          </w:tcPr>
          <w:p w14:paraId="4B37B88B" w14:textId="2497F211" w:rsidR="00F92069" w:rsidRPr="00F92069" w:rsidRDefault="00F92069" w:rsidP="00F92069">
            <w:pPr>
              <w:spacing w:before="120" w:after="120"/>
              <w:rPr>
                <w:rFonts w:eastAsia="Times New Roman"/>
                <w:b/>
                <w:i/>
                <w:sz w:val="20"/>
                <w:szCs w:val="20"/>
              </w:rPr>
            </w:pPr>
            <w:r w:rsidRPr="00F92069">
              <w:rPr>
                <w:rFonts w:eastAsia="Times New Roman"/>
                <w:b/>
                <w:i/>
              </w:rPr>
              <w:t xml:space="preserve">Proposal 1 : Define the spherical coverage MU as (single point) EIRP MU with </w:t>
            </w:r>
            <w:r w:rsidRPr="00F92069">
              <w:rPr>
                <w:b/>
              </w:rPr>
              <w:fldChar w:fldCharType="begin"/>
            </w:r>
            <w:r w:rsidRPr="00F92069">
              <w:rPr>
                <w:b/>
              </w:rPr>
              <w:instrText xml:space="preserve"> QUOTE </w:instrText>
            </w:r>
            <w:r w:rsidRPr="00F92069">
              <w:rPr>
                <w:position w:val="-9"/>
              </w:rPr>
              <w:pict w14:anchorId="72FD3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3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B7AE3&quot;/&gt;&lt;wsp:rsid wsp:val=&quot;0000251C&quot;/&gt;&lt;wsp:rsid wsp:val=&quot;00010A98&quot;/&gt;&lt;wsp:rsid wsp:val=&quot;0002236E&quot;/&gt;&lt;wsp:rsid wsp:val=&quot;00024262&quot;/&gt;&lt;wsp:rsid wsp:val=&quot;00026425&quot;/&gt;&lt;wsp:rsid wsp:val=&quot;00030DD5&quot;/&gt;&lt;wsp:rsid wsp:val=&quot;00032FC4&quot;/&gt;&lt;wsp:rsid wsp:val=&quot;00035D73&quot;/&gt;&lt;wsp:rsid wsp:val=&quot;00037A7F&quot;/&gt;&lt;wsp:rsid wsp:val=&quot;00063BA2&quot;/&gt;&lt;wsp:rsid wsp:val=&quot;00063BB5&quot;/&gt;&lt;wsp:rsid wsp:val=&quot;0006475B&quot;/&gt;&lt;wsp:rsid wsp:val=&quot;00070BB5&quot;/&gt;&lt;wsp:rsid wsp:val=&quot;00091307&quot;/&gt;&lt;wsp:rsid wsp:val=&quot;000967DD&quot;/&gt;&lt;wsp:rsid wsp:val=&quot;000A2374&quot;/&gt;&lt;wsp:rsid wsp:val=&quot;000A7F81&quot;/&gt;&lt;wsp:rsid wsp:val=&quot;000B4CFF&quot;/&gt;&lt;wsp:rsid wsp:val=&quot;000C4295&quot;/&gt;&lt;wsp:rsid wsp:val=&quot;000C6C9B&quot;/&gt;&lt;wsp:rsid wsp:val=&quot;000D0240&quot;/&gt;&lt;wsp:rsid wsp:val=&quot;000D374A&quot;/&gt;&lt;wsp:rsid wsp:val=&quot;000E168D&quot;/&gt;&lt;wsp:rsid wsp:val=&quot;000F0466&quot;/&gt;&lt;wsp:rsid wsp:val=&quot;000F089A&quot;/&gt;&lt;wsp:rsid wsp:val=&quot;000F15F3&quot;/&gt;&lt;wsp:rsid wsp:val=&quot;001279DD&quot;/&gt;&lt;wsp:rsid wsp:val=&quot;00130BD3&quot;/&gt;&lt;wsp:rsid wsp:val=&quot;00137331&quot;/&gt;&lt;wsp:rsid wsp:val=&quot;0015240D&quot;/&gt;&lt;wsp:rsid wsp:val=&quot;001607F9&quot;/&gt;&lt;wsp:rsid wsp:val=&quot;00175196&quot;/&gt;&lt;wsp:rsid wsp:val=&quot;0017750E&quot;/&gt;&lt;wsp:rsid wsp:val=&quot;00187383&quot;/&gt;&lt;wsp:rsid wsp:val=&quot;00190ECC&quot;/&gt;&lt;wsp:rsid wsp:val=&quot;001937E8&quot;/&gt;&lt;wsp:rsid wsp:val=&quot;001A6F74&quot;/&gt;&lt;wsp:rsid wsp:val=&quot;001B2B81&quot;/&gt;&lt;wsp:rsid wsp:val=&quot;001D0441&quot;/&gt;&lt;wsp:rsid wsp:val=&quot;001D4AF5&quot;/&gt;&lt;wsp:rsid wsp:val=&quot;001E391D&quot;/&gt;&lt;wsp:rsid wsp:val=&quot;001F5023&quot;/&gt;&lt;wsp:rsid wsp:val=&quot;00210773&quot;/&gt;&lt;wsp:rsid wsp:val=&quot;002379EB&quot;/&gt;&lt;wsp:rsid wsp:val=&quot;00253486&quot;/&gt;&lt;wsp:rsid wsp:val=&quot;0027603E&quot;/&gt;&lt;wsp:rsid wsp:val=&quot;00285EBB&quot;/&gt;&lt;wsp:rsid wsp:val=&quot;00291610&quot;/&gt;&lt;wsp:rsid wsp:val=&quot;002A0DF2&quot;/&gt;&lt;wsp:rsid wsp:val=&quot;002A4A15&quot;/&gt;&lt;wsp:rsid wsp:val=&quot;002B4460&quot;/&gt;&lt;wsp:rsid wsp:val=&quot;002B5E66&quot;/&gt;&lt;wsp:rsid wsp:val=&quot;002B6A7F&quot;/&gt;&lt;wsp:rsid wsp:val=&quot;002B6BBE&quot;/&gt;&lt;wsp:rsid wsp:val=&quot;00303FEA&quot;/&gt;&lt;wsp:rsid wsp:val=&quot;00311CF9&quot;/&gt;&lt;wsp:rsid wsp:val=&quot;00313CC1&quot;/&gt;&lt;wsp:rsid wsp:val=&quot;00313F14&quot;/&gt;&lt;wsp:rsid wsp:val=&quot;00324D6B&quot;/&gt;&lt;wsp:rsid wsp:val=&quot;00325BD7&quot;/&gt;&lt;wsp:rsid wsp:val=&quot;00332E89&quot;/&gt;&lt;wsp:rsid wsp:val=&quot;003377F4&quot;/&gt;&lt;wsp:rsid wsp:val=&quot;00342C56&quot;/&gt;&lt;wsp:rsid wsp:val=&quot;00344968&quot;/&gt;&lt;wsp:rsid wsp:val=&quot;0035043F&quot;/&gt;&lt;wsp:rsid wsp:val=&quot;00352B85&quot;/&gt;&lt;wsp:rsid wsp:val=&quot;00367ACE&quot;/&gt;&lt;wsp:rsid wsp:val=&quot;00383CE4&quot;/&gt;&lt;wsp:rsid wsp:val=&quot;0039337C&quot;/&gt;&lt;wsp:rsid wsp:val=&quot;0039489D&quot;/&gt;&lt;wsp:rsid wsp:val=&quot;00397E18&quot;/&gt;&lt;wsp:rsid wsp:val=&quot;003C5E71&quot;/&gt;&lt;wsp:rsid wsp:val=&quot;003D2DBB&quot;/&gt;&lt;wsp:rsid wsp:val=&quot;003D5746&quot;/&gt;&lt;wsp:rsid wsp:val=&quot;003D7512&quot;/&gt;&lt;wsp:rsid wsp:val=&quot;003F6D3D&quot;/&gt;&lt;wsp:rsid wsp:val=&quot;004050DD&quot;/&gt;&lt;wsp:rsid wsp:val=&quot;0040673D&quot;/&gt;&lt;wsp:rsid wsp:val=&quot;0041763F&quot;/&gt;&lt;wsp:rsid wsp:val=&quot;00424024&quot;/&gt;&lt;wsp:rsid wsp:val=&quot;00424C03&quot;/&gt;&lt;wsp:rsid wsp:val=&quot;0044244F&quot;/&gt;&lt;wsp:rsid wsp:val=&quot;00460137&quot;/&gt;&lt;wsp:rsid wsp:val=&quot;004A7285&quot;/&gt;&lt;wsp:rsid wsp:val=&quot;004C24A8&quot;/&gt;&lt;wsp:rsid wsp:val=&quot;004C3590&quot;/&gt;&lt;wsp:rsid wsp:val=&quot;004C48FF&quot;/&gt;&lt;wsp:rsid wsp:val=&quot;004D6232&quot;/&gt;&lt;wsp:rsid wsp:val=&quot;004D7C70&quot;/&gt;&lt;wsp:rsid wsp:val=&quot;004E6542&quot;/&gt;&lt;wsp:rsid wsp:val=&quot;0051790C&quot;/&gt;&lt;wsp:rsid wsp:val=&quot;00520F67&quot;/&gt;&lt;wsp:rsid wsp:val=&quot;00526CCF&quot;/&gt;&lt;wsp:rsid wsp:val=&quot;0053085D&quot;/&gt;&lt;wsp:rsid wsp:val=&quot;0053104F&quot;/&gt;&lt;wsp:rsid wsp:val=&quot;00537775&quot;/&gt;&lt;wsp:rsid wsp:val=&quot;00540AA8&quot;/&gt;&lt;wsp:rsid wsp:val=&quot;005514FB&quot;/&gt;&lt;wsp:rsid wsp:val=&quot;00552D52&quot;/&gt;&lt;wsp:rsid wsp:val=&quot;005560D9&quot;/&gt;&lt;wsp:rsid wsp:val=&quot;00556DC6&quot;/&gt;&lt;wsp:rsid wsp:val=&quot;00561E5C&quot;/&gt;&lt;wsp:rsid wsp:val=&quot;005737A7&quot;/&gt;&lt;wsp:rsid wsp:val=&quot;005828DD&quot;/&gt;&lt;wsp:rsid wsp:val=&quot;00583EAE&quot;/&gt;&lt;wsp:rsid wsp:val=&quot;005A42C2&quot;/&gt;&lt;wsp:rsid wsp:val=&quot;005B116E&quot;/&gt;&lt;wsp:rsid wsp:val=&quot;005C220F&quot;/&gt;&lt;wsp:rsid wsp:val=&quot;005D2DF9&quot;/&gt;&lt;wsp:rsid wsp:val=&quot;005D4128&quot;/&gt;&lt;wsp:rsid wsp:val=&quot;005D6773&quot;/&gt;&lt;wsp:rsid wsp:val=&quot;005F77F9&quot;/&gt;&lt;wsp:rsid wsp:val=&quot;00605E99&quot;/&gt;&lt;wsp:rsid wsp:val=&quot;00611637&quot;/&gt;&lt;wsp:rsid wsp:val=&quot;006119DE&quot;/&gt;&lt;wsp:rsid wsp:val=&quot;00633B1E&quot;/&gt;&lt;wsp:rsid wsp:val=&quot;00646196&quot;/&gt;&lt;wsp:rsid wsp:val=&quot;00650F6D&quot;/&gt;&lt;wsp:rsid wsp:val=&quot;00665189&quot;/&gt;&lt;wsp:rsid wsp:val=&quot;00676FEF&quot;/&gt;&lt;wsp:rsid wsp:val=&quot;006813BE&quot;/&gt;&lt;wsp:rsid wsp:val=&quot;006821B6&quot;/&gt;&lt;wsp:rsid wsp:val=&quot;00692BEC&quot;/&gt;&lt;wsp:rsid wsp:val=&quot;00693E08&quot;/&gt;&lt;wsp:rsid wsp:val=&quot;00697453&quot;/&gt;&lt;wsp:rsid wsp:val=&quot;006A28EC&quot;/&gt;&lt;wsp:rsid wsp:val=&quot;006B161B&quot;/&gt;&lt;wsp:rsid wsp:val=&quot;006B2A44&quot;/&gt;&lt;wsp:rsid wsp:val=&quot;006B42B0&quot;/&gt;&lt;wsp:rsid wsp:val=&quot;006B4761&quot;/&gt;&lt;wsp:rsid wsp:val=&quot;006B6F58&quot;/&gt;&lt;wsp:rsid wsp:val=&quot;006E5010&quot;/&gt;&lt;wsp:rsid wsp:val=&quot;006F2ABC&quot;/&gt;&lt;wsp:rsid wsp:val=&quot;006F791D&quot;/&gt;&lt;wsp:rsid wsp:val=&quot;00710B57&quot;/&gt;&lt;wsp:rsid wsp:val=&quot;0071499E&quot;/&gt;&lt;wsp:rsid wsp:val=&quot;00716D10&quot;/&gt;&lt;wsp:rsid wsp:val=&quot;00720503&quot;/&gt;&lt;wsp:rsid wsp:val=&quot;00724A73&quot;/&gt;&lt;wsp:rsid wsp:val=&quot;00727DA1&quot;/&gt;&lt;wsp:rsid wsp:val=&quot;00732616&quot;/&gt;&lt;wsp:rsid wsp:val=&quot;0075478B&quot;/&gt;&lt;wsp:rsid wsp:val=&quot;00764519&quot;/&gt;&lt;wsp:rsid wsp:val=&quot;007663BE&quot;/&gt;&lt;wsp:rsid wsp:val=&quot;007748EF&quot;/&gt;&lt;wsp:rsid wsp:val=&quot;007A5B88&quot;/&gt;&lt;wsp:rsid wsp:val=&quot;007A7E51&quot;/&gt;&lt;wsp:rsid wsp:val=&quot;007B092D&quot;/&gt;&lt;wsp:rsid wsp:val=&quot;007B5EAD&quot;/&gt;&lt;wsp:rsid wsp:val=&quot;007B625C&quot;/&gt;&lt;wsp:rsid wsp:val=&quot;007B7AE3&quot;/&gt;&lt;wsp:rsid wsp:val=&quot;007C0BD7&quot;/&gt;&lt;wsp:rsid wsp:val=&quot;007C64F5&quot;/&gt;&lt;wsp:rsid wsp:val=&quot;007D0A15&quot;/&gt;&lt;wsp:rsid wsp:val=&quot;00803BA1&quot;/&gt;&lt;wsp:rsid wsp:val=&quot;00807B68&quot;/&gt;&lt;wsp:rsid wsp:val=&quot;00812B39&quot;/&gt;&lt;wsp:rsid wsp:val=&quot;008218DC&quot;/&gt;&lt;wsp:rsid wsp:val=&quot;00823549&quot;/&gt;&lt;wsp:rsid wsp:val=&quot;00826CA3&quot;/&gt;&lt;wsp:rsid wsp:val=&quot;00830B2A&quot;/&gt;&lt;wsp:rsid wsp:val=&quot;008345A2&quot;/&gt;&lt;wsp:rsid wsp:val=&quot;008402A4&quot;/&gt;&lt;wsp:rsid wsp:val=&quot;0084271D&quot;/&gt;&lt;wsp:rsid wsp:val=&quot;00862431&quot;/&gt;&lt;wsp:rsid wsp:val=&quot;00867BD6&quot;/&gt;&lt;wsp:rsid wsp:val=&quot;008704AE&quot;/&gt;&lt;wsp:rsid wsp:val=&quot;00894419&quot;/&gt;&lt;wsp:rsid wsp:val=&quot;008E40ED&quot;/&gt;&lt;wsp:rsid wsp:val=&quot;008E4AAB&quot;/&gt;&lt;wsp:rsid wsp:val=&quot;00900F41&quot;/&gt;&lt;wsp:rsid wsp:val=&quot;00901678&quot;/&gt;&lt;wsp:rsid wsp:val=&quot;00902C91&quot;/&gt;&lt;wsp:rsid wsp:val=&quot;009141D3&quot;/&gt;&lt;wsp:rsid wsp:val=&quot;0091503B&quot;/&gt;&lt;wsp:rsid wsp:val=&quot;00941518&quot;/&gt;&lt;wsp:rsid wsp:val=&quot;00953642&quot;/&gt;&lt;wsp:rsid wsp:val=&quot;0095714E&quot;/&gt;&lt;wsp:rsid wsp:val=&quot;009624A6&quot;/&gt;&lt;wsp:rsid wsp:val=&quot;00986A6E&quot;/&gt;&lt;wsp:rsid wsp:val=&quot;00992BB9&quot;/&gt;&lt;wsp:rsid wsp:val=&quot;009A39DC&quot;/&gt;&lt;wsp:rsid wsp:val=&quot;009A5FF3&quot;/&gt;&lt;wsp:rsid wsp:val=&quot;009B27B3&quot;/&gt;&lt;wsp:rsid wsp:val=&quot;009B57A1&quot;/&gt;&lt;wsp:rsid wsp:val=&quot;009C55BE&quot;/&gt;&lt;wsp:rsid wsp:val=&quot;009D5377&quot;/&gt;&lt;wsp:rsid wsp:val=&quot;00A11BB5&quot;/&gt;&lt;wsp:rsid wsp:val=&quot;00A172D8&quot;/&gt;&lt;wsp:rsid wsp:val=&quot;00A17B25&quot;/&gt;&lt;wsp:rsid wsp:val=&quot;00A31D2D&quot;/&gt;&lt;wsp:rsid wsp:val=&quot;00A324AE&quot;/&gt;&lt;wsp:rsid wsp:val=&quot;00A36FCD&quot;/&gt;&lt;wsp:rsid wsp:val=&quot;00A457E7&quot;/&gt;&lt;wsp:rsid wsp:val=&quot;00A50219&quot;/&gt;&lt;wsp:rsid wsp:val=&quot;00A52162&quot;/&gt;&lt;wsp:rsid wsp:val=&quot;00A540B3&quot;/&gt;&lt;wsp:rsid wsp:val=&quot;00A60054&quot;/&gt;&lt;wsp:rsid wsp:val=&quot;00A635E1&quot;/&gt;&lt;wsp:rsid wsp:val=&quot;00A63D7D&quot;/&gt;&lt;wsp:rsid wsp:val=&quot;00A65E99&quot;/&gt;&lt;wsp:rsid wsp:val=&quot;00A710D7&quot;/&gt;&lt;wsp:rsid wsp:val=&quot;00AB0088&quot;/&gt;&lt;wsp:rsid wsp:val=&quot;00AC454D&quot;/&gt;&lt;wsp:rsid wsp:val=&quot;00AD67A5&quot;/&gt;&lt;wsp:rsid wsp:val=&quot;00AD79D6&quot;/&gt;&lt;wsp:rsid wsp:val=&quot;00AE14EE&quot;/&gt;&lt;wsp:rsid wsp:val=&quot;00B10F87&quot;/&gt;&lt;wsp:rsid wsp:val=&quot;00B17A61&quot;/&gt;&lt;wsp:rsid wsp:val=&quot;00B24EA4&quot;/&gt;&lt;wsp:rsid wsp:val=&quot;00B37B86&quot;/&gt;&lt;wsp:rsid wsp:val=&quot;00B51446&quot;/&gt;&lt;wsp:rsid wsp:val=&quot;00B564EA&quot;/&gt;&lt;wsp:rsid wsp:val=&quot;00B720E3&quot;/&gt;&lt;wsp:rsid wsp:val=&quot;00B77A57&quot;/&gt;&lt;wsp:rsid wsp:val=&quot;00B8264B&quot;/&gt;&lt;wsp:rsid wsp:val=&quot;00B83185&quot;/&gt;&lt;wsp:rsid wsp:val=&quot;00B903A9&quot;/&gt;&lt;wsp:rsid wsp:val=&quot;00B93CD6&quot;/&gt;&lt;wsp:rsid wsp:val=&quot;00BB4B1E&quot;/&gt;&lt;wsp:rsid wsp:val=&quot;00BD439C&quot;/&gt;&lt;wsp:rsid wsp:val=&quot;00BD5C79&quot;/&gt;&lt;wsp:rsid wsp:val=&quot;00BF0382&quot;/&gt;&lt;wsp:rsid wsp:val=&quot;00BF447D&quot;/&gt;&lt;wsp:rsid wsp:val=&quot;00C3084F&quot;/&gt;&lt;wsp:rsid wsp:val=&quot;00C471D9&quot;/&gt;&lt;wsp:rsid wsp:val=&quot;00C75BF1&quot;/&gt;&lt;wsp:rsid wsp:val=&quot;00C76B61&quot;/&gt;&lt;wsp:rsid wsp:val=&quot;00C91EEC&quot;/&gt;&lt;wsp:rsid wsp:val=&quot;00C95337&quot;/&gt;&lt;wsp:rsid wsp:val=&quot;00CA026F&quot;/&gt;&lt;wsp:rsid wsp:val=&quot;00CB3868&quot;/&gt;&lt;wsp:rsid wsp:val=&quot;00CC0B1E&quot;/&gt;&lt;wsp:rsid wsp:val=&quot;00CC4F3B&quot;/&gt;&lt;wsp:rsid wsp:val=&quot;00CD520B&quot;/&gt;&lt;wsp:rsid wsp:val=&quot;00CE7C9A&quot;/&gt;&lt;wsp:rsid wsp:val=&quot;00CF6E46&quot;/&gt;&lt;wsp:rsid wsp:val=&quot;00D0080E&quot;/&gt;&lt;wsp:rsid wsp:val=&quot;00D01344&quot;/&gt;&lt;wsp:rsid wsp:val=&quot;00D038B0&quot;/&gt;&lt;wsp:rsid wsp:val=&quot;00D05092&quot;/&gt;&lt;wsp:rsid wsp:val=&quot;00D05518&quot;/&gt;&lt;wsp:rsid wsp:val=&quot;00D101A7&quot;/&gt;&lt;wsp:rsid wsp:val=&quot;00D174F7&quot;/&gt;&lt;wsp:rsid wsp:val=&quot;00D24C5C&quot;/&gt;&lt;wsp:rsid wsp:val=&quot;00D34B54&quot;/&gt;&lt;wsp:rsid wsp:val=&quot;00D40905&quot;/&gt;&lt;wsp:rsid wsp:val=&quot;00D54056&quot;/&gt;&lt;wsp:rsid wsp:val=&quot;00D6598E&quot;/&gt;&lt;wsp:rsid wsp:val=&quot;00D67002&quot;/&gt;&lt;wsp:rsid wsp:val=&quot;00D72D12&quot;/&gt;&lt;wsp:rsid wsp:val=&quot;00DA09F2&quot;/&gt;&lt;wsp:rsid wsp:val=&quot;00DA48F7&quot;/&gt;&lt;wsp:rsid wsp:val=&quot;00DC0281&quot;/&gt;&lt;wsp:rsid wsp:val=&quot;00DC75DA&quot;/&gt;&lt;wsp:rsid wsp:val=&quot;00DD51D7&quot;/&gt;&lt;wsp:rsid wsp:val=&quot;00DE5ECA&quot;/&gt;&lt;wsp:rsid wsp:val=&quot;00DF6A64&quot;/&gt;&lt;wsp:rsid wsp:val=&quot;00E21C5E&quot;/&gt;&lt;wsp:rsid wsp:val=&quot;00E359BE&quot;/&gt;&lt;wsp:rsid wsp:val=&quot;00E37C30&quot;/&gt;&lt;wsp:rsid wsp:val=&quot;00E40C1C&quot;/&gt;&lt;wsp:rsid wsp:val=&quot;00E45FBA&quot;/&gt;&lt;wsp:rsid wsp:val=&quot;00E466E8&quot;/&gt;&lt;wsp:rsid wsp:val=&quot;00E47975&quot;/&gt;&lt;wsp:rsid wsp:val=&quot;00E57409&quot;/&gt;&lt;wsp:rsid wsp:val=&quot;00E602B2&quot;/&gt;&lt;wsp:rsid wsp:val=&quot;00E6378B&quot;/&gt;&lt;wsp:rsid wsp:val=&quot;00E6404C&quot;/&gt;&lt;wsp:rsid wsp:val=&quot;00E67EE5&quot;/&gt;&lt;wsp:rsid wsp:val=&quot;00E7391C&quot;/&gt;&lt;wsp:rsid wsp:val=&quot;00E76CE1&quot;/&gt;&lt;wsp:rsid wsp:val=&quot;00E7768D&quot;/&gt;&lt;wsp:rsid wsp:val=&quot;00E90E6E&quot;/&gt;&lt;wsp:rsid wsp:val=&quot;00E92114&quot;/&gt;&lt;wsp:rsid wsp:val=&quot;00E93817&quot;/&gt;&lt;wsp:rsid wsp:val=&quot;00E93F49&quot;/&gt;&lt;wsp:rsid wsp:val=&quot;00EC393E&quot;/&gt;&lt;wsp:rsid wsp:val=&quot;00EC7A34&quot;/&gt;&lt;wsp:rsid wsp:val=&quot;00ED08C5&quot;/&gt;&lt;wsp:rsid wsp:val=&quot;00EE14B4&quot;/&gt;&lt;wsp:rsid wsp:val=&quot;00EE4DC3&quot;/&gt;&lt;wsp:rsid wsp:val=&quot;00F13DD9&quot;/&gt;&lt;wsp:rsid wsp:val=&quot;00F20A53&quot;/&gt;&lt;wsp:rsid wsp:val=&quot;00F25E7F&quot;/&gt;&lt;wsp:rsid wsp:val=&quot;00F3023F&quot;/&gt;&lt;wsp:rsid wsp:val=&quot;00F50E35&quot;/&gt;&lt;wsp:rsid wsp:val=&quot;00F92069&quot;/&gt;&lt;wsp:rsid wsp:val=&quot;00F9367F&quot;/&gt;&lt;wsp:rsid wsp:val=&quot;00F953A4&quot;/&gt;&lt;wsp:rsid wsp:val=&quot;00FA5AE5&quot;/&gt;&lt;wsp:rsid wsp:val=&quot;00FA7486&quot;/&gt;&lt;wsp:rsid wsp:val=&quot;00FB1666&quot;/&gt;&lt;wsp:rsid wsp:val=&quot;00FB3C53&quot;/&gt;&lt;wsp:rsid wsp:val=&quot;00FC3B1D&quot;/&gt;&lt;wsp:rsid wsp:val=&quot;00FD3DFE&quot;/&gt;&lt;wsp:rsid wsp:val=&quot;00FD5DD3&quot;/&gt;&lt;wsp:rsid wsp:val=&quot;00FE02B8&quot;/&gt;&lt;wsp:rsid wsp:val=&quot;00FE0EE8&quot;/&gt;&lt;wsp:rsid wsp:val=&quot;00FF01A8&quot;/&gt;&lt;wsp:rsid wsp:val=&quot;00FF0803&quot;/&gt;&lt;wsp:rsid wsp:val=&quot;00FF7C58&quot;/&gt;&lt;/wsp:rsids&gt;&lt;/w:docPr&gt;&lt;w:body&gt;&lt;wx:sect&gt;&lt;w:p wsp:rsidR=&quot;00000000&quot; wsp:rsidRDefault=&quot;006F791D&quot; wsp:rsidP=&quot;006F791D&quot;&gt;&lt;m:oMathPara&gt;&lt;m:oMath&gt;&lt;m:r&gt;&lt;m:rPr&gt;&lt;m:sty m:val=&quot;bi&quot;/&gt;&lt;/m:rPr&gt;&lt;w:rPr&gt;&lt;w:rFonts w:ascii=&quot;Cambria Math&quot; w:h-ansi=&quot;Cambria Math&quot;/&gt;&lt;wx:font wx:val=&quot;Cambria Math&quot;/&gt;&lt;w:b/&gt;&lt;w:i/&gt;&lt;/w:rPr&gt;&lt;m:t&gt;âˆ†SNR=&lt;/m:t&gt;&lt;/m:r&gt;&lt;m:r&gt;&lt;m:rPr&gt;&lt;m:sty m:val=&quot;bi&quot;/&gt;&lt;/m:rPr&gt;&lt;w:rPr&gt;&lt;w:rFonts w:ascii=&quot;Cambria Math&quot; w:h-ansi=&quot;Cambria Math&quot;/&gt;&lt;wx:font wx:val=&quot;Cambria Math&quot;/&gt;&lt;w:b/&gt;&lt;w:i/&gt;&lt;w:sz w:val=&quot;16&quot;/&gt;&lt;/w:rPr&gt;&lt;m:t&gt;10&lt;/m:t&gt;&lt;/m:r&gt;&lt;m:func&gt;&lt;m:funcPr&gt;&lt;m:ctrlPr&gt;&lt;w:rPr&gt;&lt;w:rFonts w:ascii=&quot;Cambria Math&quot; w:fareast=&quot;Times New Roman&quot; w:h-ansi=&quot;Cambria Math&quot;/&gt;&lt;wx:font wx:val=&quot;Cambria Math&quot;/&gt;&lt;w:b/&gt;&lt;w:i/&gt;&lt;w:sz w:val=&quot;16&quot;/&gt;&lt;w:sz-cs w:val=&quot;16&quot;/&gt;&lt;w:lang w:fareast=&quot;JA&quot;/&gt;&lt;/w:rPr&gt;&lt;/m:ctrlPr&gt;&lt;/m:funcPr&gt;&lt;m:fName&gt;&lt;m:sSub&gt;&lt;m:sSubPr&gt;&lt;m:ctrlPr&gt;&lt;w:rPr&gt;&lt;w:rFonts w:ascii=&quot;Cambria Math&quot; w:fareast=&quot;Times New Roman&quot; w:h-ansi=&quot;Cambria Math&quot;/&gt;&lt;wx:font wx:val=&quot;Cambria Math&quot;/&gt;&lt;w:b/&gt;&lt;w:i/&gt;&lt;w:sz w:val=&quot;16&quot;/&gt;&lt;w:sz-cs w:val=&quot;16&quot;/&gt;&lt;w:lang w:fareast=&quot;JA&quot;/&gt;&lt;/w:rPr&gt;&lt;/m:ctrlPr&gt;&lt;/m:sSubPr&gt;&lt;m:e&gt;&lt;m:r&gt;&lt;m:rPr&gt;&lt;m:sty m:val=&quot;b&quot;/&gt;&lt;/m:rPr&gt;&lt;w:rPr&gt;&lt;w:rFonts w:ascii=&quot;Cambria Math&quot; w:h-ansi=&quot;Cambria Math&quot;/&gt;&lt;wx:font wx:val=&quot;Cambria Math&quot;/&gt;&lt;w:b/&gt;&lt;w:sz w:val=&quot;16&quot;/&gt;&lt;/w:rPr&gt;&lt;m:t&gt;log&lt;/m:t&gt;&lt;/m:r&gt;&lt;/m:e&gt;&lt;m:sub&gt;&lt;m:r&gt;&lt;m:rPr&gt;&lt;m:sty m:val=&quot;bi&quot;/&gt;&lt;/m:rPr&gt;&lt;w:rPr&gt;&lt;w:rFonts w:ascii=&quot;Cambria Math&quot; w:h-ansi=&quot;Cambria Math&quot;/&gt;&lt;wx:font wx:val=&quot;Cambria Math&quot;/&gt;&lt;w:b/&gt;&lt;w:i/&gt;&lt;w:sz w:val=&quot;16&quot;/&gt;&lt;/w:rPr&gt;&lt;m:t&gt;10&lt;/m:t&gt;&lt;/m:r&gt;&lt;/m:sub&gt;&lt;/m:sSub&gt;&lt;/m:fName&gt;&lt;m:e&gt;&lt;m:d&gt;&lt;m:dPr&gt;&lt;m:ctrlPr&gt;&lt;w:rPr&gt;&lt;w:rFonts w:ascii=&quot;Cambria Math&quot; w:fareast=&quot;Times New Roman&quot; w:h-ansi=&quot;Cambria Math&quot;/&gt;&lt;wx:font wx:val=&quot;Cambria Math&quot;/&gt;&lt;w:b/&gt;&lt;w:i/&gt;&lt;w:sz w:val=&quot;16&quot;/&gt;&lt;w:sz-cs w:val=&quot;16&quot;/&gt;&lt;w:lang w:fareast=&quot;JA&quot;/&gt;&lt;/w:rPr&gt;&lt;/m:ctrlPr&gt;&lt;/m:dPr&gt;&lt;m:e&gt;&lt;m:r&gt;&lt;m:rPr&gt;&lt;m:sty m:val=&quot;bi&quot;/&gt;&lt;/m:rPr&gt;&lt;w:rPr&gt;&lt;w:rFonts w:ascii=&quot;Cambria Math&quot; w:h-ansi=&quot;Cambria Math&quot;/&gt;&lt;wx:font wx:val=&quot;Cambria Math&quot;/&gt;&lt;w:b/&gt;&lt;w:i/&gt;&lt;w:sz w:val=&quot;16&quot;/&gt;&lt;/w:rPr&gt;&lt;m:t&gt;1+SN&lt;/m:t&gt;&lt;/m:r&gt;&lt;m:sSubSup&gt;&lt;m:sSubSupPr&gt;&lt;m:ctrlPr&gt;&lt;w:rPr&gt;&lt;w:rFonts w:ascii=&quot;Cambria Math&quot; w:fareast=&quot;Times New Roman&quot; w:h-ansi=&quot;Cambria Math&quot;/&gt;&lt;wx:font wx:val=&quot;Cambria Math&quot;/&gt;&lt;w:b/&gt;&lt;w:i/&gt;&lt;w:sz w:val=&quot;16&quot;/&gt;&lt;w:sz-cs w:val=&quot;16&quot;/&gt;&lt;w:lang w:fareast=&quot;JA&quot;/&gt;&lt;/w:rPr&gt;&lt;/m:ctrlPr&gt;&lt;/m:sSubSupPr&gt;&lt;m:e&gt;&lt;m:r&gt;&lt;m:rPr&gt;&lt;m:sty m:val=&quot;bi&quot;/&gt;&lt;/m:rPr&gt;&lt;w:rPr&gt;&lt;w:rFonts w:ascii=&quot;Cambria Math&quot; w:h-ansi=&quot;Cambria Math&quot;/&gt;&lt;wx:font wx:val=&quot;Cambria Math&quot;/&gt;&lt;w:b/&gt;&lt;w:i/&gt;&lt;w:sz w:val=&quot;16&quot;/&gt;&lt;/w:rPr&gt;&lt;m:t&gt;R&lt;/m:t&gt;&lt;/m:r&gt;&lt;/m:e&gt;&lt;m:sub&gt;&lt;m:r&gt;&lt;m:rPr&gt;&lt;m:sty m:val=&quot;bi&quot;/&gt;&lt;/m:rPr&gt;&lt;w:rPr&gt;&lt;w:rFonts w:ascii=&quot;Cambria Math&quot; w:h-ansi=&quot;Cambria Math&quot;/&gt;&lt;wx:font wx:val=&quot;Cambria Math&quot;/&gt;&lt;w:b/&gt;&lt;w:i/&gt;&lt;w:sz w:val=&quot;16&quot;/&gt;&lt;/w:rPr&gt;&lt;m:t&gt;50%-tile&lt;/m:t&gt;&lt;/m:r&gt;&lt;/m:sub&gt;&lt;m:sup&gt;&lt;m:r&gt;&lt;m:rPr&gt;&lt;m:sty m:val=&quot;bi&quot;/&gt;&lt;/m:rPr&gt;&lt;w:rPr&gt;&lt;w:rFonts w:ascii=&quot;Cambria Math&quot; w:h-ansi=&quot;Cambria Math&quot;/&gt;&lt;wx:font wx:val=&quot;Cambria Math&quot;/&gt;&lt;w:b/&gt;&lt;w:i/&gt;&lt;w:sz w:val=&quot;16&quot;/&gt;&lt;/w:rPr&gt;&lt;m:t&gt;-1&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F92069">
              <w:rPr>
                <w:b/>
              </w:rPr>
              <w:instrText xml:space="preserve"> </w:instrText>
            </w:r>
            <w:r w:rsidRPr="00F92069">
              <w:rPr>
                <w:b/>
              </w:rPr>
              <w:fldChar w:fldCharType="separate"/>
            </w:r>
            <w:r w:rsidRPr="00F92069">
              <w:rPr>
                <w:position w:val="-9"/>
              </w:rPr>
              <w:pict w14:anchorId="7833A4E8">
                <v:shape id="_x0000_i1050" type="#_x0000_t75" style="width:139.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B7AE3&quot;/&gt;&lt;wsp:rsid wsp:val=&quot;0000251C&quot;/&gt;&lt;wsp:rsid wsp:val=&quot;00010A98&quot;/&gt;&lt;wsp:rsid wsp:val=&quot;0002236E&quot;/&gt;&lt;wsp:rsid wsp:val=&quot;00024262&quot;/&gt;&lt;wsp:rsid wsp:val=&quot;00026425&quot;/&gt;&lt;wsp:rsid wsp:val=&quot;00030DD5&quot;/&gt;&lt;wsp:rsid wsp:val=&quot;00032FC4&quot;/&gt;&lt;wsp:rsid wsp:val=&quot;00035D73&quot;/&gt;&lt;wsp:rsid wsp:val=&quot;00037A7F&quot;/&gt;&lt;wsp:rsid wsp:val=&quot;00063BA2&quot;/&gt;&lt;wsp:rsid wsp:val=&quot;00063BB5&quot;/&gt;&lt;wsp:rsid wsp:val=&quot;0006475B&quot;/&gt;&lt;wsp:rsid wsp:val=&quot;00070BB5&quot;/&gt;&lt;wsp:rsid wsp:val=&quot;00091307&quot;/&gt;&lt;wsp:rsid wsp:val=&quot;000967DD&quot;/&gt;&lt;wsp:rsid wsp:val=&quot;000A2374&quot;/&gt;&lt;wsp:rsid wsp:val=&quot;000A7F81&quot;/&gt;&lt;wsp:rsid wsp:val=&quot;000B4CFF&quot;/&gt;&lt;wsp:rsid wsp:val=&quot;000C4295&quot;/&gt;&lt;wsp:rsid wsp:val=&quot;000C6C9B&quot;/&gt;&lt;wsp:rsid wsp:val=&quot;000D0240&quot;/&gt;&lt;wsp:rsid wsp:val=&quot;000D374A&quot;/&gt;&lt;wsp:rsid wsp:val=&quot;000E168D&quot;/&gt;&lt;wsp:rsid wsp:val=&quot;000F0466&quot;/&gt;&lt;wsp:rsid wsp:val=&quot;000F089A&quot;/&gt;&lt;wsp:rsid wsp:val=&quot;000F15F3&quot;/&gt;&lt;wsp:rsid wsp:val=&quot;001279DD&quot;/&gt;&lt;wsp:rsid wsp:val=&quot;00130BD3&quot;/&gt;&lt;wsp:rsid wsp:val=&quot;00137331&quot;/&gt;&lt;wsp:rsid wsp:val=&quot;0015240D&quot;/&gt;&lt;wsp:rsid wsp:val=&quot;001607F9&quot;/&gt;&lt;wsp:rsid wsp:val=&quot;00175196&quot;/&gt;&lt;wsp:rsid wsp:val=&quot;0017750E&quot;/&gt;&lt;wsp:rsid wsp:val=&quot;00187383&quot;/&gt;&lt;wsp:rsid wsp:val=&quot;00190ECC&quot;/&gt;&lt;wsp:rsid wsp:val=&quot;001937E8&quot;/&gt;&lt;wsp:rsid wsp:val=&quot;001A6F74&quot;/&gt;&lt;wsp:rsid wsp:val=&quot;001B2B81&quot;/&gt;&lt;wsp:rsid wsp:val=&quot;001D0441&quot;/&gt;&lt;wsp:rsid wsp:val=&quot;001D4AF5&quot;/&gt;&lt;wsp:rsid wsp:val=&quot;001E391D&quot;/&gt;&lt;wsp:rsid wsp:val=&quot;001F5023&quot;/&gt;&lt;wsp:rsid wsp:val=&quot;00210773&quot;/&gt;&lt;wsp:rsid wsp:val=&quot;002379EB&quot;/&gt;&lt;wsp:rsid wsp:val=&quot;00253486&quot;/&gt;&lt;wsp:rsid wsp:val=&quot;0027603E&quot;/&gt;&lt;wsp:rsid wsp:val=&quot;00285EBB&quot;/&gt;&lt;wsp:rsid wsp:val=&quot;00291610&quot;/&gt;&lt;wsp:rsid wsp:val=&quot;002A0DF2&quot;/&gt;&lt;wsp:rsid wsp:val=&quot;002A4A15&quot;/&gt;&lt;wsp:rsid wsp:val=&quot;002B4460&quot;/&gt;&lt;wsp:rsid wsp:val=&quot;002B5E66&quot;/&gt;&lt;wsp:rsid wsp:val=&quot;002B6A7F&quot;/&gt;&lt;wsp:rsid wsp:val=&quot;002B6BBE&quot;/&gt;&lt;wsp:rsid wsp:val=&quot;00303FEA&quot;/&gt;&lt;wsp:rsid wsp:val=&quot;00311CF9&quot;/&gt;&lt;wsp:rsid wsp:val=&quot;00313CC1&quot;/&gt;&lt;wsp:rsid wsp:val=&quot;00313F14&quot;/&gt;&lt;wsp:rsid wsp:val=&quot;00324D6B&quot;/&gt;&lt;wsp:rsid wsp:val=&quot;00325BD7&quot;/&gt;&lt;wsp:rsid wsp:val=&quot;00332E89&quot;/&gt;&lt;wsp:rsid wsp:val=&quot;003377F4&quot;/&gt;&lt;wsp:rsid wsp:val=&quot;00342C56&quot;/&gt;&lt;wsp:rsid wsp:val=&quot;00344968&quot;/&gt;&lt;wsp:rsid wsp:val=&quot;0035043F&quot;/&gt;&lt;wsp:rsid wsp:val=&quot;00352B85&quot;/&gt;&lt;wsp:rsid wsp:val=&quot;00367ACE&quot;/&gt;&lt;wsp:rsid wsp:val=&quot;00383CE4&quot;/&gt;&lt;wsp:rsid wsp:val=&quot;0039337C&quot;/&gt;&lt;wsp:rsid wsp:val=&quot;0039489D&quot;/&gt;&lt;wsp:rsid wsp:val=&quot;00397E18&quot;/&gt;&lt;wsp:rsid wsp:val=&quot;003C5E71&quot;/&gt;&lt;wsp:rsid wsp:val=&quot;003D2DBB&quot;/&gt;&lt;wsp:rsid wsp:val=&quot;003D5746&quot;/&gt;&lt;wsp:rsid wsp:val=&quot;003D7512&quot;/&gt;&lt;wsp:rsid wsp:val=&quot;003F6D3D&quot;/&gt;&lt;wsp:rsid wsp:val=&quot;004050DD&quot;/&gt;&lt;wsp:rsid wsp:val=&quot;0040673D&quot;/&gt;&lt;wsp:rsid wsp:val=&quot;0041763F&quot;/&gt;&lt;wsp:rsid wsp:val=&quot;00424024&quot;/&gt;&lt;wsp:rsid wsp:val=&quot;00424C03&quot;/&gt;&lt;wsp:rsid wsp:val=&quot;0044244F&quot;/&gt;&lt;wsp:rsid wsp:val=&quot;00460137&quot;/&gt;&lt;wsp:rsid wsp:val=&quot;004A7285&quot;/&gt;&lt;wsp:rsid wsp:val=&quot;004C24A8&quot;/&gt;&lt;wsp:rsid wsp:val=&quot;004C3590&quot;/&gt;&lt;wsp:rsid wsp:val=&quot;004C48FF&quot;/&gt;&lt;wsp:rsid wsp:val=&quot;004D6232&quot;/&gt;&lt;wsp:rsid wsp:val=&quot;004D7C70&quot;/&gt;&lt;wsp:rsid wsp:val=&quot;004E6542&quot;/&gt;&lt;wsp:rsid wsp:val=&quot;0051790C&quot;/&gt;&lt;wsp:rsid wsp:val=&quot;00520F67&quot;/&gt;&lt;wsp:rsid wsp:val=&quot;00526CCF&quot;/&gt;&lt;wsp:rsid wsp:val=&quot;0053085D&quot;/&gt;&lt;wsp:rsid wsp:val=&quot;0053104F&quot;/&gt;&lt;wsp:rsid wsp:val=&quot;00537775&quot;/&gt;&lt;wsp:rsid wsp:val=&quot;00540AA8&quot;/&gt;&lt;wsp:rsid wsp:val=&quot;005514FB&quot;/&gt;&lt;wsp:rsid wsp:val=&quot;00552D52&quot;/&gt;&lt;wsp:rsid wsp:val=&quot;005560D9&quot;/&gt;&lt;wsp:rsid wsp:val=&quot;00556DC6&quot;/&gt;&lt;wsp:rsid wsp:val=&quot;00561E5C&quot;/&gt;&lt;wsp:rsid wsp:val=&quot;005737A7&quot;/&gt;&lt;wsp:rsid wsp:val=&quot;005828DD&quot;/&gt;&lt;wsp:rsid wsp:val=&quot;00583EAE&quot;/&gt;&lt;wsp:rsid wsp:val=&quot;005A42C2&quot;/&gt;&lt;wsp:rsid wsp:val=&quot;005B116E&quot;/&gt;&lt;wsp:rsid wsp:val=&quot;005C220F&quot;/&gt;&lt;wsp:rsid wsp:val=&quot;005D2DF9&quot;/&gt;&lt;wsp:rsid wsp:val=&quot;005D4128&quot;/&gt;&lt;wsp:rsid wsp:val=&quot;005D6773&quot;/&gt;&lt;wsp:rsid wsp:val=&quot;005F77F9&quot;/&gt;&lt;wsp:rsid wsp:val=&quot;00605E99&quot;/&gt;&lt;wsp:rsid wsp:val=&quot;00611637&quot;/&gt;&lt;wsp:rsid wsp:val=&quot;006119DE&quot;/&gt;&lt;wsp:rsid wsp:val=&quot;00633B1E&quot;/&gt;&lt;wsp:rsid wsp:val=&quot;00646196&quot;/&gt;&lt;wsp:rsid wsp:val=&quot;00650F6D&quot;/&gt;&lt;wsp:rsid wsp:val=&quot;00665189&quot;/&gt;&lt;wsp:rsid wsp:val=&quot;00676FEF&quot;/&gt;&lt;wsp:rsid wsp:val=&quot;006813BE&quot;/&gt;&lt;wsp:rsid wsp:val=&quot;006821B6&quot;/&gt;&lt;wsp:rsid wsp:val=&quot;00692BEC&quot;/&gt;&lt;wsp:rsid wsp:val=&quot;00693E08&quot;/&gt;&lt;wsp:rsid wsp:val=&quot;00697453&quot;/&gt;&lt;wsp:rsid wsp:val=&quot;006A28EC&quot;/&gt;&lt;wsp:rsid wsp:val=&quot;006B161B&quot;/&gt;&lt;wsp:rsid wsp:val=&quot;006B2A44&quot;/&gt;&lt;wsp:rsid wsp:val=&quot;006B42B0&quot;/&gt;&lt;wsp:rsid wsp:val=&quot;006B4761&quot;/&gt;&lt;wsp:rsid wsp:val=&quot;006B6F58&quot;/&gt;&lt;wsp:rsid wsp:val=&quot;006E5010&quot;/&gt;&lt;wsp:rsid wsp:val=&quot;006F2ABC&quot;/&gt;&lt;wsp:rsid wsp:val=&quot;006F791D&quot;/&gt;&lt;wsp:rsid wsp:val=&quot;00710B57&quot;/&gt;&lt;wsp:rsid wsp:val=&quot;0071499E&quot;/&gt;&lt;wsp:rsid wsp:val=&quot;00716D10&quot;/&gt;&lt;wsp:rsid wsp:val=&quot;00720503&quot;/&gt;&lt;wsp:rsid wsp:val=&quot;00724A73&quot;/&gt;&lt;wsp:rsid wsp:val=&quot;00727DA1&quot;/&gt;&lt;wsp:rsid wsp:val=&quot;00732616&quot;/&gt;&lt;wsp:rsid wsp:val=&quot;0075478B&quot;/&gt;&lt;wsp:rsid wsp:val=&quot;00764519&quot;/&gt;&lt;wsp:rsid wsp:val=&quot;007663BE&quot;/&gt;&lt;wsp:rsid wsp:val=&quot;007748EF&quot;/&gt;&lt;wsp:rsid wsp:val=&quot;007A5B88&quot;/&gt;&lt;wsp:rsid wsp:val=&quot;007A7E51&quot;/&gt;&lt;wsp:rsid wsp:val=&quot;007B092D&quot;/&gt;&lt;wsp:rsid wsp:val=&quot;007B5EAD&quot;/&gt;&lt;wsp:rsid wsp:val=&quot;007B625C&quot;/&gt;&lt;wsp:rsid wsp:val=&quot;007B7AE3&quot;/&gt;&lt;wsp:rsid wsp:val=&quot;007C0BD7&quot;/&gt;&lt;wsp:rsid wsp:val=&quot;007C64F5&quot;/&gt;&lt;wsp:rsid wsp:val=&quot;007D0A15&quot;/&gt;&lt;wsp:rsid wsp:val=&quot;00803BA1&quot;/&gt;&lt;wsp:rsid wsp:val=&quot;00807B68&quot;/&gt;&lt;wsp:rsid wsp:val=&quot;00812B39&quot;/&gt;&lt;wsp:rsid wsp:val=&quot;008218DC&quot;/&gt;&lt;wsp:rsid wsp:val=&quot;00823549&quot;/&gt;&lt;wsp:rsid wsp:val=&quot;00826CA3&quot;/&gt;&lt;wsp:rsid wsp:val=&quot;00830B2A&quot;/&gt;&lt;wsp:rsid wsp:val=&quot;008345A2&quot;/&gt;&lt;wsp:rsid wsp:val=&quot;008402A4&quot;/&gt;&lt;wsp:rsid wsp:val=&quot;0084271D&quot;/&gt;&lt;wsp:rsid wsp:val=&quot;00862431&quot;/&gt;&lt;wsp:rsid wsp:val=&quot;00867BD6&quot;/&gt;&lt;wsp:rsid wsp:val=&quot;008704AE&quot;/&gt;&lt;wsp:rsid wsp:val=&quot;00894419&quot;/&gt;&lt;wsp:rsid wsp:val=&quot;008E40ED&quot;/&gt;&lt;wsp:rsid wsp:val=&quot;008E4AAB&quot;/&gt;&lt;wsp:rsid wsp:val=&quot;00900F41&quot;/&gt;&lt;wsp:rsid wsp:val=&quot;00901678&quot;/&gt;&lt;wsp:rsid wsp:val=&quot;00902C91&quot;/&gt;&lt;wsp:rsid wsp:val=&quot;009141D3&quot;/&gt;&lt;wsp:rsid wsp:val=&quot;0091503B&quot;/&gt;&lt;wsp:rsid wsp:val=&quot;00941518&quot;/&gt;&lt;wsp:rsid wsp:val=&quot;00953642&quot;/&gt;&lt;wsp:rsid wsp:val=&quot;0095714E&quot;/&gt;&lt;wsp:rsid wsp:val=&quot;009624A6&quot;/&gt;&lt;wsp:rsid wsp:val=&quot;00986A6E&quot;/&gt;&lt;wsp:rsid wsp:val=&quot;00992BB9&quot;/&gt;&lt;wsp:rsid wsp:val=&quot;009A39DC&quot;/&gt;&lt;wsp:rsid wsp:val=&quot;009A5FF3&quot;/&gt;&lt;wsp:rsid wsp:val=&quot;009B27B3&quot;/&gt;&lt;wsp:rsid wsp:val=&quot;009B57A1&quot;/&gt;&lt;wsp:rsid wsp:val=&quot;009C55BE&quot;/&gt;&lt;wsp:rsid wsp:val=&quot;009D5377&quot;/&gt;&lt;wsp:rsid wsp:val=&quot;00A11BB5&quot;/&gt;&lt;wsp:rsid wsp:val=&quot;00A172D8&quot;/&gt;&lt;wsp:rsid wsp:val=&quot;00A17B25&quot;/&gt;&lt;wsp:rsid wsp:val=&quot;00A31D2D&quot;/&gt;&lt;wsp:rsid wsp:val=&quot;00A324AE&quot;/&gt;&lt;wsp:rsid wsp:val=&quot;00A36FCD&quot;/&gt;&lt;wsp:rsid wsp:val=&quot;00A457E7&quot;/&gt;&lt;wsp:rsid wsp:val=&quot;00A50219&quot;/&gt;&lt;wsp:rsid wsp:val=&quot;00A52162&quot;/&gt;&lt;wsp:rsid wsp:val=&quot;00A540B3&quot;/&gt;&lt;wsp:rsid wsp:val=&quot;00A60054&quot;/&gt;&lt;wsp:rsid wsp:val=&quot;00A635E1&quot;/&gt;&lt;wsp:rsid wsp:val=&quot;00A63D7D&quot;/&gt;&lt;wsp:rsid wsp:val=&quot;00A65E99&quot;/&gt;&lt;wsp:rsid wsp:val=&quot;00A710D7&quot;/&gt;&lt;wsp:rsid wsp:val=&quot;00AB0088&quot;/&gt;&lt;wsp:rsid wsp:val=&quot;00AC454D&quot;/&gt;&lt;wsp:rsid wsp:val=&quot;00AD67A5&quot;/&gt;&lt;wsp:rsid wsp:val=&quot;00AD79D6&quot;/&gt;&lt;wsp:rsid wsp:val=&quot;00AE14EE&quot;/&gt;&lt;wsp:rsid wsp:val=&quot;00B10F87&quot;/&gt;&lt;wsp:rsid wsp:val=&quot;00B17A61&quot;/&gt;&lt;wsp:rsid wsp:val=&quot;00B24EA4&quot;/&gt;&lt;wsp:rsid wsp:val=&quot;00B37B86&quot;/&gt;&lt;wsp:rsid wsp:val=&quot;00B51446&quot;/&gt;&lt;wsp:rsid wsp:val=&quot;00B564EA&quot;/&gt;&lt;wsp:rsid wsp:val=&quot;00B720E3&quot;/&gt;&lt;wsp:rsid wsp:val=&quot;00B77A57&quot;/&gt;&lt;wsp:rsid wsp:val=&quot;00B8264B&quot;/&gt;&lt;wsp:rsid wsp:val=&quot;00B83185&quot;/&gt;&lt;wsp:rsid wsp:val=&quot;00B903A9&quot;/&gt;&lt;wsp:rsid wsp:val=&quot;00B93CD6&quot;/&gt;&lt;wsp:rsid wsp:val=&quot;00BB4B1E&quot;/&gt;&lt;wsp:rsid wsp:val=&quot;00BD439C&quot;/&gt;&lt;wsp:rsid wsp:val=&quot;00BD5C79&quot;/&gt;&lt;wsp:rsid wsp:val=&quot;00BF0382&quot;/&gt;&lt;wsp:rsid wsp:val=&quot;00BF447D&quot;/&gt;&lt;wsp:rsid wsp:val=&quot;00C3084F&quot;/&gt;&lt;wsp:rsid wsp:val=&quot;00C471D9&quot;/&gt;&lt;wsp:rsid wsp:val=&quot;00C75BF1&quot;/&gt;&lt;wsp:rsid wsp:val=&quot;00C76B61&quot;/&gt;&lt;wsp:rsid wsp:val=&quot;00C91EEC&quot;/&gt;&lt;wsp:rsid wsp:val=&quot;00C95337&quot;/&gt;&lt;wsp:rsid wsp:val=&quot;00CA026F&quot;/&gt;&lt;wsp:rsid wsp:val=&quot;00CB3868&quot;/&gt;&lt;wsp:rsid wsp:val=&quot;00CC0B1E&quot;/&gt;&lt;wsp:rsid wsp:val=&quot;00CC4F3B&quot;/&gt;&lt;wsp:rsid wsp:val=&quot;00CD520B&quot;/&gt;&lt;wsp:rsid wsp:val=&quot;00CE7C9A&quot;/&gt;&lt;wsp:rsid wsp:val=&quot;00CF6E46&quot;/&gt;&lt;wsp:rsid wsp:val=&quot;00D0080E&quot;/&gt;&lt;wsp:rsid wsp:val=&quot;00D01344&quot;/&gt;&lt;wsp:rsid wsp:val=&quot;00D038B0&quot;/&gt;&lt;wsp:rsid wsp:val=&quot;00D05092&quot;/&gt;&lt;wsp:rsid wsp:val=&quot;00D05518&quot;/&gt;&lt;wsp:rsid wsp:val=&quot;00D101A7&quot;/&gt;&lt;wsp:rsid wsp:val=&quot;00D174F7&quot;/&gt;&lt;wsp:rsid wsp:val=&quot;00D24C5C&quot;/&gt;&lt;wsp:rsid wsp:val=&quot;00D34B54&quot;/&gt;&lt;wsp:rsid wsp:val=&quot;00D40905&quot;/&gt;&lt;wsp:rsid wsp:val=&quot;00D54056&quot;/&gt;&lt;wsp:rsid wsp:val=&quot;00D6598E&quot;/&gt;&lt;wsp:rsid wsp:val=&quot;00D67002&quot;/&gt;&lt;wsp:rsid wsp:val=&quot;00D72D12&quot;/&gt;&lt;wsp:rsid wsp:val=&quot;00DA09F2&quot;/&gt;&lt;wsp:rsid wsp:val=&quot;00DA48F7&quot;/&gt;&lt;wsp:rsid wsp:val=&quot;00DC0281&quot;/&gt;&lt;wsp:rsid wsp:val=&quot;00DC75DA&quot;/&gt;&lt;wsp:rsid wsp:val=&quot;00DD51D7&quot;/&gt;&lt;wsp:rsid wsp:val=&quot;00DE5ECA&quot;/&gt;&lt;wsp:rsid wsp:val=&quot;00DF6A64&quot;/&gt;&lt;wsp:rsid wsp:val=&quot;00E21C5E&quot;/&gt;&lt;wsp:rsid wsp:val=&quot;00E359BE&quot;/&gt;&lt;wsp:rsid wsp:val=&quot;00E37C30&quot;/&gt;&lt;wsp:rsid wsp:val=&quot;00E40C1C&quot;/&gt;&lt;wsp:rsid wsp:val=&quot;00E45FBA&quot;/&gt;&lt;wsp:rsid wsp:val=&quot;00E466E8&quot;/&gt;&lt;wsp:rsid wsp:val=&quot;00E47975&quot;/&gt;&lt;wsp:rsid wsp:val=&quot;00E57409&quot;/&gt;&lt;wsp:rsid wsp:val=&quot;00E602B2&quot;/&gt;&lt;wsp:rsid wsp:val=&quot;00E6378B&quot;/&gt;&lt;wsp:rsid wsp:val=&quot;00E6404C&quot;/&gt;&lt;wsp:rsid wsp:val=&quot;00E67EE5&quot;/&gt;&lt;wsp:rsid wsp:val=&quot;00E7391C&quot;/&gt;&lt;wsp:rsid wsp:val=&quot;00E76CE1&quot;/&gt;&lt;wsp:rsid wsp:val=&quot;00E7768D&quot;/&gt;&lt;wsp:rsid wsp:val=&quot;00E90E6E&quot;/&gt;&lt;wsp:rsid wsp:val=&quot;00E92114&quot;/&gt;&lt;wsp:rsid wsp:val=&quot;00E93817&quot;/&gt;&lt;wsp:rsid wsp:val=&quot;00E93F49&quot;/&gt;&lt;wsp:rsid wsp:val=&quot;00EC393E&quot;/&gt;&lt;wsp:rsid wsp:val=&quot;00EC7A34&quot;/&gt;&lt;wsp:rsid wsp:val=&quot;00ED08C5&quot;/&gt;&lt;wsp:rsid wsp:val=&quot;00EE14B4&quot;/&gt;&lt;wsp:rsid wsp:val=&quot;00EE4DC3&quot;/&gt;&lt;wsp:rsid wsp:val=&quot;00F13DD9&quot;/&gt;&lt;wsp:rsid wsp:val=&quot;00F20A53&quot;/&gt;&lt;wsp:rsid wsp:val=&quot;00F25E7F&quot;/&gt;&lt;wsp:rsid wsp:val=&quot;00F3023F&quot;/&gt;&lt;wsp:rsid wsp:val=&quot;00F50E35&quot;/&gt;&lt;wsp:rsid wsp:val=&quot;00F92069&quot;/&gt;&lt;wsp:rsid wsp:val=&quot;00F9367F&quot;/&gt;&lt;wsp:rsid wsp:val=&quot;00F953A4&quot;/&gt;&lt;wsp:rsid wsp:val=&quot;00FA5AE5&quot;/&gt;&lt;wsp:rsid wsp:val=&quot;00FA7486&quot;/&gt;&lt;wsp:rsid wsp:val=&quot;00FB1666&quot;/&gt;&lt;wsp:rsid wsp:val=&quot;00FB3C53&quot;/&gt;&lt;wsp:rsid wsp:val=&quot;00FC3B1D&quot;/&gt;&lt;wsp:rsid wsp:val=&quot;00FD3DFE&quot;/&gt;&lt;wsp:rsid wsp:val=&quot;00FD5DD3&quot;/&gt;&lt;wsp:rsid wsp:val=&quot;00FE02B8&quot;/&gt;&lt;wsp:rsid wsp:val=&quot;00FE0EE8&quot;/&gt;&lt;wsp:rsid wsp:val=&quot;00FF01A8&quot;/&gt;&lt;wsp:rsid wsp:val=&quot;00FF0803&quot;/&gt;&lt;wsp:rsid wsp:val=&quot;00FF7C58&quot;/&gt;&lt;/wsp:rsids&gt;&lt;/w:docPr&gt;&lt;w:body&gt;&lt;wx:sect&gt;&lt;w:p wsp:rsidR=&quot;00000000&quot; wsp:rsidRDefault=&quot;006F791D&quot; wsp:rsidP=&quot;006F791D&quot;&gt;&lt;m:oMathPara&gt;&lt;m:oMath&gt;&lt;m:r&gt;&lt;m:rPr&gt;&lt;m:sty m:val=&quot;bi&quot;/&gt;&lt;/m:rPr&gt;&lt;w:rPr&gt;&lt;w:rFonts w:ascii=&quot;Cambria Math&quot; w:h-ansi=&quot;Cambria Math&quot;/&gt;&lt;wx:font wx:val=&quot;Cambria Math&quot;/&gt;&lt;w:b/&gt;&lt;w:i/&gt;&lt;/w:rPr&gt;&lt;m:t&gt;âˆ†SNR=&lt;/m:t&gt;&lt;/m:r&gt;&lt;m:r&gt;&lt;m:rPr&gt;&lt;m:sty m:val=&quot;bi&quot;/&gt;&lt;/m:rPr&gt;&lt;w:rPr&gt;&lt;w:rFonts w:ascii=&quot;Cambria Math&quot; w:h-ansi=&quot;Cambria Math&quot;/&gt;&lt;wx:font wx:val=&quot;Cambria Math&quot;/&gt;&lt;w:b/&gt;&lt;w:i/&gt;&lt;w:sz w:val=&quot;16&quot;/&gt;&lt;/w:rPr&gt;&lt;m:t&gt;10&lt;/m:t&gt;&lt;/m:r&gt;&lt;m:func&gt;&lt;m:funcPr&gt;&lt;m:ctrlPr&gt;&lt;w:rPr&gt;&lt;w:rFonts w:ascii=&quot;Cambria Math&quot; w:fareast=&quot;Times New Roman&quot; w:h-ansi=&quot;Cambria Math&quot;/&gt;&lt;wx:font wx:val=&quot;Cambria Math&quot;/&gt;&lt;w:b/&gt;&lt;w:i/&gt;&lt;w:sz w:val=&quot;16&quot;/&gt;&lt;w:sz-cs w:val=&quot;16&quot;/&gt;&lt;w:lang w:fareast=&quot;JA&quot;/&gt;&lt;/w:rPr&gt;&lt;/m:ctrlPr&gt;&lt;/m:funcPr&gt;&lt;m:fName&gt;&lt;m:sSub&gt;&lt;m:sSubPr&gt;&lt;m:ctrlPr&gt;&lt;w:rPr&gt;&lt;w:rFonts w:ascii=&quot;Cambria Math&quot; w:fareast=&quot;Times New Roman&quot; w:h-ansi=&quot;Cambria Math&quot;/&gt;&lt;wx:font wx:val=&quot;Cambria Math&quot;/&gt;&lt;w:b/&gt;&lt;w:i/&gt;&lt;w:sz w:val=&quot;16&quot;/&gt;&lt;w:sz-cs w:val=&quot;16&quot;/&gt;&lt;w:lang w:fareast=&quot;JA&quot;/&gt;&lt;/w:rPr&gt;&lt;/m:ctrlPr&gt;&lt;/m:sSubPr&gt;&lt;m:e&gt;&lt;m:r&gt;&lt;m:rPr&gt;&lt;m:sty m:val=&quot;b&quot;/&gt;&lt;/m:rPr&gt;&lt;w:rPr&gt;&lt;w:rFonts w:ascii=&quot;Cambria Math&quot; w:h-ansi=&quot;Cambria Math&quot;/&gt;&lt;wx:font wx:val=&quot;Cambria Math&quot;/&gt;&lt;w:b/&gt;&lt;w:sz w:val=&quot;16&quot;/&gt;&lt;/w:rPr&gt;&lt;m:t&gt;log&lt;/m:t&gt;&lt;/m:r&gt;&lt;/m:e&gt;&lt;m:sub&gt;&lt;m:r&gt;&lt;m:rPr&gt;&lt;m:sty m:val=&quot;bi&quot;/&gt;&lt;/m:rPr&gt;&lt;w:rPr&gt;&lt;w:rFonts w:ascii=&quot;Cambria Math&quot; w:h-ansi=&quot;Cambria Math&quot;/&gt;&lt;wx:font wx:val=&quot;Cambria Math&quot;/&gt;&lt;w:b/&gt;&lt;w:i/&gt;&lt;w:sz w:val=&quot;16&quot;/&gt;&lt;/w:rPr&gt;&lt;m:t&gt;10&lt;/m:t&gt;&lt;/m:r&gt;&lt;/m:sub&gt;&lt;/m:sSub&gt;&lt;/m:fName&gt;&lt;m:e&gt;&lt;m:d&gt;&lt;m:dPr&gt;&lt;m:ctrlPr&gt;&lt;w:rPr&gt;&lt;w:rFonts w:ascii=&quot;Cambria Math&quot; w:fareast=&quot;Times New Roman&quot; w:h-ansi=&quot;Cambria Math&quot;/&gt;&lt;wx:font wx:val=&quot;Cambria Math&quot;/&gt;&lt;w:b/&gt;&lt;w:i/&gt;&lt;w:sz w:val=&quot;16&quot;/&gt;&lt;w:sz-cs w:val=&quot;16&quot;/&gt;&lt;w:lang w:fareast=&quot;JA&quot;/&gt;&lt;/w:rPr&gt;&lt;/m:ctrlPr&gt;&lt;/m:dPr&gt;&lt;m:e&gt;&lt;m:r&gt;&lt;m:rPr&gt;&lt;m:sty m:val=&quot;bi&quot;/&gt;&lt;/m:rPr&gt;&lt;w:rPr&gt;&lt;w:rFonts w:ascii=&quot;Cambria Math&quot; w:h-ansi=&quot;Cambria Math&quot;/&gt;&lt;wx:font wx:val=&quot;Cambria Math&quot;/&gt;&lt;w:b/&gt;&lt;w:i/&gt;&lt;w:sz w:val=&quot;16&quot;/&gt;&lt;/w:rPr&gt;&lt;m:t&gt;1+SN&lt;/m:t&gt;&lt;/m:r&gt;&lt;m:sSubSup&gt;&lt;m:sSubSupPr&gt;&lt;m:ctrlPr&gt;&lt;w:rPr&gt;&lt;w:rFonts w:ascii=&quot;Cambria Math&quot; w:fareast=&quot;Times New Roman&quot; w:h-ansi=&quot;Cambria Math&quot;/&gt;&lt;wx:font wx:val=&quot;Cambria Math&quot;/&gt;&lt;w:b/&gt;&lt;w:i/&gt;&lt;w:sz w:val=&quot;16&quot;/&gt;&lt;w:sz-cs w:val=&quot;16&quot;/&gt;&lt;w:lang w:fareast=&quot;JA&quot;/&gt;&lt;/w:rPr&gt;&lt;/m:ctrlPr&gt;&lt;/m:sSubSupPr&gt;&lt;m:e&gt;&lt;m:r&gt;&lt;m:rPr&gt;&lt;m:sty m:val=&quot;bi&quot;/&gt;&lt;/m:rPr&gt;&lt;w:rPr&gt;&lt;w:rFonts w:ascii=&quot;Cambria Math&quot; w:h-ansi=&quot;Cambria Math&quot;/&gt;&lt;wx:font wx:val=&quot;Cambria Math&quot;/&gt;&lt;w:b/&gt;&lt;w:i/&gt;&lt;w:sz w:val=&quot;16&quot;/&gt;&lt;/w:rPr&gt;&lt;m:t&gt;R&lt;/m:t&gt;&lt;/m:r&gt;&lt;/m:e&gt;&lt;m:sub&gt;&lt;m:r&gt;&lt;m:rPr&gt;&lt;m:sty m:val=&quot;bi&quot;/&gt;&lt;/m:rPr&gt;&lt;w:rPr&gt;&lt;w:rFonts w:ascii=&quot;Cambria Math&quot; w:h-ansi=&quot;Cambria Math&quot;/&gt;&lt;wx:font wx:val=&quot;Cambria Math&quot;/&gt;&lt;w:b/&gt;&lt;w:i/&gt;&lt;w:sz w:val=&quot;16&quot;/&gt;&lt;/w:rPr&gt;&lt;m:t&gt;50%-tile&lt;/m:t&gt;&lt;/m:r&gt;&lt;/m:sub&gt;&lt;m:sup&gt;&lt;m:r&gt;&lt;m:rPr&gt;&lt;m:sty m:val=&quot;bi&quot;/&gt;&lt;/m:rPr&gt;&lt;w:rPr&gt;&lt;w:rFonts w:ascii=&quot;Cambria Math&quot; w:h-ansi=&quot;Cambria Math&quot;/&gt;&lt;wx:font wx:val=&quot;Cambria Math&quot;/&gt;&lt;w:b/&gt;&lt;w:i/&gt;&lt;w:sz w:val=&quot;16&quot;/&gt;&lt;/w:rPr&gt;&lt;m:t&gt;-1&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F92069">
              <w:rPr>
                <w:b/>
              </w:rPr>
              <w:fldChar w:fldCharType="end"/>
            </w:r>
            <w:r>
              <w:rPr>
                <w:b/>
                <w:i/>
              </w:rPr>
              <w:t>, where SNR</w:t>
            </w:r>
            <w:r w:rsidRPr="00F92069">
              <w:rPr>
                <w:rFonts w:eastAsia="Times New Roman"/>
                <w:b/>
                <w:i/>
              </w:rPr>
              <w:t>(linear)</w:t>
            </w:r>
            <w:r>
              <w:rPr>
                <w:b/>
                <w:i/>
              </w:rPr>
              <w:t xml:space="preserve"> is defined for </w:t>
            </w:r>
            <w:r w:rsidRPr="00F92069">
              <w:rPr>
                <w:b/>
                <w:i/>
                <w:strike/>
                <w:color w:val="FF0000"/>
              </w:rPr>
              <w:t>50</w:t>
            </w:r>
            <w:r>
              <w:rPr>
                <w:b/>
                <w:i/>
                <w:strike/>
                <w:color w:val="FF0000"/>
              </w:rPr>
              <w:t xml:space="preserve"> </w:t>
            </w:r>
            <w:r w:rsidRPr="00F92069">
              <w:rPr>
                <w:b/>
                <w:i/>
                <w:color w:val="FF0000"/>
              </w:rPr>
              <w:t>85</w:t>
            </w:r>
            <w:r>
              <w:rPr>
                <w:b/>
                <w:i/>
              </w:rPr>
              <w:t xml:space="preserve">%-tile core requirement </w:t>
            </w:r>
            <w:r w:rsidRPr="00F92069">
              <w:rPr>
                <w:rFonts w:eastAsia="Times New Roman"/>
                <w:b/>
                <w:i/>
              </w:rPr>
              <w:t>taking</w:t>
            </w:r>
            <w:r>
              <w:rPr>
                <w:b/>
                <w:i/>
              </w:rPr>
              <w:t xml:space="preserve"> MBR and </w:t>
            </w:r>
            <w:r w:rsidRPr="00F92069">
              <w:rPr>
                <w:rFonts w:eastAsia="Times New Roman"/>
                <w:b/>
                <w:i/>
              </w:rPr>
              <w:t xml:space="preserve">TE </w:t>
            </w:r>
            <w:r>
              <w:rPr>
                <w:b/>
                <w:i/>
              </w:rPr>
              <w:t>noise from 2 polarization</w:t>
            </w:r>
            <w:r w:rsidRPr="00F92069">
              <w:rPr>
                <w:rFonts w:eastAsia="Times New Roman"/>
                <w:b/>
                <w:i/>
              </w:rPr>
              <w:t xml:space="preserve"> into account.</w:t>
            </w:r>
          </w:p>
        </w:tc>
      </w:tr>
    </w:tbl>
    <w:p w14:paraId="0FFD778F" w14:textId="77777777" w:rsidR="00F92069" w:rsidRDefault="00F92069" w:rsidP="00F92069">
      <w:pPr>
        <w:rPr>
          <w:sz w:val="20"/>
          <w:szCs w:val="20"/>
        </w:rPr>
      </w:pPr>
    </w:p>
    <w:p w14:paraId="674D54EC" w14:textId="77777777" w:rsidR="00F92069" w:rsidRDefault="00F92069" w:rsidP="00F92069">
      <w:r>
        <w:t>The following results have been obtained:</w:t>
      </w:r>
    </w:p>
    <w:p w14:paraId="1CBFD02E" w14:textId="77777777" w:rsidR="00F92069" w:rsidRDefault="00F92069" w:rsidP="00F92069"/>
    <w:p w14:paraId="05A24483" w14:textId="404EC16B" w:rsidR="00F92069" w:rsidRDefault="0048381C" w:rsidP="0048381C">
      <w:pPr>
        <w:jc w:val="center"/>
      </w:pPr>
      <w:r w:rsidRPr="00F92069">
        <w:lastRenderedPageBreak/>
        <w:pict w14:anchorId="7E9A8C30">
          <v:shape id="_x0000_i1040" type="#_x0000_t75" style="width:323.25pt;height:242.25pt">
            <v:imagedata r:id="rId7" o:title=""/>
          </v:shape>
        </w:pict>
      </w:r>
    </w:p>
    <w:p w14:paraId="5FFBF12F" w14:textId="5EEFDFAE" w:rsidR="00F92069" w:rsidRDefault="00F92069" w:rsidP="00F92069">
      <w:pPr>
        <w:jc w:val="center"/>
      </w:pPr>
    </w:p>
    <w:p w14:paraId="5F606F5D" w14:textId="0640F18D" w:rsidR="00F92069" w:rsidRDefault="00F92069" w:rsidP="00F92069">
      <w:pPr>
        <w:rPr>
          <w:b/>
        </w:rPr>
      </w:pPr>
      <w:r>
        <w:rPr>
          <w:b/>
        </w:rPr>
        <w:t xml:space="preserve">Observation 1: Noise level impact is higher at lower power values of the Tx Spherical coverage CDF curves and almost negligible at higher power values. This shifts the </w:t>
      </w:r>
      <w:r>
        <w:rPr>
          <w:b/>
        </w:rPr>
        <w:t>85</w:t>
      </w:r>
      <w:r>
        <w:rPr>
          <w:b/>
        </w:rPr>
        <w:t>%-</w:t>
      </w:r>
      <w:proofErr w:type="spellStart"/>
      <w:r>
        <w:rPr>
          <w:b/>
        </w:rPr>
        <w:t>ile</w:t>
      </w:r>
      <w:proofErr w:type="spellEnd"/>
      <w:r>
        <w:rPr>
          <w:b/>
        </w:rPr>
        <w:t xml:space="preserve"> value.</w:t>
      </w:r>
    </w:p>
    <w:p w14:paraId="119D3414" w14:textId="3C6C81CB" w:rsidR="00F92069" w:rsidRDefault="00F92069" w:rsidP="00F92069">
      <w:pPr>
        <w:rPr>
          <w:b/>
        </w:rPr>
      </w:pPr>
      <w:r>
        <w:rPr>
          <w:b/>
        </w:rPr>
        <w:t xml:space="preserve">Observation 2: Higher </w:t>
      </w:r>
      <w:r>
        <w:rPr>
          <w:b/>
        </w:rPr>
        <w:t>85</w:t>
      </w:r>
      <w:r>
        <w:rPr>
          <w:b/>
        </w:rPr>
        <w:t>%-</w:t>
      </w:r>
      <w:proofErr w:type="spellStart"/>
      <w:r>
        <w:rPr>
          <w:b/>
        </w:rPr>
        <w:t>ile</w:t>
      </w:r>
      <w:proofErr w:type="spellEnd"/>
      <w:r>
        <w:rPr>
          <w:b/>
        </w:rPr>
        <w:t xml:space="preserve"> shift error can be expected if Tx Spherical coverage CDF includes low power values.</w:t>
      </w:r>
    </w:p>
    <w:p w14:paraId="56E3AF51" w14:textId="5325A7E4" w:rsidR="00F92069" w:rsidRDefault="00F92069" w:rsidP="00F92069">
      <w:r>
        <w:t xml:space="preserve">The following figure represents </w:t>
      </w:r>
      <w:r>
        <w:t>85</w:t>
      </w:r>
      <w:r>
        <w:t>%-</w:t>
      </w:r>
      <w:proofErr w:type="spellStart"/>
      <w:r>
        <w:t>ile</w:t>
      </w:r>
      <w:proofErr w:type="spellEnd"/>
      <w:r>
        <w:t xml:space="preserve"> shift error or final noise impact for different values of SNR:</w:t>
      </w:r>
    </w:p>
    <w:p w14:paraId="77C99E46" w14:textId="1AD8D88E" w:rsidR="00F92069" w:rsidRDefault="004F3DFB" w:rsidP="0048381C">
      <w:pPr>
        <w:jc w:val="center"/>
      </w:pPr>
      <w:r w:rsidRPr="00F92069">
        <w:pict w14:anchorId="3BB825D3">
          <v:shape id="_x0000_i1044" type="#_x0000_t75" style="width:328.5pt;height:246pt">
            <v:imagedata r:id="rId8" o:title=""/>
          </v:shape>
        </w:pict>
      </w:r>
    </w:p>
    <w:p w14:paraId="0CC9DA32" w14:textId="77777777" w:rsidR="00F92069" w:rsidRDefault="00F92069" w:rsidP="00F92069"/>
    <w:p w14:paraId="36C45FE5" w14:textId="77777777" w:rsidR="00F92069" w:rsidRDefault="00F92069" w:rsidP="00F92069">
      <w:pPr>
        <w:rPr>
          <w:b/>
        </w:rPr>
      </w:pPr>
      <w:r>
        <w:rPr>
          <w:b/>
        </w:rPr>
        <w:lastRenderedPageBreak/>
        <w:t>Observation 3: Tx spherical coverage noise impact is dependent on the Tx spherical coverage CDF curve for a given UE.</w:t>
      </w:r>
    </w:p>
    <w:p w14:paraId="269FA2B8" w14:textId="55F7DBF5" w:rsidR="00F92069" w:rsidRDefault="00F92069" w:rsidP="00F92069">
      <w:pPr>
        <w:rPr>
          <w:b/>
        </w:rPr>
      </w:pPr>
      <w:r>
        <w:rPr>
          <w:b/>
        </w:rPr>
        <w:t xml:space="preserve">Observation 4: Higher </w:t>
      </w:r>
      <w:r w:rsidR="003C211A">
        <w:rPr>
          <w:b/>
        </w:rPr>
        <w:t>85</w:t>
      </w:r>
      <w:r>
        <w:rPr>
          <w:b/>
        </w:rPr>
        <w:t>%-</w:t>
      </w:r>
      <w:proofErr w:type="spellStart"/>
      <w:r>
        <w:rPr>
          <w:b/>
        </w:rPr>
        <w:t>ile</w:t>
      </w:r>
      <w:proofErr w:type="spellEnd"/>
      <w:r>
        <w:rPr>
          <w:b/>
        </w:rPr>
        <w:t xml:space="preserve"> shift error can be expected if Tx Spherical coverage CDF includes low power values.</w:t>
      </w:r>
    </w:p>
    <w:p w14:paraId="55322E1B" w14:textId="2E8148F3" w:rsidR="00F92069" w:rsidRDefault="00F92069" w:rsidP="00F92069">
      <w:pPr>
        <w:rPr>
          <w:b/>
        </w:rPr>
      </w:pPr>
      <w:r>
        <w:rPr>
          <w:b/>
        </w:rPr>
        <w:t>Observation 5: For all Tx spherical coverage CDF curves under study, Tx spherical coverage noise impact is lower than the one proposed in [5]</w:t>
      </w:r>
      <w:r>
        <w:rPr>
          <w:b/>
        </w:rPr>
        <w:t xml:space="preserve"> (slightly modified)</w:t>
      </w:r>
    </w:p>
    <w:p w14:paraId="011FA3AB" w14:textId="77777777" w:rsidR="00F92069" w:rsidRDefault="00F92069" w:rsidP="00F92069">
      <w:r>
        <w:t>Hence, it is proposed to conclude that:</w:t>
      </w:r>
    </w:p>
    <w:p w14:paraId="35D69324" w14:textId="42CAC33E" w:rsidR="00F92069" w:rsidRDefault="00F92069" w:rsidP="00F92069">
      <w:pPr>
        <w:rPr>
          <w:b/>
        </w:rPr>
      </w:pPr>
      <w:r>
        <w:rPr>
          <w:b/>
        </w:rPr>
        <w:t xml:space="preserve">Proposal 1: Noise impact for Tx spherical coverage is </w:t>
      </w:r>
      <w:r>
        <w:rPr>
          <w:b/>
          <w:bCs/>
          <w:iCs/>
        </w:rPr>
        <w:fldChar w:fldCharType="begin"/>
      </w:r>
      <w:r>
        <w:rPr>
          <w:b/>
          <w:bCs/>
          <w:iCs/>
        </w:rPr>
        <w:instrText xml:space="preserve"> QUOTE </w:instrText>
      </w:r>
      <w:r>
        <w:rPr>
          <w:position w:val="-5"/>
        </w:rPr>
        <w:pict w14:anchorId="40CF6D35">
          <v:shape id="_x0000_i1031" type="#_x0000_t75" style="width:134.25pt;height:12pt" equationxml="&lt;">
            <v:imagedata r:id="rId9" o:title="" chromakey="white"/>
          </v:shape>
        </w:pict>
      </w:r>
      <w:r>
        <w:rPr>
          <w:b/>
          <w:bCs/>
          <w:iCs/>
        </w:rPr>
        <w:instrText xml:space="preserve"> </w:instrText>
      </w:r>
      <w:r>
        <w:rPr>
          <w:b/>
          <w:bCs/>
          <w:iCs/>
        </w:rPr>
        <w:fldChar w:fldCharType="separate"/>
      </w:r>
      <w:r>
        <w:rPr>
          <w:position w:val="-5"/>
        </w:rPr>
        <w:pict w14:anchorId="709D5867">
          <v:shape id="_x0000_i1032" type="#_x0000_t75" style="width:134.25pt;height:12pt" equationxml="&lt;">
            <v:imagedata r:id="rId9" o:title="" chromakey="white"/>
          </v:shape>
        </w:pict>
      </w:r>
      <w:r>
        <w:rPr>
          <w:b/>
          <w:bCs/>
          <w:iCs/>
        </w:rPr>
        <w:fldChar w:fldCharType="end"/>
      </w:r>
      <w:r>
        <w:rPr>
          <w:b/>
          <w:bCs/>
          <w:i/>
          <w:iCs/>
        </w:rPr>
        <w:t xml:space="preserve">, where SNR is defined for </w:t>
      </w:r>
      <w:r>
        <w:rPr>
          <w:b/>
          <w:bCs/>
          <w:i/>
          <w:iCs/>
        </w:rPr>
        <w:t>85</w:t>
      </w:r>
      <w:r>
        <w:rPr>
          <w:b/>
          <w:bCs/>
          <w:i/>
          <w:iCs/>
        </w:rPr>
        <w:t>%-tile core requirement taking MBR and TE noise from 2 polarization into account for EIRP spherical coverage.</w:t>
      </w:r>
    </w:p>
    <w:p w14:paraId="125ED19E" w14:textId="213D1C40"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sidR="0048381C">
        <w:rPr>
          <w:b/>
          <w:noProof w:val="0"/>
          <w:lang w:eastAsia="ja-JP"/>
        </w:rPr>
        <w:t>Noise impact for different measurements</w:t>
      </w:r>
    </w:p>
    <w:p w14:paraId="507B6554" w14:textId="3FBE0832" w:rsidR="0048381C" w:rsidRPr="00E5318C" w:rsidRDefault="0048381C" w:rsidP="00E5318C">
      <w:pPr>
        <w:pStyle w:val="Caption"/>
        <w:keepNext/>
        <w:rPr>
          <w:rFonts w:eastAsia="Times New Roman"/>
          <w:b w:val="0"/>
          <w:bCs/>
          <w:sz w:val="20"/>
          <w:szCs w:val="20"/>
        </w:rPr>
      </w:pPr>
      <w:r w:rsidRPr="00E5318C">
        <w:rPr>
          <w:b w:val="0"/>
          <w:bCs/>
        </w:rPr>
        <w:t xml:space="preserve">Table </w:t>
      </w:r>
      <w:r w:rsidR="00E5318C" w:rsidRPr="00E5318C">
        <w:rPr>
          <w:b w:val="0"/>
          <w:bCs/>
        </w:rPr>
        <w:t>1</w:t>
      </w:r>
      <w:r w:rsidRPr="00E5318C">
        <w:rPr>
          <w:b w:val="0"/>
          <w:bCs/>
        </w:rPr>
        <w:t xml:space="preserve"> provides SNR relaxation required and MU impact due to noise for </w:t>
      </w:r>
      <w:r w:rsidR="00E5318C" w:rsidRPr="00E5318C">
        <w:rPr>
          <w:b w:val="0"/>
          <w:bCs/>
        </w:rPr>
        <w:t>initial PC1 test cases</w:t>
      </w:r>
      <w:r w:rsidR="00E5318C" w:rsidRPr="00E5318C">
        <w:rPr>
          <w:rFonts w:eastAsia="Times New Roman"/>
          <w:b w:val="0"/>
          <w:bCs/>
        </w:rPr>
        <w:t>:</w:t>
      </w:r>
    </w:p>
    <w:p w14:paraId="28EB1F7C" w14:textId="21AF4C23" w:rsidR="0048381C" w:rsidRDefault="0048381C" w:rsidP="0048381C">
      <w:pPr>
        <w:pStyle w:val="Caption"/>
        <w:keepNext/>
        <w:jc w:val="center"/>
        <w:rPr>
          <w:rFonts w:eastAsia="Times New Roman"/>
        </w:rPr>
      </w:pPr>
      <w:r>
        <w:t>Table 1</w:t>
      </w:r>
      <w:r>
        <w:rPr>
          <w:rFonts w:eastAsia="Times New Roman"/>
        </w:rPr>
        <w:t xml:space="preserve"> Proposed limit relaxation and MU impact due to noise </w:t>
      </w: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550"/>
        <w:gridCol w:w="1261"/>
        <w:gridCol w:w="1651"/>
        <w:gridCol w:w="1005"/>
        <w:gridCol w:w="1690"/>
      </w:tblGrid>
      <w:tr w:rsidR="00047F15" w14:paraId="5140ED14" w14:textId="77777777" w:rsidTr="004F3DFB">
        <w:tc>
          <w:tcPr>
            <w:tcW w:w="0" w:type="auto"/>
            <w:tcBorders>
              <w:top w:val="single" w:sz="4" w:space="0" w:color="auto"/>
              <w:left w:val="single" w:sz="4" w:space="0" w:color="auto"/>
              <w:bottom w:val="single" w:sz="4" w:space="0" w:color="auto"/>
              <w:right w:val="single" w:sz="4" w:space="0" w:color="auto"/>
            </w:tcBorders>
            <w:shd w:val="clear" w:color="auto" w:fill="BFBFBF"/>
            <w:noWrap/>
            <w:hideMark/>
          </w:tcPr>
          <w:p w14:paraId="5F2394F6" w14:textId="77777777" w:rsidR="0048381C" w:rsidRDefault="0048381C">
            <w:pPr>
              <w:overflowPunct w:val="0"/>
              <w:autoSpaceDE w:val="0"/>
              <w:autoSpaceDN w:val="0"/>
              <w:adjustRightInd w:val="0"/>
              <w:spacing w:before="120" w:after="120"/>
              <w:textAlignment w:val="baseline"/>
              <w:rPr>
                <w:rFonts w:eastAsia="MS Mincho"/>
                <w:b/>
              </w:rPr>
            </w:pPr>
            <w:r>
              <w:rPr>
                <w:rFonts w:eastAsia="MS Mincho"/>
                <w:b/>
              </w:rPr>
              <w:t>Test case</w:t>
            </w:r>
          </w:p>
        </w:tc>
        <w:tc>
          <w:tcPr>
            <w:tcW w:w="1550" w:type="dxa"/>
            <w:tcBorders>
              <w:top w:val="single" w:sz="4" w:space="0" w:color="auto"/>
              <w:left w:val="single" w:sz="4" w:space="0" w:color="auto"/>
              <w:bottom w:val="single" w:sz="4" w:space="0" w:color="auto"/>
              <w:right w:val="single" w:sz="4" w:space="0" w:color="auto"/>
            </w:tcBorders>
            <w:shd w:val="clear" w:color="auto" w:fill="BFBFBF"/>
            <w:hideMark/>
          </w:tcPr>
          <w:p w14:paraId="7316950E" w14:textId="77777777" w:rsidR="0048381C" w:rsidRDefault="0048381C">
            <w:pPr>
              <w:overflowPunct w:val="0"/>
              <w:autoSpaceDE w:val="0"/>
              <w:autoSpaceDN w:val="0"/>
              <w:adjustRightInd w:val="0"/>
              <w:spacing w:before="120" w:after="120"/>
              <w:textAlignment w:val="baseline"/>
              <w:rPr>
                <w:rFonts w:eastAsia="MS Mincho"/>
                <w:b/>
              </w:rPr>
            </w:pPr>
            <w:r>
              <w:rPr>
                <w:rFonts w:eastAsia="MS Mincho"/>
                <w:b/>
              </w:rPr>
              <w:t>Applicable Frequency Range</w:t>
            </w:r>
            <w:r>
              <w:rPr>
                <w:rFonts w:eastAsia="MS Mincho"/>
                <w:b/>
              </w:rPr>
              <w:br/>
              <w:t>[GHz]</w:t>
            </w:r>
          </w:p>
        </w:tc>
        <w:tc>
          <w:tcPr>
            <w:tcW w:w="1261" w:type="dxa"/>
            <w:tcBorders>
              <w:top w:val="single" w:sz="4" w:space="0" w:color="auto"/>
              <w:left w:val="single" w:sz="4" w:space="0" w:color="auto"/>
              <w:bottom w:val="single" w:sz="4" w:space="0" w:color="auto"/>
              <w:right w:val="single" w:sz="4" w:space="0" w:color="auto"/>
            </w:tcBorders>
            <w:shd w:val="clear" w:color="auto" w:fill="BFBFBF"/>
            <w:hideMark/>
          </w:tcPr>
          <w:p w14:paraId="4461254F" w14:textId="77777777" w:rsidR="0048381C" w:rsidRDefault="0048381C">
            <w:pPr>
              <w:overflowPunct w:val="0"/>
              <w:autoSpaceDE w:val="0"/>
              <w:autoSpaceDN w:val="0"/>
              <w:adjustRightInd w:val="0"/>
              <w:spacing w:before="120" w:after="120"/>
              <w:textAlignment w:val="baseline"/>
              <w:rPr>
                <w:rFonts w:eastAsia="MS Mincho"/>
                <w:b/>
              </w:rPr>
            </w:pPr>
            <w:r>
              <w:rPr>
                <w:rFonts w:eastAsia="MS Mincho"/>
                <w:b/>
              </w:rPr>
              <w:t>UL signal level [dBm]</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5DE11ED7" w14:textId="77777777" w:rsidR="0048381C" w:rsidRDefault="0048381C">
            <w:pPr>
              <w:overflowPunct w:val="0"/>
              <w:autoSpaceDE w:val="0"/>
              <w:autoSpaceDN w:val="0"/>
              <w:adjustRightInd w:val="0"/>
              <w:spacing w:before="120" w:after="120"/>
              <w:textAlignment w:val="baseline"/>
              <w:rPr>
                <w:rFonts w:eastAsia="MS Mincho"/>
                <w:b/>
              </w:rPr>
            </w:pPr>
            <w:r>
              <w:rPr>
                <w:rFonts w:eastAsia="MS Mincho"/>
                <w:b/>
              </w:rPr>
              <w:t>Estimated SNR for total component [dB]</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690176" w14:textId="77777777" w:rsidR="0048381C" w:rsidRDefault="0048381C">
            <w:pPr>
              <w:overflowPunct w:val="0"/>
              <w:autoSpaceDE w:val="0"/>
              <w:autoSpaceDN w:val="0"/>
              <w:adjustRightInd w:val="0"/>
              <w:spacing w:before="120" w:after="120"/>
              <w:textAlignment w:val="baseline"/>
              <w:rPr>
                <w:rFonts w:eastAsia="MS Mincho"/>
                <w:b/>
              </w:rPr>
            </w:pPr>
            <w:r>
              <w:rPr>
                <w:b/>
              </w:rPr>
              <w:t>Impact of Noise (dB)</w:t>
            </w:r>
          </w:p>
          <w:p w14:paraId="7769E029" w14:textId="77777777" w:rsidR="0048381C" w:rsidRDefault="0048381C">
            <w:pPr>
              <w:overflowPunct w:val="0"/>
              <w:autoSpaceDE w:val="0"/>
              <w:autoSpaceDN w:val="0"/>
              <w:adjustRightInd w:val="0"/>
              <w:spacing w:before="120" w:after="120"/>
              <w:textAlignment w:val="baseline"/>
              <w:rPr>
                <w:rFonts w:eastAsia="MS Mincho"/>
                <w:b/>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3C96BFF" w14:textId="77777777" w:rsidR="0048381C" w:rsidRDefault="0048381C">
            <w:pPr>
              <w:overflowPunct w:val="0"/>
              <w:autoSpaceDE w:val="0"/>
              <w:autoSpaceDN w:val="0"/>
              <w:adjustRightInd w:val="0"/>
              <w:spacing w:before="120" w:after="120"/>
              <w:textAlignment w:val="baseline"/>
              <w:rPr>
                <w:rFonts w:eastAsia="MS Mincho"/>
                <w:b/>
              </w:rPr>
            </w:pPr>
            <w:r>
              <w:rPr>
                <w:rFonts w:eastAsia="MS Mincho"/>
                <w:b/>
              </w:rPr>
              <w:t>Proposed relaxation of test requirement</w:t>
            </w:r>
          </w:p>
        </w:tc>
      </w:tr>
      <w:tr w:rsidR="00965D0E" w14:paraId="60069997" w14:textId="77777777" w:rsidTr="004F3DFB">
        <w:trPr>
          <w:trHeight w:val="827"/>
        </w:trPr>
        <w:tc>
          <w:tcPr>
            <w:tcW w:w="0" w:type="auto"/>
            <w:vMerge w:val="restart"/>
            <w:tcBorders>
              <w:top w:val="single" w:sz="4" w:space="0" w:color="auto"/>
              <w:left w:val="single" w:sz="4" w:space="0" w:color="auto"/>
              <w:right w:val="single" w:sz="4" w:space="0" w:color="auto"/>
            </w:tcBorders>
            <w:noWrap/>
            <w:vAlign w:val="center"/>
          </w:tcPr>
          <w:p w14:paraId="1C203A60" w14:textId="209146C6" w:rsidR="004F3DFB" w:rsidRDefault="004F3DFB" w:rsidP="00E5318C">
            <w:pPr>
              <w:overflowPunct w:val="0"/>
              <w:autoSpaceDE w:val="0"/>
              <w:autoSpaceDN w:val="0"/>
              <w:adjustRightInd w:val="0"/>
              <w:spacing w:before="120" w:after="120"/>
              <w:textAlignment w:val="baseline"/>
              <w:rPr>
                <w:rFonts w:eastAsia="MS Mincho"/>
              </w:rPr>
            </w:pPr>
            <w:r>
              <w:rPr>
                <w:rFonts w:eastAsia="MS Mincho"/>
              </w:rPr>
              <w:t>MOP</w:t>
            </w:r>
            <w:r>
              <w:rPr>
                <w:rFonts w:eastAsia="MS Mincho"/>
              </w:rPr>
              <w:br/>
              <w:t>(Min Peak EIRP, PC1)</w:t>
            </w:r>
          </w:p>
        </w:tc>
        <w:tc>
          <w:tcPr>
            <w:tcW w:w="1550" w:type="dxa"/>
            <w:tcBorders>
              <w:top w:val="single" w:sz="4" w:space="0" w:color="auto"/>
              <w:left w:val="single" w:sz="4" w:space="0" w:color="auto"/>
              <w:bottom w:val="single" w:sz="4" w:space="0" w:color="auto"/>
              <w:right w:val="single" w:sz="4" w:space="0" w:color="auto"/>
            </w:tcBorders>
            <w:noWrap/>
            <w:vAlign w:val="center"/>
          </w:tcPr>
          <w:p w14:paraId="1B6C31DF" w14:textId="6CE16A42"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23.45GHz ≤ f ≤ 32.125 GHz</w:t>
            </w:r>
          </w:p>
        </w:tc>
        <w:tc>
          <w:tcPr>
            <w:tcW w:w="1261" w:type="dxa"/>
            <w:tcBorders>
              <w:top w:val="single" w:sz="4" w:space="0" w:color="auto"/>
              <w:left w:val="single" w:sz="4" w:space="0" w:color="auto"/>
              <w:bottom w:val="single" w:sz="4" w:space="0" w:color="auto"/>
              <w:right w:val="single" w:sz="4" w:space="0" w:color="auto"/>
            </w:tcBorders>
          </w:tcPr>
          <w:p w14:paraId="20C1E5F2" w14:textId="12D1BDED" w:rsidR="004F3DFB" w:rsidRDefault="004F3DFB" w:rsidP="004F3DFB">
            <w:pPr>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40 dBm/</w:t>
            </w:r>
            <w:proofErr w:type="spellStart"/>
            <w:r>
              <w:rPr>
                <w:rFonts w:eastAsia="MS Mincho"/>
                <w:color w:val="000000" w:themeColor="text1"/>
              </w:rPr>
              <w:t>ChBW</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499F35A7" w14:textId="52756875"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proofErr w:type="gramStart"/>
            <w:r>
              <w:rPr>
                <w:rFonts w:eastAsia="MS Mincho" w:cs="Calibri"/>
                <w:color w:val="000000" w:themeColor="text1"/>
              </w:rPr>
              <w:t>≥</w:t>
            </w:r>
            <w:r w:rsidR="00D3077F">
              <w:rPr>
                <w:rFonts w:eastAsia="MS Mincho" w:cs="Calibri"/>
                <w:color w:val="000000" w:themeColor="text1"/>
              </w:rPr>
              <w:t>[</w:t>
            </w:r>
            <w:proofErr w:type="gramEnd"/>
            <w:r w:rsidR="00965D0E">
              <w:rPr>
                <w:rFonts w:eastAsia="MS Mincho" w:cs="Calibri"/>
                <w:color w:val="000000" w:themeColor="text1"/>
              </w:rPr>
              <w:t>12</w:t>
            </w:r>
            <w:r w:rsidR="00D3077F">
              <w:rPr>
                <w:rFonts w:eastAsia="MS Mincho" w:cs="Calibri"/>
                <w:color w:val="000000" w:themeColor="text1"/>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tcPr>
          <w:p w14:paraId="7BDA1F1B" w14:textId="43EDF563" w:rsidR="004F3DFB" w:rsidRDefault="00D3077F" w:rsidP="00E5318C">
            <w:pPr>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w:t>
            </w:r>
            <w:r w:rsidR="004F3DFB">
              <w:rPr>
                <w:rFonts w:eastAsia="MS Mincho"/>
                <w:color w:val="000000" w:themeColor="text1"/>
              </w:rPr>
              <w:t>0.</w:t>
            </w:r>
            <w:r w:rsidR="00965D0E">
              <w:rPr>
                <w:rFonts w:eastAsia="MS Mincho"/>
                <w:color w:val="000000" w:themeColor="text1"/>
              </w:rPr>
              <w:t>27</w:t>
            </w:r>
            <w:r>
              <w:rPr>
                <w:rFonts w:eastAsia="MS Mincho"/>
                <w:color w:val="000000" w:themeColor="text1"/>
              </w:rPr>
              <w:t>]</w:t>
            </w:r>
          </w:p>
        </w:tc>
        <w:tc>
          <w:tcPr>
            <w:tcW w:w="0" w:type="auto"/>
            <w:tcBorders>
              <w:top w:val="single" w:sz="4" w:space="0" w:color="auto"/>
              <w:left w:val="single" w:sz="4" w:space="0" w:color="auto"/>
              <w:bottom w:val="single" w:sz="4" w:space="0" w:color="auto"/>
              <w:right w:val="single" w:sz="4" w:space="0" w:color="auto"/>
            </w:tcBorders>
            <w:noWrap/>
          </w:tcPr>
          <w:p w14:paraId="79E84E09" w14:textId="0A9B051E" w:rsidR="004F3DFB" w:rsidRDefault="004F3DFB" w:rsidP="00E5318C">
            <w:pPr>
              <w:spacing w:before="120" w:after="120"/>
              <w:jc w:val="right"/>
              <w:rPr>
                <w:rFonts w:eastAsia="MS Mincho"/>
                <w:color w:val="000000"/>
              </w:rPr>
            </w:pPr>
            <w:r>
              <w:rPr>
                <w:rFonts w:eastAsia="MS Mincho"/>
                <w:color w:val="000000" w:themeColor="text1"/>
              </w:rPr>
              <w:t>N/A</w:t>
            </w:r>
          </w:p>
        </w:tc>
      </w:tr>
      <w:tr w:rsidR="00965D0E" w14:paraId="52981AAD" w14:textId="77777777" w:rsidTr="004F3DFB">
        <w:tc>
          <w:tcPr>
            <w:tcW w:w="0" w:type="auto"/>
            <w:vMerge/>
            <w:tcBorders>
              <w:left w:val="single" w:sz="4" w:space="0" w:color="auto"/>
              <w:bottom w:val="nil"/>
              <w:right w:val="single" w:sz="4" w:space="0" w:color="auto"/>
            </w:tcBorders>
            <w:noWrap/>
            <w:vAlign w:val="center"/>
          </w:tcPr>
          <w:p w14:paraId="783F2C77" w14:textId="77777777" w:rsidR="004F3DFB" w:rsidRDefault="004F3DFB" w:rsidP="00E5318C">
            <w:pPr>
              <w:overflowPunct w:val="0"/>
              <w:autoSpaceDE w:val="0"/>
              <w:autoSpaceDN w:val="0"/>
              <w:adjustRightInd w:val="0"/>
              <w:spacing w:before="120" w:after="120"/>
              <w:textAlignment w:val="baseline"/>
              <w:rPr>
                <w:rFonts w:eastAsia="MS Mincho"/>
              </w:rPr>
            </w:pPr>
          </w:p>
        </w:tc>
        <w:tc>
          <w:tcPr>
            <w:tcW w:w="1550" w:type="dxa"/>
            <w:tcBorders>
              <w:top w:val="single" w:sz="4" w:space="0" w:color="auto"/>
              <w:left w:val="single" w:sz="4" w:space="0" w:color="auto"/>
              <w:bottom w:val="single" w:sz="4" w:space="0" w:color="auto"/>
              <w:right w:val="single" w:sz="4" w:space="0" w:color="auto"/>
            </w:tcBorders>
            <w:noWrap/>
            <w:vAlign w:val="center"/>
          </w:tcPr>
          <w:p w14:paraId="2A99BFAD" w14:textId="782010B5"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32.125 GHz ≤ f ≤ 40.8 GHz</w:t>
            </w:r>
          </w:p>
        </w:tc>
        <w:tc>
          <w:tcPr>
            <w:tcW w:w="1261" w:type="dxa"/>
            <w:tcBorders>
              <w:top w:val="single" w:sz="4" w:space="0" w:color="auto"/>
              <w:left w:val="single" w:sz="4" w:space="0" w:color="auto"/>
              <w:bottom w:val="single" w:sz="4" w:space="0" w:color="auto"/>
              <w:right w:val="single" w:sz="4" w:space="0" w:color="auto"/>
            </w:tcBorders>
          </w:tcPr>
          <w:p w14:paraId="675B1FCB" w14:textId="50097002" w:rsidR="004F3DFB" w:rsidRPr="00C43128" w:rsidRDefault="004F3DFB" w:rsidP="00C43128">
            <w:pPr>
              <w:overflowPunct w:val="0"/>
              <w:autoSpaceDE w:val="0"/>
              <w:autoSpaceDN w:val="0"/>
              <w:adjustRightInd w:val="0"/>
              <w:spacing w:before="120" w:after="120"/>
              <w:jc w:val="right"/>
              <w:textAlignment w:val="baseline"/>
              <w:rPr>
                <w:rFonts w:eastAsia="MS Mincho"/>
                <w:color w:val="000000" w:themeColor="text1"/>
              </w:rPr>
            </w:pPr>
            <w:r>
              <w:rPr>
                <w:rFonts w:eastAsia="MS Mincho"/>
                <w:color w:val="000000" w:themeColor="text1"/>
              </w:rPr>
              <w:t>38 dBm/</w:t>
            </w:r>
            <w:proofErr w:type="spellStart"/>
            <w:r>
              <w:rPr>
                <w:rFonts w:eastAsia="MS Mincho"/>
                <w:color w:val="000000" w:themeColor="text1"/>
              </w:rPr>
              <w:t>ChBW</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2DDFA7AF" w14:textId="7CCB7672"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proofErr w:type="gramStart"/>
            <w:r w:rsidRPr="00C43128">
              <w:rPr>
                <w:rFonts w:eastAsia="MS Mincho" w:cs="Calibri"/>
                <w:color w:val="000000"/>
              </w:rPr>
              <w:t>≥</w:t>
            </w:r>
            <w:r w:rsidR="00D3077F">
              <w:rPr>
                <w:rFonts w:eastAsia="MS Mincho" w:cs="Calibri"/>
                <w:color w:val="000000"/>
              </w:rPr>
              <w:t>[</w:t>
            </w:r>
            <w:proofErr w:type="gramEnd"/>
            <w:r w:rsidRPr="00C43128">
              <w:rPr>
                <w:rFonts w:eastAsia="MS Mincho" w:cs="Calibri"/>
                <w:color w:val="000000"/>
              </w:rPr>
              <w:t>1</w:t>
            </w:r>
            <w:r w:rsidR="00965D0E">
              <w:rPr>
                <w:rFonts w:eastAsia="MS Mincho" w:cs="Calibri"/>
                <w:color w:val="000000"/>
              </w:rPr>
              <w:t>1</w:t>
            </w:r>
            <w:r w:rsidR="00D3077F">
              <w:rPr>
                <w:rFonts w:eastAsia="MS Mincho" w:cs="Calibri"/>
                <w:color w:val="000000"/>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tcPr>
          <w:p w14:paraId="78309E7E" w14:textId="30C492D7" w:rsidR="004F3DFB" w:rsidRDefault="00D3077F" w:rsidP="00E5318C">
            <w:pPr>
              <w:overflowPunct w:val="0"/>
              <w:autoSpaceDE w:val="0"/>
              <w:autoSpaceDN w:val="0"/>
              <w:adjustRightInd w:val="0"/>
              <w:spacing w:before="120" w:after="120"/>
              <w:jc w:val="right"/>
              <w:textAlignment w:val="baseline"/>
              <w:rPr>
                <w:rFonts w:eastAsia="MS Mincho"/>
                <w:color w:val="000000"/>
              </w:rPr>
            </w:pPr>
            <w:r w:rsidRPr="00D3077F">
              <w:rPr>
                <w:rFonts w:eastAsia="MS Mincho"/>
                <w:color w:val="000000"/>
              </w:rPr>
              <w:t>[</w:t>
            </w:r>
            <w:r w:rsidR="004F3DFB">
              <w:rPr>
                <w:rFonts w:eastAsia="MS Mincho"/>
                <w:color w:val="000000" w:themeColor="text1"/>
              </w:rPr>
              <w:t>0.</w:t>
            </w:r>
            <w:r w:rsidR="00965D0E">
              <w:rPr>
                <w:rFonts w:eastAsia="MS Mincho"/>
                <w:color w:val="000000" w:themeColor="text1"/>
              </w:rPr>
              <w:t>33</w:t>
            </w:r>
            <w:r w:rsidRPr="00D3077F">
              <w:rPr>
                <w:rFonts w:eastAsia="MS Mincho"/>
                <w:color w:val="000000"/>
              </w:rPr>
              <w:t>]</w:t>
            </w:r>
          </w:p>
        </w:tc>
        <w:tc>
          <w:tcPr>
            <w:tcW w:w="0" w:type="auto"/>
            <w:tcBorders>
              <w:top w:val="single" w:sz="4" w:space="0" w:color="auto"/>
              <w:left w:val="single" w:sz="4" w:space="0" w:color="auto"/>
              <w:bottom w:val="single" w:sz="4" w:space="0" w:color="auto"/>
              <w:right w:val="single" w:sz="4" w:space="0" w:color="auto"/>
            </w:tcBorders>
            <w:noWrap/>
          </w:tcPr>
          <w:p w14:paraId="7C3D3145" w14:textId="198BE671" w:rsidR="004F3DFB" w:rsidRDefault="004F3DFB" w:rsidP="00E5318C">
            <w:pPr>
              <w:spacing w:before="120" w:after="120"/>
              <w:jc w:val="right"/>
              <w:rPr>
                <w:rFonts w:eastAsia="MS Mincho"/>
                <w:color w:val="000000"/>
              </w:rPr>
            </w:pPr>
            <w:r>
              <w:rPr>
                <w:rFonts w:eastAsia="MS Mincho"/>
                <w:color w:val="000000" w:themeColor="text1"/>
              </w:rPr>
              <w:t>N/A</w:t>
            </w:r>
          </w:p>
        </w:tc>
      </w:tr>
      <w:tr w:rsidR="00965D0E" w14:paraId="5B1094C6" w14:textId="77777777" w:rsidTr="004F3DFB">
        <w:tc>
          <w:tcPr>
            <w:tcW w:w="0" w:type="auto"/>
            <w:vMerge w:val="restart"/>
            <w:tcBorders>
              <w:top w:val="single" w:sz="4" w:space="0" w:color="auto"/>
              <w:left w:val="single" w:sz="4" w:space="0" w:color="auto"/>
              <w:right w:val="single" w:sz="4" w:space="0" w:color="auto"/>
            </w:tcBorders>
            <w:noWrap/>
          </w:tcPr>
          <w:p w14:paraId="423F5E7C" w14:textId="77777777" w:rsidR="004F3DFB" w:rsidRDefault="004F3DFB" w:rsidP="00E5318C">
            <w:pPr>
              <w:overflowPunct w:val="0"/>
              <w:autoSpaceDE w:val="0"/>
              <w:autoSpaceDN w:val="0"/>
              <w:adjustRightInd w:val="0"/>
              <w:spacing w:before="120" w:after="120"/>
              <w:textAlignment w:val="baseline"/>
              <w:rPr>
                <w:rFonts w:eastAsia="MS Mincho"/>
                <w:sz w:val="20"/>
                <w:szCs w:val="20"/>
              </w:rPr>
            </w:pPr>
            <w:r>
              <w:rPr>
                <w:rFonts w:eastAsia="MS Mincho"/>
              </w:rPr>
              <w:t>MOP</w:t>
            </w:r>
          </w:p>
          <w:p w14:paraId="5C21E0D5" w14:textId="53E81775" w:rsidR="004F3DFB" w:rsidRDefault="004F3DFB" w:rsidP="00E5318C">
            <w:pPr>
              <w:overflowPunct w:val="0"/>
              <w:autoSpaceDE w:val="0"/>
              <w:autoSpaceDN w:val="0"/>
              <w:adjustRightInd w:val="0"/>
              <w:spacing w:before="120" w:after="120"/>
              <w:textAlignment w:val="baseline"/>
              <w:rPr>
                <w:rFonts w:eastAsia="MS Mincho"/>
              </w:rPr>
            </w:pPr>
            <w:r>
              <w:rPr>
                <w:rFonts w:eastAsia="MS Mincho"/>
              </w:rPr>
              <w:t>(TRP, PC1)</w:t>
            </w:r>
          </w:p>
        </w:tc>
        <w:tc>
          <w:tcPr>
            <w:tcW w:w="1550" w:type="dxa"/>
            <w:tcBorders>
              <w:top w:val="single" w:sz="4" w:space="0" w:color="auto"/>
              <w:left w:val="single" w:sz="4" w:space="0" w:color="auto"/>
              <w:bottom w:val="single" w:sz="4" w:space="0" w:color="auto"/>
              <w:right w:val="single" w:sz="4" w:space="0" w:color="auto"/>
            </w:tcBorders>
            <w:noWrap/>
            <w:vAlign w:val="center"/>
          </w:tcPr>
          <w:p w14:paraId="1ABB394D" w14:textId="0D00A68E"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23.45GHz ≤ f ≤ 32.125 GHz</w:t>
            </w:r>
          </w:p>
        </w:tc>
        <w:tc>
          <w:tcPr>
            <w:tcW w:w="1261" w:type="dxa"/>
            <w:tcBorders>
              <w:top w:val="single" w:sz="4" w:space="0" w:color="auto"/>
              <w:left w:val="single" w:sz="4" w:space="0" w:color="auto"/>
              <w:bottom w:val="single" w:sz="4" w:space="0" w:color="auto"/>
              <w:right w:val="single" w:sz="4" w:space="0" w:color="auto"/>
            </w:tcBorders>
          </w:tcPr>
          <w:p w14:paraId="1B92045C" w14:textId="136FEF7D" w:rsidR="004F3DFB" w:rsidRDefault="004F3DFB" w:rsidP="00E5318C">
            <w:pPr>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35 dBm/</w:t>
            </w:r>
            <w:proofErr w:type="spellStart"/>
            <w:r>
              <w:rPr>
                <w:rFonts w:eastAsia="MS Mincho"/>
                <w:color w:val="000000" w:themeColor="text1"/>
              </w:rPr>
              <w:t>ChBW</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4BBDF88A" w14:textId="283BC414" w:rsidR="004F3DFB" w:rsidRDefault="00564CA0" w:rsidP="00E5318C">
            <w:pPr>
              <w:wordWrap w:val="0"/>
              <w:overflowPunct w:val="0"/>
              <w:autoSpaceDE w:val="0"/>
              <w:autoSpaceDN w:val="0"/>
              <w:adjustRightInd w:val="0"/>
              <w:spacing w:before="120" w:after="120"/>
              <w:jc w:val="right"/>
              <w:textAlignment w:val="baseline"/>
              <w:rPr>
                <w:rFonts w:eastAsia="MS Mincho"/>
                <w:color w:val="000000"/>
              </w:rPr>
            </w:pPr>
            <w:proofErr w:type="gramStart"/>
            <w:r w:rsidRPr="00C43128">
              <w:rPr>
                <w:rFonts w:eastAsia="MS Mincho" w:cs="Calibri"/>
                <w:color w:val="000000"/>
              </w:rPr>
              <w:t>≥</w:t>
            </w:r>
            <w:r w:rsidR="00D3077F">
              <w:rPr>
                <w:rFonts w:eastAsia="MS Mincho" w:cs="Calibri"/>
                <w:color w:val="000000"/>
              </w:rPr>
              <w:t>[</w:t>
            </w:r>
            <w:proofErr w:type="gramEnd"/>
            <w:r w:rsidR="003C211A">
              <w:rPr>
                <w:rFonts w:eastAsia="MS Mincho" w:cs="Calibri"/>
                <w:color w:val="000000"/>
              </w:rPr>
              <w:t>1</w:t>
            </w:r>
            <w:r w:rsidR="00965D0E">
              <w:rPr>
                <w:rFonts w:eastAsia="MS Mincho" w:cs="Calibri"/>
                <w:color w:val="000000"/>
              </w:rPr>
              <w:t>1</w:t>
            </w:r>
            <w:r w:rsidR="00D3077F">
              <w:rPr>
                <w:rFonts w:eastAsia="MS Mincho" w:cs="Calibri"/>
                <w:color w:val="000000"/>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tcPr>
          <w:p w14:paraId="51F4AC09" w14:textId="0042192D" w:rsidR="004F3DFB" w:rsidRPr="004F3DFB" w:rsidRDefault="00D3077F" w:rsidP="004F3DFB">
            <w:pPr>
              <w:overflowPunct w:val="0"/>
              <w:autoSpaceDE w:val="0"/>
              <w:autoSpaceDN w:val="0"/>
              <w:adjustRightInd w:val="0"/>
              <w:spacing w:before="120" w:after="120"/>
              <w:jc w:val="right"/>
              <w:textAlignment w:val="baseline"/>
              <w:rPr>
                <w:rFonts w:eastAsia="MS Mincho"/>
                <w:color w:val="000000" w:themeColor="text1"/>
              </w:rPr>
            </w:pPr>
            <w:r w:rsidRPr="00D3077F">
              <w:rPr>
                <w:rFonts w:eastAsia="MS Mincho"/>
                <w:color w:val="000000"/>
              </w:rPr>
              <w:t>[</w:t>
            </w:r>
            <w:r w:rsidR="00564CA0" w:rsidRPr="00564CA0">
              <w:rPr>
                <w:rFonts w:eastAsia="MS Mincho"/>
                <w:color w:val="000000"/>
              </w:rPr>
              <w:t>0.</w:t>
            </w:r>
            <w:r w:rsidR="00965D0E">
              <w:rPr>
                <w:rFonts w:eastAsia="MS Mincho"/>
                <w:color w:val="000000"/>
              </w:rPr>
              <w:t>33</w:t>
            </w:r>
            <w:r w:rsidRPr="00D3077F">
              <w:rPr>
                <w:rFonts w:eastAsia="MS Mincho"/>
                <w:color w:val="000000"/>
              </w:rPr>
              <w:t>]</w:t>
            </w:r>
          </w:p>
        </w:tc>
        <w:tc>
          <w:tcPr>
            <w:tcW w:w="0" w:type="auto"/>
            <w:tcBorders>
              <w:top w:val="single" w:sz="4" w:space="0" w:color="auto"/>
              <w:left w:val="single" w:sz="4" w:space="0" w:color="auto"/>
              <w:bottom w:val="single" w:sz="4" w:space="0" w:color="auto"/>
              <w:right w:val="single" w:sz="4" w:space="0" w:color="auto"/>
            </w:tcBorders>
            <w:noWrap/>
          </w:tcPr>
          <w:p w14:paraId="3278B04F" w14:textId="4CED3624" w:rsidR="004F3DFB" w:rsidRPr="004F3DFB" w:rsidRDefault="004F3DFB" w:rsidP="004F3DFB">
            <w:pPr>
              <w:spacing w:before="120" w:after="120"/>
              <w:jc w:val="right"/>
              <w:rPr>
                <w:rFonts w:eastAsia="MS Mincho"/>
                <w:color w:val="000000" w:themeColor="text1"/>
              </w:rPr>
            </w:pPr>
            <w:r>
              <w:rPr>
                <w:rFonts w:eastAsia="MS Mincho"/>
                <w:color w:val="000000" w:themeColor="text1"/>
              </w:rPr>
              <w:t>N/A</w:t>
            </w:r>
          </w:p>
        </w:tc>
      </w:tr>
      <w:tr w:rsidR="00965D0E" w14:paraId="4D873200" w14:textId="77777777" w:rsidTr="004F3DFB">
        <w:tc>
          <w:tcPr>
            <w:tcW w:w="0" w:type="auto"/>
            <w:vMerge/>
            <w:tcBorders>
              <w:left w:val="single" w:sz="4" w:space="0" w:color="auto"/>
              <w:bottom w:val="nil"/>
              <w:right w:val="single" w:sz="4" w:space="0" w:color="auto"/>
            </w:tcBorders>
            <w:noWrap/>
          </w:tcPr>
          <w:p w14:paraId="2628541C" w14:textId="77777777" w:rsidR="004F3DFB" w:rsidRDefault="004F3DFB" w:rsidP="00E5318C">
            <w:pPr>
              <w:overflowPunct w:val="0"/>
              <w:autoSpaceDE w:val="0"/>
              <w:autoSpaceDN w:val="0"/>
              <w:adjustRightInd w:val="0"/>
              <w:spacing w:before="120" w:after="120"/>
              <w:textAlignment w:val="baseline"/>
              <w:rPr>
                <w:rFonts w:eastAsia="MS Mincho"/>
              </w:rPr>
            </w:pPr>
          </w:p>
        </w:tc>
        <w:tc>
          <w:tcPr>
            <w:tcW w:w="1550" w:type="dxa"/>
            <w:tcBorders>
              <w:top w:val="single" w:sz="4" w:space="0" w:color="auto"/>
              <w:left w:val="single" w:sz="4" w:space="0" w:color="auto"/>
              <w:bottom w:val="single" w:sz="4" w:space="0" w:color="auto"/>
              <w:right w:val="single" w:sz="4" w:space="0" w:color="auto"/>
            </w:tcBorders>
            <w:noWrap/>
            <w:vAlign w:val="center"/>
          </w:tcPr>
          <w:p w14:paraId="742F8A63" w14:textId="3F1A21E0" w:rsidR="004F3DFB" w:rsidRDefault="004F3DFB" w:rsidP="00E5318C">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32.125 GHz ≤ f ≤ 40.8 GHz</w:t>
            </w:r>
          </w:p>
        </w:tc>
        <w:tc>
          <w:tcPr>
            <w:tcW w:w="1261" w:type="dxa"/>
            <w:tcBorders>
              <w:top w:val="single" w:sz="4" w:space="0" w:color="auto"/>
              <w:left w:val="single" w:sz="4" w:space="0" w:color="auto"/>
              <w:bottom w:val="single" w:sz="4" w:space="0" w:color="auto"/>
              <w:right w:val="single" w:sz="4" w:space="0" w:color="auto"/>
            </w:tcBorders>
          </w:tcPr>
          <w:p w14:paraId="5EDCFE76" w14:textId="3B584B2E" w:rsidR="004F3DFB" w:rsidRDefault="004F3DFB" w:rsidP="00E5318C">
            <w:pPr>
              <w:overflowPunct w:val="0"/>
              <w:autoSpaceDE w:val="0"/>
              <w:autoSpaceDN w:val="0"/>
              <w:adjustRightInd w:val="0"/>
              <w:spacing w:before="120" w:after="120"/>
              <w:jc w:val="right"/>
              <w:textAlignment w:val="baseline"/>
              <w:rPr>
                <w:rFonts w:eastAsia="MS Mincho"/>
                <w:color w:val="000000"/>
              </w:rPr>
            </w:pPr>
            <w:r>
              <w:rPr>
                <w:rFonts w:eastAsia="MS Mincho"/>
                <w:color w:val="000000" w:themeColor="text1"/>
              </w:rPr>
              <w:t>35 dBm/</w:t>
            </w:r>
            <w:proofErr w:type="spellStart"/>
            <w:r>
              <w:rPr>
                <w:rFonts w:eastAsia="MS Mincho"/>
                <w:color w:val="000000" w:themeColor="text1"/>
              </w:rPr>
              <w:t>ChBW</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5F1AD081" w14:textId="3981DAD2" w:rsidR="004F3DFB" w:rsidRDefault="00564CA0" w:rsidP="00E5318C">
            <w:pPr>
              <w:wordWrap w:val="0"/>
              <w:overflowPunct w:val="0"/>
              <w:autoSpaceDE w:val="0"/>
              <w:autoSpaceDN w:val="0"/>
              <w:adjustRightInd w:val="0"/>
              <w:spacing w:before="120" w:after="120"/>
              <w:jc w:val="right"/>
              <w:textAlignment w:val="baseline"/>
              <w:rPr>
                <w:rFonts w:eastAsia="MS Mincho"/>
                <w:color w:val="000000"/>
              </w:rPr>
            </w:pPr>
            <w:proofErr w:type="gramStart"/>
            <w:r w:rsidRPr="00C43128">
              <w:rPr>
                <w:rFonts w:eastAsia="MS Mincho" w:cs="Calibri"/>
                <w:color w:val="000000"/>
              </w:rPr>
              <w:t>≥</w:t>
            </w:r>
            <w:r w:rsidR="00D3077F">
              <w:rPr>
                <w:rFonts w:eastAsia="MS Mincho" w:cs="Calibri"/>
                <w:color w:val="000000"/>
              </w:rPr>
              <w:t>[</w:t>
            </w:r>
            <w:proofErr w:type="gramEnd"/>
            <w:r w:rsidRPr="00C43128">
              <w:rPr>
                <w:rFonts w:eastAsia="MS Mincho" w:cs="Calibri"/>
                <w:color w:val="000000"/>
              </w:rPr>
              <w:t>1</w:t>
            </w:r>
            <w:r w:rsidR="00965D0E">
              <w:rPr>
                <w:rFonts w:eastAsia="MS Mincho" w:cs="Calibri"/>
                <w:color w:val="000000"/>
              </w:rPr>
              <w:t>0</w:t>
            </w:r>
            <w:r w:rsidR="00D3077F">
              <w:rPr>
                <w:rFonts w:eastAsia="MS Mincho" w:cs="Calibri"/>
                <w:color w:val="000000"/>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tcPr>
          <w:p w14:paraId="22BDC453" w14:textId="02CC8960" w:rsidR="004F3DFB" w:rsidRDefault="00D3077F" w:rsidP="00E5318C">
            <w:pPr>
              <w:overflowPunct w:val="0"/>
              <w:autoSpaceDE w:val="0"/>
              <w:autoSpaceDN w:val="0"/>
              <w:adjustRightInd w:val="0"/>
              <w:spacing w:before="120" w:after="120"/>
              <w:jc w:val="right"/>
              <w:textAlignment w:val="baseline"/>
              <w:rPr>
                <w:rFonts w:eastAsia="MS Mincho"/>
                <w:color w:val="000000"/>
              </w:rPr>
            </w:pPr>
            <w:r w:rsidRPr="00D3077F">
              <w:rPr>
                <w:rFonts w:eastAsia="MS Mincho"/>
                <w:color w:val="000000"/>
              </w:rPr>
              <w:t>[</w:t>
            </w:r>
            <w:r w:rsidR="00564CA0" w:rsidRPr="00564CA0">
              <w:rPr>
                <w:rFonts w:eastAsia="MS Mincho"/>
                <w:color w:val="000000"/>
              </w:rPr>
              <w:t>0.</w:t>
            </w:r>
            <w:r w:rsidR="00965D0E">
              <w:rPr>
                <w:rFonts w:eastAsia="MS Mincho"/>
                <w:color w:val="000000"/>
              </w:rPr>
              <w:t>41</w:t>
            </w:r>
            <w:r w:rsidRPr="00D3077F">
              <w:rPr>
                <w:rFonts w:eastAsia="MS Mincho"/>
                <w:color w:val="000000"/>
              </w:rPr>
              <w:t>]</w:t>
            </w:r>
          </w:p>
        </w:tc>
        <w:tc>
          <w:tcPr>
            <w:tcW w:w="0" w:type="auto"/>
            <w:tcBorders>
              <w:top w:val="single" w:sz="4" w:space="0" w:color="auto"/>
              <w:left w:val="single" w:sz="4" w:space="0" w:color="auto"/>
              <w:bottom w:val="single" w:sz="4" w:space="0" w:color="auto"/>
              <w:right w:val="single" w:sz="4" w:space="0" w:color="auto"/>
            </w:tcBorders>
            <w:noWrap/>
          </w:tcPr>
          <w:p w14:paraId="6521675C" w14:textId="2A61CB3D" w:rsidR="004F3DFB" w:rsidRDefault="004F3DFB" w:rsidP="00E5318C">
            <w:pPr>
              <w:spacing w:before="120" w:after="120"/>
              <w:jc w:val="right"/>
              <w:rPr>
                <w:rFonts w:eastAsia="MS Mincho"/>
                <w:color w:val="000000"/>
              </w:rPr>
            </w:pPr>
            <w:r>
              <w:rPr>
                <w:rFonts w:eastAsia="MS Mincho"/>
                <w:color w:val="000000" w:themeColor="text1"/>
              </w:rPr>
              <w:t>N/A</w:t>
            </w:r>
          </w:p>
        </w:tc>
      </w:tr>
      <w:tr w:rsidR="00965D0E" w14:paraId="0A6E8B5A" w14:textId="77777777" w:rsidTr="004F3DFB">
        <w:tc>
          <w:tcPr>
            <w:tcW w:w="0" w:type="auto"/>
            <w:vMerge w:val="restart"/>
            <w:tcBorders>
              <w:top w:val="single" w:sz="4" w:space="0" w:color="auto"/>
              <w:left w:val="single" w:sz="4" w:space="0" w:color="auto"/>
              <w:right w:val="single" w:sz="4" w:space="0" w:color="auto"/>
            </w:tcBorders>
            <w:noWrap/>
            <w:hideMark/>
          </w:tcPr>
          <w:p w14:paraId="42D3F121" w14:textId="77777777" w:rsidR="004F3DFB" w:rsidRDefault="004F3DFB">
            <w:pPr>
              <w:overflowPunct w:val="0"/>
              <w:autoSpaceDE w:val="0"/>
              <w:autoSpaceDN w:val="0"/>
              <w:adjustRightInd w:val="0"/>
              <w:spacing w:before="120" w:after="120"/>
              <w:textAlignment w:val="baseline"/>
              <w:rPr>
                <w:rFonts w:eastAsia="MS Mincho"/>
              </w:rPr>
            </w:pPr>
            <w:r>
              <w:rPr>
                <w:rFonts w:eastAsia="MS Mincho"/>
              </w:rPr>
              <w:t>MOP</w:t>
            </w:r>
          </w:p>
          <w:p w14:paraId="57D66929" w14:textId="5A85DD4B" w:rsidR="004F3DFB" w:rsidRDefault="004F3DFB">
            <w:pPr>
              <w:overflowPunct w:val="0"/>
              <w:autoSpaceDE w:val="0"/>
              <w:autoSpaceDN w:val="0"/>
              <w:adjustRightInd w:val="0"/>
              <w:spacing w:before="120" w:after="120"/>
              <w:textAlignment w:val="baseline"/>
              <w:rPr>
                <w:rFonts w:eastAsia="MS Mincho"/>
              </w:rPr>
            </w:pPr>
            <w:r>
              <w:rPr>
                <w:rFonts w:eastAsia="MS Mincho"/>
              </w:rPr>
              <w:t>(Spherical Coverage, PC</w:t>
            </w:r>
            <w:r>
              <w:rPr>
                <w:rFonts w:eastAsia="MS Mincho"/>
              </w:rPr>
              <w:t>1</w:t>
            </w:r>
            <w:r>
              <w:rPr>
                <w:rFonts w:eastAsia="MS Mincho"/>
              </w:rPr>
              <w:t>)</w:t>
            </w:r>
          </w:p>
          <w:p w14:paraId="578D327E" w14:textId="0828F1FB" w:rsidR="004F3DFB" w:rsidRDefault="004F3DFB">
            <w:pPr>
              <w:overflowPunct w:val="0"/>
              <w:autoSpaceDE w:val="0"/>
              <w:autoSpaceDN w:val="0"/>
              <w:adjustRightInd w:val="0"/>
              <w:spacing w:before="120" w:after="120"/>
              <w:textAlignment w:val="baseline"/>
              <w:rPr>
                <w:rFonts w:eastAsia="MS Mincho"/>
              </w:rPr>
            </w:pPr>
          </w:p>
        </w:tc>
        <w:tc>
          <w:tcPr>
            <w:tcW w:w="1550" w:type="dxa"/>
            <w:tcBorders>
              <w:top w:val="single" w:sz="4" w:space="0" w:color="auto"/>
              <w:left w:val="single" w:sz="4" w:space="0" w:color="auto"/>
              <w:bottom w:val="single" w:sz="4" w:space="0" w:color="auto"/>
              <w:right w:val="single" w:sz="4" w:space="0" w:color="auto"/>
            </w:tcBorders>
            <w:noWrap/>
            <w:vAlign w:val="center"/>
            <w:hideMark/>
          </w:tcPr>
          <w:p w14:paraId="5ED6FB7D" w14:textId="77777777" w:rsidR="004F3DFB" w:rsidRDefault="004F3DFB">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rPr>
              <w:t>23.45GHz ≤ f ≤ 32.125 GHz</w:t>
            </w:r>
          </w:p>
        </w:tc>
        <w:tc>
          <w:tcPr>
            <w:tcW w:w="1261" w:type="dxa"/>
            <w:tcBorders>
              <w:top w:val="single" w:sz="4" w:space="0" w:color="auto"/>
              <w:left w:val="single" w:sz="4" w:space="0" w:color="auto"/>
              <w:bottom w:val="single" w:sz="4" w:space="0" w:color="auto"/>
              <w:right w:val="single" w:sz="4" w:space="0" w:color="auto"/>
            </w:tcBorders>
          </w:tcPr>
          <w:p w14:paraId="7334DAF2" w14:textId="5FB63A4C" w:rsidR="004F3DFB" w:rsidRDefault="004F3DFB" w:rsidP="004F3DFB">
            <w:pPr>
              <w:overflowPunct w:val="0"/>
              <w:autoSpaceDE w:val="0"/>
              <w:autoSpaceDN w:val="0"/>
              <w:adjustRightInd w:val="0"/>
              <w:spacing w:before="120" w:after="120"/>
              <w:jc w:val="right"/>
              <w:textAlignment w:val="baseline"/>
              <w:rPr>
                <w:rFonts w:eastAsia="MS Mincho"/>
                <w:color w:val="000000"/>
              </w:rPr>
            </w:pPr>
            <w:r>
              <w:rPr>
                <w:rFonts w:eastAsia="MS Mincho"/>
                <w:color w:val="000000"/>
              </w:rPr>
              <w:t xml:space="preserve">32 </w:t>
            </w:r>
            <w:r>
              <w:rPr>
                <w:rFonts w:eastAsia="MS Mincho"/>
                <w:color w:val="000000"/>
              </w:rPr>
              <w:t>dBm/</w:t>
            </w:r>
            <w:proofErr w:type="spellStart"/>
            <w:r>
              <w:rPr>
                <w:rFonts w:eastAsia="MS Mincho"/>
                <w:color w:val="000000"/>
              </w:rPr>
              <w:t>ChBW</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4DC0767E" w14:textId="3A3D8C27" w:rsidR="004F3DFB" w:rsidRDefault="00564CA0">
            <w:pPr>
              <w:wordWrap w:val="0"/>
              <w:overflowPunct w:val="0"/>
              <w:autoSpaceDE w:val="0"/>
              <w:autoSpaceDN w:val="0"/>
              <w:adjustRightInd w:val="0"/>
              <w:spacing w:before="120" w:after="120"/>
              <w:jc w:val="right"/>
              <w:textAlignment w:val="baseline"/>
              <w:rPr>
                <w:rFonts w:eastAsia="MS Mincho"/>
                <w:color w:val="000000"/>
              </w:rPr>
            </w:pPr>
            <w:proofErr w:type="gramStart"/>
            <w:r w:rsidRPr="00C43128">
              <w:rPr>
                <w:rFonts w:eastAsia="MS Mincho" w:cs="Calibri"/>
                <w:color w:val="000000"/>
              </w:rPr>
              <w:t>≥</w:t>
            </w:r>
            <w:r w:rsidR="00D3077F">
              <w:rPr>
                <w:rFonts w:eastAsia="MS Mincho" w:cs="Calibri"/>
                <w:color w:val="000000"/>
              </w:rPr>
              <w:t>[</w:t>
            </w:r>
            <w:proofErr w:type="gramEnd"/>
            <w:r w:rsidR="003C211A">
              <w:rPr>
                <w:rFonts w:eastAsia="MS Mincho" w:cs="Calibri"/>
                <w:color w:val="000000"/>
              </w:rPr>
              <w:t>12</w:t>
            </w:r>
            <w:r w:rsidR="00D3077F">
              <w:rPr>
                <w:rFonts w:eastAsia="MS Mincho" w:cs="Calibri"/>
                <w:color w:val="000000"/>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E8DEC" w14:textId="7BBED9ED" w:rsidR="004F3DFB" w:rsidRDefault="00D3077F">
            <w:pPr>
              <w:overflowPunct w:val="0"/>
              <w:autoSpaceDE w:val="0"/>
              <w:autoSpaceDN w:val="0"/>
              <w:adjustRightInd w:val="0"/>
              <w:spacing w:before="120" w:after="120"/>
              <w:jc w:val="right"/>
              <w:textAlignment w:val="baseline"/>
              <w:rPr>
                <w:rFonts w:eastAsia="MS Mincho"/>
                <w:color w:val="000000"/>
              </w:rPr>
            </w:pPr>
            <w:r w:rsidRPr="00D3077F">
              <w:rPr>
                <w:rFonts w:eastAsia="MS Mincho"/>
                <w:color w:val="000000"/>
              </w:rPr>
              <w:t>[</w:t>
            </w:r>
            <w:r w:rsidR="00564CA0" w:rsidRPr="00564CA0">
              <w:rPr>
                <w:rFonts w:eastAsia="MS Mincho"/>
                <w:color w:val="000000"/>
              </w:rPr>
              <w:t>0.</w:t>
            </w:r>
            <w:r w:rsidR="003C211A">
              <w:rPr>
                <w:rFonts w:eastAsia="MS Mincho"/>
                <w:color w:val="000000"/>
              </w:rPr>
              <w:t>27</w:t>
            </w:r>
            <w:r w:rsidRPr="00D3077F">
              <w:rPr>
                <w:rFonts w:eastAsia="MS Mincho"/>
                <w:color w:val="000000"/>
              </w:rPr>
              <w:t>]</w:t>
            </w:r>
          </w:p>
        </w:tc>
        <w:tc>
          <w:tcPr>
            <w:tcW w:w="0" w:type="auto"/>
            <w:tcBorders>
              <w:top w:val="single" w:sz="4" w:space="0" w:color="auto"/>
              <w:left w:val="single" w:sz="4" w:space="0" w:color="auto"/>
              <w:bottom w:val="single" w:sz="4" w:space="0" w:color="auto"/>
              <w:right w:val="single" w:sz="4" w:space="0" w:color="auto"/>
            </w:tcBorders>
            <w:noWrap/>
            <w:hideMark/>
          </w:tcPr>
          <w:p w14:paraId="56E781E1" w14:textId="33C8E0D2" w:rsidR="004F3DFB" w:rsidRDefault="00564CA0">
            <w:pPr>
              <w:spacing w:before="120" w:after="120"/>
              <w:jc w:val="right"/>
            </w:pPr>
            <w:r w:rsidRPr="00564CA0">
              <w:rPr>
                <w:rFonts w:eastAsia="MS Mincho"/>
                <w:color w:val="000000"/>
              </w:rPr>
              <w:t>N/A</w:t>
            </w:r>
          </w:p>
        </w:tc>
      </w:tr>
      <w:tr w:rsidR="00965D0E" w14:paraId="15556DE7" w14:textId="77777777" w:rsidTr="004F3DFB">
        <w:tc>
          <w:tcPr>
            <w:tcW w:w="0" w:type="auto"/>
            <w:vMerge/>
            <w:tcBorders>
              <w:left w:val="single" w:sz="4" w:space="0" w:color="auto"/>
              <w:right w:val="single" w:sz="4" w:space="0" w:color="auto"/>
            </w:tcBorders>
            <w:noWrap/>
          </w:tcPr>
          <w:p w14:paraId="4DE4C3C7" w14:textId="77777777" w:rsidR="004F3DFB" w:rsidRDefault="004F3DFB">
            <w:pPr>
              <w:overflowPunct w:val="0"/>
              <w:autoSpaceDE w:val="0"/>
              <w:autoSpaceDN w:val="0"/>
              <w:adjustRightInd w:val="0"/>
              <w:spacing w:before="120" w:after="120"/>
              <w:textAlignment w:val="baseline"/>
              <w:rPr>
                <w:rFonts w:eastAsia="MS Mincho"/>
              </w:rPr>
            </w:pPr>
          </w:p>
        </w:tc>
        <w:tc>
          <w:tcPr>
            <w:tcW w:w="1550" w:type="dxa"/>
            <w:tcBorders>
              <w:top w:val="single" w:sz="4" w:space="0" w:color="auto"/>
              <w:left w:val="single" w:sz="4" w:space="0" w:color="auto"/>
              <w:bottom w:val="single" w:sz="4" w:space="0" w:color="auto"/>
              <w:right w:val="single" w:sz="4" w:space="0" w:color="auto"/>
            </w:tcBorders>
            <w:noWrap/>
            <w:vAlign w:val="center"/>
            <w:hideMark/>
          </w:tcPr>
          <w:p w14:paraId="5C377917" w14:textId="77777777" w:rsidR="004F3DFB" w:rsidRDefault="004F3DFB">
            <w:pPr>
              <w:wordWrap w:val="0"/>
              <w:overflowPunct w:val="0"/>
              <w:autoSpaceDE w:val="0"/>
              <w:autoSpaceDN w:val="0"/>
              <w:adjustRightInd w:val="0"/>
              <w:spacing w:before="120" w:after="120"/>
              <w:jc w:val="right"/>
              <w:textAlignment w:val="baseline"/>
              <w:rPr>
                <w:rFonts w:eastAsia="MS Mincho"/>
                <w:color w:val="000000"/>
              </w:rPr>
            </w:pPr>
            <w:r>
              <w:rPr>
                <w:rFonts w:eastAsia="MS Mincho"/>
                <w:color w:val="000000"/>
              </w:rPr>
              <w:t>32.125 GHz ≤ f ≤ 40.8 GHz</w:t>
            </w:r>
          </w:p>
        </w:tc>
        <w:tc>
          <w:tcPr>
            <w:tcW w:w="1261" w:type="dxa"/>
            <w:tcBorders>
              <w:top w:val="single" w:sz="4" w:space="0" w:color="auto"/>
              <w:left w:val="single" w:sz="4" w:space="0" w:color="auto"/>
              <w:bottom w:val="single" w:sz="4" w:space="0" w:color="auto"/>
              <w:right w:val="single" w:sz="4" w:space="0" w:color="auto"/>
            </w:tcBorders>
            <w:hideMark/>
          </w:tcPr>
          <w:p w14:paraId="00BD2F39" w14:textId="03F91CC2" w:rsidR="004F3DFB" w:rsidRDefault="004F3DFB" w:rsidP="004F3DFB">
            <w:pPr>
              <w:overflowPunct w:val="0"/>
              <w:autoSpaceDE w:val="0"/>
              <w:autoSpaceDN w:val="0"/>
              <w:adjustRightInd w:val="0"/>
              <w:spacing w:before="120" w:after="120"/>
              <w:jc w:val="right"/>
              <w:textAlignment w:val="baseline"/>
              <w:rPr>
                <w:rFonts w:eastAsia="MS Mincho"/>
                <w:color w:val="000000"/>
              </w:rPr>
            </w:pPr>
            <w:r>
              <w:rPr>
                <w:rFonts w:eastAsia="MS Mincho"/>
                <w:color w:val="000000"/>
              </w:rPr>
              <w:t xml:space="preserve">30 </w:t>
            </w:r>
            <w:r>
              <w:rPr>
                <w:rFonts w:eastAsia="MS Mincho"/>
                <w:color w:val="000000"/>
              </w:rPr>
              <w:t>dBm/</w:t>
            </w:r>
            <w:proofErr w:type="spellStart"/>
            <w:r>
              <w:rPr>
                <w:rFonts w:eastAsia="MS Mincho"/>
                <w:color w:val="000000"/>
              </w:rPr>
              <w:t>ChBW</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74C96017" w14:textId="52A87A4A" w:rsidR="004F3DFB" w:rsidRDefault="00564CA0">
            <w:pPr>
              <w:overflowPunct w:val="0"/>
              <w:autoSpaceDE w:val="0"/>
              <w:autoSpaceDN w:val="0"/>
              <w:adjustRightInd w:val="0"/>
              <w:spacing w:before="120" w:after="120"/>
              <w:jc w:val="right"/>
              <w:textAlignment w:val="baseline"/>
              <w:rPr>
                <w:rFonts w:eastAsia="MS Mincho"/>
                <w:color w:val="000000"/>
              </w:rPr>
            </w:pPr>
            <w:proofErr w:type="gramStart"/>
            <w:r w:rsidRPr="00C43128">
              <w:rPr>
                <w:rFonts w:eastAsia="MS Mincho" w:cs="Calibri"/>
                <w:color w:val="000000"/>
              </w:rPr>
              <w:t>≥</w:t>
            </w:r>
            <w:r w:rsidR="00D3077F">
              <w:rPr>
                <w:rFonts w:eastAsia="MS Mincho" w:cs="Calibri"/>
                <w:color w:val="000000"/>
              </w:rPr>
              <w:t>[</w:t>
            </w:r>
            <w:proofErr w:type="gramEnd"/>
            <w:r w:rsidR="00362061">
              <w:rPr>
                <w:rFonts w:eastAsia="MS Mincho" w:cs="Calibri"/>
                <w:color w:val="000000"/>
              </w:rPr>
              <w:t>6</w:t>
            </w:r>
            <w:r w:rsidR="00D3077F">
              <w:rPr>
                <w:rFonts w:eastAsia="MS Mincho" w:cs="Calibri"/>
                <w:color w:val="000000"/>
              </w:rPr>
              <w:t>]</w:t>
            </w:r>
            <w:r>
              <w:rPr>
                <w:rFonts w:eastAsia="MS Mincho"/>
              </w:rPr>
              <w:t xml:space="preserve">+ </w:t>
            </w:r>
            <w:r>
              <w:rPr>
                <w:rFonts w:ascii="Symbol" w:eastAsia="MS Mincho" w:hAnsi="Symbol"/>
              </w:rPr>
              <w:t>D</w:t>
            </w:r>
            <w:proofErr w:type="spellStart"/>
            <w:r>
              <w:rPr>
                <w:rFonts w:eastAsia="MS Mincho"/>
                <w:vertAlign w:val="subscript"/>
              </w:rPr>
              <w:t>ChBW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85002" w14:textId="63BB4E32" w:rsidR="004F3DFB" w:rsidRDefault="00D3077F">
            <w:pPr>
              <w:overflowPunct w:val="0"/>
              <w:autoSpaceDE w:val="0"/>
              <w:autoSpaceDN w:val="0"/>
              <w:adjustRightInd w:val="0"/>
              <w:spacing w:before="120" w:after="120"/>
              <w:jc w:val="right"/>
              <w:textAlignment w:val="baseline"/>
              <w:rPr>
                <w:rFonts w:eastAsia="MS Mincho"/>
                <w:color w:val="000000"/>
              </w:rPr>
            </w:pPr>
            <w:r w:rsidRPr="00D3077F">
              <w:rPr>
                <w:rFonts w:eastAsia="MS Mincho"/>
                <w:color w:val="000000"/>
              </w:rPr>
              <w:t>[</w:t>
            </w:r>
            <w:r w:rsidR="00564CA0" w:rsidRPr="00564CA0">
              <w:rPr>
                <w:rFonts w:eastAsia="MS Mincho"/>
                <w:color w:val="000000"/>
              </w:rPr>
              <w:t>0.</w:t>
            </w:r>
            <w:r w:rsidR="00362061">
              <w:rPr>
                <w:rFonts w:eastAsia="MS Mincho"/>
                <w:color w:val="000000"/>
              </w:rPr>
              <w:t>98</w:t>
            </w:r>
            <w:r w:rsidRPr="00D3077F">
              <w:rPr>
                <w:rFonts w:eastAsia="MS Mincho"/>
                <w:color w:val="000000"/>
              </w:rPr>
              <w:t>]</w:t>
            </w:r>
          </w:p>
        </w:tc>
        <w:tc>
          <w:tcPr>
            <w:tcW w:w="0" w:type="auto"/>
            <w:tcBorders>
              <w:top w:val="single" w:sz="4" w:space="0" w:color="auto"/>
              <w:left w:val="single" w:sz="4" w:space="0" w:color="auto"/>
              <w:bottom w:val="single" w:sz="4" w:space="0" w:color="auto"/>
              <w:right w:val="single" w:sz="4" w:space="0" w:color="auto"/>
            </w:tcBorders>
            <w:noWrap/>
            <w:hideMark/>
          </w:tcPr>
          <w:p w14:paraId="5EA259A1" w14:textId="251EC5C6" w:rsidR="004F3DFB" w:rsidRDefault="00564CA0">
            <w:pPr>
              <w:overflowPunct w:val="0"/>
              <w:autoSpaceDE w:val="0"/>
              <w:autoSpaceDN w:val="0"/>
              <w:adjustRightInd w:val="0"/>
              <w:spacing w:before="120" w:after="120"/>
              <w:jc w:val="right"/>
              <w:textAlignment w:val="baseline"/>
              <w:rPr>
                <w:rFonts w:eastAsia="MS Mincho"/>
                <w:color w:val="000000"/>
              </w:rPr>
            </w:pPr>
            <w:r w:rsidRPr="00564CA0">
              <w:rPr>
                <w:rFonts w:eastAsia="MS Mincho"/>
                <w:color w:val="000000"/>
              </w:rPr>
              <w:t>N/A</w:t>
            </w:r>
          </w:p>
        </w:tc>
      </w:tr>
      <w:tr w:rsidR="004F3DFB" w14:paraId="2C2FE13C" w14:textId="77777777" w:rsidTr="004F3DFB">
        <w:tc>
          <w:tcPr>
            <w:tcW w:w="9659" w:type="dxa"/>
            <w:gridSpan w:val="6"/>
            <w:tcBorders>
              <w:left w:val="single" w:sz="4" w:space="0" w:color="auto"/>
              <w:bottom w:val="single" w:sz="4" w:space="0" w:color="auto"/>
              <w:right w:val="single" w:sz="4" w:space="0" w:color="auto"/>
            </w:tcBorders>
            <w:noWrap/>
          </w:tcPr>
          <w:p w14:paraId="73DACE79" w14:textId="6B8314AA" w:rsidR="004F3DFB" w:rsidRPr="004F3DFB" w:rsidRDefault="004F3DFB" w:rsidP="004F3DFB">
            <w:pPr>
              <w:overflowPunct w:val="0"/>
              <w:autoSpaceDE w:val="0"/>
              <w:autoSpaceDN w:val="0"/>
              <w:adjustRightInd w:val="0"/>
              <w:spacing w:before="120" w:after="120"/>
              <w:textAlignment w:val="baseline"/>
              <w:rPr>
                <w:rFonts w:eastAsia="MS Mincho"/>
              </w:rPr>
            </w:pPr>
            <w:r>
              <w:rPr>
                <w:rFonts w:eastAsia="MS Mincho"/>
              </w:rPr>
              <w:t>NOTE 1</w:t>
            </w:r>
            <w:r>
              <w:rPr>
                <w:rFonts w:ascii="Symbol" w:eastAsia="MS Mincho" w:hAnsi="Symbol"/>
              </w:rPr>
              <w:t>: D</w:t>
            </w:r>
            <w:proofErr w:type="spellStart"/>
            <w:r>
              <w:rPr>
                <w:rFonts w:eastAsia="MS Mincho"/>
                <w:vertAlign w:val="subscript"/>
              </w:rPr>
              <w:t>ChBW</w:t>
            </w:r>
            <w:proofErr w:type="spellEnd"/>
            <w:r>
              <w:rPr>
                <w:rFonts w:eastAsia="MS Mincho"/>
                <w:vertAlign w:val="subscript"/>
              </w:rPr>
              <w:t xml:space="preserve"> </w:t>
            </w:r>
            <w:r>
              <w:rPr>
                <w:rFonts w:eastAsia="MS Mincho"/>
              </w:rPr>
              <w:t>= 10log</w:t>
            </w:r>
            <w:r>
              <w:rPr>
                <w:rFonts w:eastAsia="MS Mincho"/>
                <w:vertAlign w:val="subscript"/>
              </w:rPr>
              <w:t>10</w:t>
            </w:r>
            <w:r>
              <w:rPr>
                <w:rFonts w:eastAsia="MS Mincho"/>
              </w:rPr>
              <w:t>(400MHz/</w:t>
            </w:r>
            <w:proofErr w:type="spellStart"/>
            <w:r>
              <w:rPr>
                <w:rFonts w:eastAsia="MS Mincho"/>
              </w:rPr>
              <w:t>ChBW</w:t>
            </w:r>
            <w:proofErr w:type="spellEnd"/>
            <w:r>
              <w:rPr>
                <w:rFonts w:eastAsia="MS Mincho"/>
              </w:rPr>
              <w:t xml:space="preserve">), 9.03dB for </w:t>
            </w:r>
            <w:proofErr w:type="spellStart"/>
            <w:r>
              <w:rPr>
                <w:rFonts w:eastAsia="MS Mincho"/>
              </w:rPr>
              <w:t>ChBW</w:t>
            </w:r>
            <w:proofErr w:type="spellEnd"/>
            <w:r>
              <w:rPr>
                <w:rFonts w:eastAsia="MS Mincho"/>
              </w:rPr>
              <w:t>=50MHz.</w:t>
            </w:r>
          </w:p>
        </w:tc>
      </w:tr>
    </w:tbl>
    <w:p w14:paraId="69949F9A" w14:textId="77777777" w:rsidR="00E5318C" w:rsidRDefault="00E5318C" w:rsidP="00E5318C">
      <w:pPr>
        <w:pStyle w:val="tdoc-header"/>
        <w:overflowPunct w:val="0"/>
        <w:autoSpaceDE w:val="0"/>
        <w:autoSpaceDN w:val="0"/>
        <w:adjustRightInd w:val="0"/>
        <w:spacing w:before="240" w:after="180"/>
        <w:textAlignment w:val="baseline"/>
        <w:outlineLvl w:val="0"/>
        <w:rPr>
          <w:rFonts w:ascii="Calibri" w:eastAsia="Calibri" w:hAnsi="Calibri"/>
          <w:noProof w:val="0"/>
          <w:sz w:val="22"/>
          <w:szCs w:val="22"/>
          <w:lang w:val="en-US"/>
        </w:rPr>
      </w:pPr>
      <w:r>
        <w:rPr>
          <w:rFonts w:ascii="Calibri" w:eastAsia="Calibri" w:hAnsi="Calibri"/>
          <w:noProof w:val="0"/>
          <w:sz w:val="22"/>
          <w:szCs w:val="22"/>
          <w:lang w:val="en-US"/>
        </w:rPr>
        <w:t>Assumptions made are described in Table 2:</w:t>
      </w:r>
    </w:p>
    <w:p w14:paraId="05BBD5BA" w14:textId="77777777" w:rsidR="00E5318C" w:rsidRDefault="00E5318C" w:rsidP="00E5318C">
      <w:pPr>
        <w:pStyle w:val="Caption"/>
        <w:keepNext/>
        <w:jc w:val="center"/>
        <w:rPr>
          <w:sz w:val="20"/>
          <w:szCs w:val="20"/>
        </w:rPr>
      </w:pPr>
      <w:r>
        <w:lastRenderedPageBreak/>
        <w:t>Table 2</w:t>
      </w:r>
      <w:r>
        <w:rPr>
          <w:rFonts w:eastAsia="Times New Roman"/>
        </w:rPr>
        <w:t xml:space="preserve"> Assumptions for low PSD and high PSD SNR relaxations required for priority 1 and 2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4311"/>
        <w:gridCol w:w="4121"/>
      </w:tblGrid>
      <w:tr w:rsidR="00E5318C" w14:paraId="6C0F42B5"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120300F0"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#1</w:t>
            </w:r>
          </w:p>
        </w:tc>
        <w:tc>
          <w:tcPr>
            <w:tcW w:w="4311" w:type="dxa"/>
            <w:tcBorders>
              <w:top w:val="single" w:sz="4" w:space="0" w:color="auto"/>
              <w:left w:val="single" w:sz="4" w:space="0" w:color="auto"/>
              <w:bottom w:val="single" w:sz="4" w:space="0" w:color="auto"/>
              <w:right w:val="single" w:sz="4" w:space="0" w:color="auto"/>
            </w:tcBorders>
            <w:hideMark/>
          </w:tcPr>
          <w:p w14:paraId="1847ABCA"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 xml:space="preserve">Assumption </w:t>
            </w:r>
          </w:p>
        </w:tc>
        <w:tc>
          <w:tcPr>
            <w:tcW w:w="4121" w:type="dxa"/>
            <w:tcBorders>
              <w:top w:val="single" w:sz="4" w:space="0" w:color="auto"/>
              <w:left w:val="single" w:sz="4" w:space="0" w:color="auto"/>
              <w:bottom w:val="single" w:sz="4" w:space="0" w:color="auto"/>
              <w:right w:val="single" w:sz="4" w:space="0" w:color="auto"/>
            </w:tcBorders>
            <w:hideMark/>
          </w:tcPr>
          <w:p w14:paraId="10962B7E"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Description</w:t>
            </w:r>
          </w:p>
        </w:tc>
      </w:tr>
      <w:tr w:rsidR="00E5318C" w14:paraId="6DB31566"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207F13F7"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#2</w:t>
            </w:r>
          </w:p>
        </w:tc>
        <w:tc>
          <w:tcPr>
            <w:tcW w:w="4311" w:type="dxa"/>
            <w:tcBorders>
              <w:top w:val="single" w:sz="4" w:space="0" w:color="auto"/>
              <w:left w:val="single" w:sz="4" w:space="0" w:color="auto"/>
              <w:bottom w:val="single" w:sz="4" w:space="0" w:color="auto"/>
              <w:right w:val="single" w:sz="4" w:space="0" w:color="auto"/>
            </w:tcBorders>
            <w:hideMark/>
          </w:tcPr>
          <w:p w14:paraId="462DA819"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Frequency ranges under consideration</w:t>
            </w:r>
          </w:p>
        </w:tc>
        <w:tc>
          <w:tcPr>
            <w:tcW w:w="4121" w:type="dxa"/>
            <w:tcBorders>
              <w:top w:val="single" w:sz="4" w:space="0" w:color="auto"/>
              <w:left w:val="single" w:sz="4" w:space="0" w:color="auto"/>
              <w:bottom w:val="single" w:sz="4" w:space="0" w:color="auto"/>
              <w:right w:val="single" w:sz="4" w:space="0" w:color="auto"/>
            </w:tcBorders>
            <w:hideMark/>
          </w:tcPr>
          <w:p w14:paraId="0C4C7F0F" w14:textId="10315132" w:rsidR="00E5318C" w:rsidRDefault="00E5318C">
            <w:pPr>
              <w:overflowPunct w:val="0"/>
              <w:autoSpaceDE w:val="0"/>
              <w:autoSpaceDN w:val="0"/>
              <w:adjustRightInd w:val="0"/>
              <w:spacing w:before="120" w:after="120"/>
              <w:textAlignment w:val="baseline"/>
              <w:rPr>
                <w:rFonts w:eastAsia="MS Mincho"/>
              </w:rPr>
            </w:pPr>
            <w:r>
              <w:rPr>
                <w:rFonts w:eastAsia="MS Mincho"/>
              </w:rPr>
              <w:t>All Rel-15 FR2 bands for in-band measurement.</w:t>
            </w:r>
          </w:p>
        </w:tc>
      </w:tr>
      <w:tr w:rsidR="00E5318C" w14:paraId="695C167E"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0A48D7AE"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#3</w:t>
            </w:r>
          </w:p>
        </w:tc>
        <w:tc>
          <w:tcPr>
            <w:tcW w:w="4311" w:type="dxa"/>
            <w:tcBorders>
              <w:top w:val="single" w:sz="4" w:space="0" w:color="auto"/>
              <w:left w:val="single" w:sz="4" w:space="0" w:color="auto"/>
              <w:bottom w:val="single" w:sz="4" w:space="0" w:color="auto"/>
              <w:right w:val="single" w:sz="4" w:space="0" w:color="auto"/>
            </w:tcBorders>
            <w:hideMark/>
          </w:tcPr>
          <w:p w14:paraId="2786D7CC"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Size of QZ for IFF</w:t>
            </w:r>
          </w:p>
        </w:tc>
        <w:tc>
          <w:tcPr>
            <w:tcW w:w="4121" w:type="dxa"/>
            <w:tcBorders>
              <w:top w:val="single" w:sz="4" w:space="0" w:color="auto"/>
              <w:left w:val="single" w:sz="4" w:space="0" w:color="auto"/>
              <w:bottom w:val="single" w:sz="4" w:space="0" w:color="auto"/>
              <w:right w:val="single" w:sz="4" w:space="0" w:color="auto"/>
            </w:tcBorders>
            <w:hideMark/>
          </w:tcPr>
          <w:p w14:paraId="7B117FAD"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30 cm</w:t>
            </w:r>
          </w:p>
        </w:tc>
      </w:tr>
      <w:tr w:rsidR="00E5318C" w14:paraId="2C674E40"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0CD7C95A"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#4</w:t>
            </w:r>
          </w:p>
        </w:tc>
        <w:tc>
          <w:tcPr>
            <w:tcW w:w="4311" w:type="dxa"/>
            <w:tcBorders>
              <w:top w:val="single" w:sz="4" w:space="0" w:color="auto"/>
              <w:left w:val="single" w:sz="4" w:space="0" w:color="auto"/>
              <w:bottom w:val="single" w:sz="4" w:space="0" w:color="auto"/>
              <w:right w:val="single" w:sz="4" w:space="0" w:color="auto"/>
            </w:tcBorders>
            <w:hideMark/>
          </w:tcPr>
          <w:p w14:paraId="4D54328C"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UE power class</w:t>
            </w:r>
          </w:p>
        </w:tc>
        <w:tc>
          <w:tcPr>
            <w:tcW w:w="4121" w:type="dxa"/>
            <w:tcBorders>
              <w:top w:val="single" w:sz="4" w:space="0" w:color="auto"/>
              <w:left w:val="single" w:sz="4" w:space="0" w:color="auto"/>
              <w:bottom w:val="single" w:sz="4" w:space="0" w:color="auto"/>
              <w:right w:val="single" w:sz="4" w:space="0" w:color="auto"/>
            </w:tcBorders>
            <w:hideMark/>
          </w:tcPr>
          <w:p w14:paraId="32240F2F" w14:textId="03E88313" w:rsidR="00E5318C" w:rsidRDefault="00E5318C">
            <w:pPr>
              <w:overflowPunct w:val="0"/>
              <w:autoSpaceDE w:val="0"/>
              <w:autoSpaceDN w:val="0"/>
              <w:adjustRightInd w:val="0"/>
              <w:spacing w:before="120" w:after="120"/>
              <w:textAlignment w:val="baseline"/>
              <w:rPr>
                <w:rFonts w:eastAsia="MS Mincho"/>
              </w:rPr>
            </w:pPr>
            <w:r>
              <w:rPr>
                <w:rFonts w:eastAsia="MS Mincho"/>
              </w:rPr>
              <w:t>PC</w:t>
            </w:r>
            <w:r>
              <w:rPr>
                <w:rFonts w:eastAsia="MS Mincho"/>
              </w:rPr>
              <w:t>1</w:t>
            </w:r>
          </w:p>
        </w:tc>
      </w:tr>
      <w:tr w:rsidR="00E5318C" w14:paraId="0045B424"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1231AE5E"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#5</w:t>
            </w:r>
          </w:p>
        </w:tc>
        <w:tc>
          <w:tcPr>
            <w:tcW w:w="4311" w:type="dxa"/>
            <w:tcBorders>
              <w:top w:val="single" w:sz="4" w:space="0" w:color="auto"/>
              <w:left w:val="single" w:sz="4" w:space="0" w:color="auto"/>
              <w:bottom w:val="single" w:sz="4" w:space="0" w:color="auto"/>
              <w:right w:val="single" w:sz="4" w:space="0" w:color="auto"/>
            </w:tcBorders>
            <w:hideMark/>
          </w:tcPr>
          <w:p w14:paraId="16FAF9B5"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Max EIRP</w:t>
            </w:r>
          </w:p>
        </w:tc>
        <w:tc>
          <w:tcPr>
            <w:tcW w:w="4121" w:type="dxa"/>
            <w:tcBorders>
              <w:top w:val="single" w:sz="4" w:space="0" w:color="auto"/>
              <w:left w:val="single" w:sz="4" w:space="0" w:color="auto"/>
              <w:bottom w:val="single" w:sz="4" w:space="0" w:color="auto"/>
              <w:right w:val="single" w:sz="4" w:space="0" w:color="auto"/>
            </w:tcBorders>
            <w:hideMark/>
          </w:tcPr>
          <w:p w14:paraId="354A5904" w14:textId="5A7E1355" w:rsidR="00E5318C" w:rsidRDefault="00E5318C">
            <w:pPr>
              <w:overflowPunct w:val="0"/>
              <w:autoSpaceDE w:val="0"/>
              <w:autoSpaceDN w:val="0"/>
              <w:adjustRightInd w:val="0"/>
              <w:spacing w:before="120" w:after="120"/>
              <w:textAlignment w:val="baseline"/>
              <w:rPr>
                <w:rFonts w:eastAsia="MS Mincho"/>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w:t>
            </w:r>
            <w:r>
              <w:rPr>
                <w:rFonts w:eastAsia="MS Mincho"/>
              </w:rPr>
              <w:t>55</w:t>
            </w:r>
            <w:r>
              <w:rPr>
                <w:rFonts w:eastAsia="MS Mincho"/>
              </w:rPr>
              <w:t xml:space="preserve"> dBm (average power)</w:t>
            </w:r>
            <w:r>
              <w:rPr>
                <w:rFonts w:eastAsia="MS Mincho"/>
                <w:color w:val="000000"/>
              </w:rPr>
              <w:t xml:space="preserve"> unless otherwise stated.</w:t>
            </w:r>
          </w:p>
        </w:tc>
      </w:tr>
      <w:tr w:rsidR="00E5318C" w14:paraId="2EE83DDD"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0D1C79B6"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#6</w:t>
            </w:r>
          </w:p>
        </w:tc>
        <w:tc>
          <w:tcPr>
            <w:tcW w:w="4311" w:type="dxa"/>
            <w:tcBorders>
              <w:top w:val="single" w:sz="4" w:space="0" w:color="auto"/>
              <w:left w:val="single" w:sz="4" w:space="0" w:color="auto"/>
              <w:bottom w:val="single" w:sz="4" w:space="0" w:color="auto"/>
              <w:right w:val="single" w:sz="4" w:space="0" w:color="auto"/>
            </w:tcBorders>
            <w:hideMark/>
          </w:tcPr>
          <w:p w14:paraId="1875EA2D"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Wanted signal PAPR</w:t>
            </w:r>
          </w:p>
        </w:tc>
        <w:tc>
          <w:tcPr>
            <w:tcW w:w="4121" w:type="dxa"/>
            <w:tcBorders>
              <w:top w:val="single" w:sz="4" w:space="0" w:color="auto"/>
              <w:left w:val="single" w:sz="4" w:space="0" w:color="auto"/>
              <w:bottom w:val="single" w:sz="4" w:space="0" w:color="auto"/>
              <w:right w:val="single" w:sz="4" w:space="0" w:color="auto"/>
            </w:tcBorders>
            <w:hideMark/>
          </w:tcPr>
          <w:p w14:paraId="7EA584E5"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13 dB</w:t>
            </w:r>
          </w:p>
        </w:tc>
      </w:tr>
      <w:tr w:rsidR="00E5318C" w14:paraId="61CE84E0"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1E9A227A"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#7</w:t>
            </w:r>
          </w:p>
        </w:tc>
        <w:tc>
          <w:tcPr>
            <w:tcW w:w="4311" w:type="dxa"/>
            <w:tcBorders>
              <w:top w:val="single" w:sz="4" w:space="0" w:color="auto"/>
              <w:left w:val="single" w:sz="4" w:space="0" w:color="auto"/>
              <w:bottom w:val="single" w:sz="4" w:space="0" w:color="auto"/>
              <w:right w:val="single" w:sz="4" w:space="0" w:color="auto"/>
            </w:tcBorders>
            <w:hideMark/>
          </w:tcPr>
          <w:p w14:paraId="1A2957F9" w14:textId="77777777" w:rsidR="00E5318C" w:rsidRDefault="00E5318C">
            <w:pPr>
              <w:rPr>
                <w:lang w:val="en-GB"/>
              </w:rPr>
            </w:pPr>
            <w:r>
              <w:rPr>
                <w:lang w:val="en-GB"/>
              </w:rPr>
              <w:t>Channel bandwidth</w:t>
            </w:r>
          </w:p>
        </w:tc>
        <w:tc>
          <w:tcPr>
            <w:tcW w:w="4121" w:type="dxa"/>
            <w:tcBorders>
              <w:top w:val="single" w:sz="4" w:space="0" w:color="auto"/>
              <w:left w:val="single" w:sz="4" w:space="0" w:color="auto"/>
              <w:bottom w:val="single" w:sz="4" w:space="0" w:color="auto"/>
              <w:right w:val="single" w:sz="4" w:space="0" w:color="auto"/>
            </w:tcBorders>
            <w:hideMark/>
          </w:tcPr>
          <w:p w14:paraId="3F20A108" w14:textId="77777777" w:rsidR="00E5318C" w:rsidRDefault="00E5318C">
            <w:pPr>
              <w:rPr>
                <w:lang w:val="en-GB"/>
              </w:rPr>
            </w:pPr>
            <w:r>
              <w:rPr>
                <w:lang w:val="en-GB"/>
              </w:rPr>
              <w:t>400 MHz</w:t>
            </w:r>
          </w:p>
        </w:tc>
      </w:tr>
      <w:tr w:rsidR="00E5318C" w14:paraId="63E7EDA5" w14:textId="77777777" w:rsidTr="00E5318C">
        <w:tc>
          <w:tcPr>
            <w:tcW w:w="918" w:type="dxa"/>
            <w:tcBorders>
              <w:top w:val="single" w:sz="4" w:space="0" w:color="auto"/>
              <w:left w:val="single" w:sz="4" w:space="0" w:color="auto"/>
              <w:bottom w:val="single" w:sz="4" w:space="0" w:color="auto"/>
              <w:right w:val="single" w:sz="4" w:space="0" w:color="auto"/>
            </w:tcBorders>
            <w:hideMark/>
          </w:tcPr>
          <w:p w14:paraId="4ACC5E77"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#8</w:t>
            </w:r>
          </w:p>
        </w:tc>
        <w:tc>
          <w:tcPr>
            <w:tcW w:w="4311" w:type="dxa"/>
            <w:tcBorders>
              <w:top w:val="single" w:sz="4" w:space="0" w:color="auto"/>
              <w:left w:val="single" w:sz="4" w:space="0" w:color="auto"/>
              <w:bottom w:val="single" w:sz="4" w:space="0" w:color="auto"/>
              <w:right w:val="single" w:sz="4" w:space="0" w:color="auto"/>
            </w:tcBorders>
            <w:hideMark/>
          </w:tcPr>
          <w:p w14:paraId="1D50D3F3"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Temperature variation</w:t>
            </w:r>
          </w:p>
        </w:tc>
        <w:tc>
          <w:tcPr>
            <w:tcW w:w="4121" w:type="dxa"/>
            <w:tcBorders>
              <w:top w:val="single" w:sz="4" w:space="0" w:color="auto"/>
              <w:left w:val="single" w:sz="4" w:space="0" w:color="auto"/>
              <w:bottom w:val="single" w:sz="4" w:space="0" w:color="auto"/>
              <w:right w:val="single" w:sz="4" w:space="0" w:color="auto"/>
            </w:tcBorders>
            <w:hideMark/>
          </w:tcPr>
          <w:p w14:paraId="40DFC727" w14:textId="77777777" w:rsidR="00E5318C" w:rsidRDefault="00E5318C">
            <w:pPr>
              <w:overflowPunct w:val="0"/>
              <w:autoSpaceDE w:val="0"/>
              <w:autoSpaceDN w:val="0"/>
              <w:adjustRightInd w:val="0"/>
              <w:spacing w:before="120" w:after="120"/>
              <w:textAlignment w:val="baseline"/>
              <w:rPr>
                <w:rFonts w:eastAsia="MS Mincho"/>
              </w:rPr>
            </w:pPr>
            <w:r>
              <w:rPr>
                <w:rFonts w:eastAsia="MS Mincho"/>
              </w:rPr>
              <w:t>+20 to +30 degrees C</w:t>
            </w:r>
          </w:p>
        </w:tc>
      </w:tr>
    </w:tbl>
    <w:p w14:paraId="5D5F6AF1" w14:textId="77777777" w:rsidR="00E5318C" w:rsidRDefault="00E5318C" w:rsidP="00E5318C">
      <w:pPr>
        <w:rPr>
          <w:b/>
        </w:rPr>
      </w:pPr>
    </w:p>
    <w:p w14:paraId="38937BC6" w14:textId="570DBD69" w:rsidR="00E5318C" w:rsidRDefault="00E5318C" w:rsidP="00E5318C">
      <w:pPr>
        <w:rPr>
          <w:b/>
        </w:rPr>
      </w:pPr>
      <w:r>
        <w:rPr>
          <w:b/>
        </w:rPr>
        <w:t xml:space="preserve">Proposal </w:t>
      </w:r>
      <w:r>
        <w:rPr>
          <w:b/>
        </w:rPr>
        <w:t>2</w:t>
      </w:r>
      <w:r>
        <w:rPr>
          <w:b/>
        </w:rPr>
        <w:t>: Apply MU impact due to noise and relaxation proposed in Table 1.</w:t>
      </w:r>
    </w:p>
    <w:p w14:paraId="1D61BD99" w14:textId="513BE111" w:rsidR="00210773"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210773">
        <w:rPr>
          <w:b/>
          <w:noProof w:val="0"/>
          <w:lang w:eastAsia="ja-JP"/>
        </w:rPr>
        <w:t>Conclusion</w:t>
      </w:r>
    </w:p>
    <w:p w14:paraId="49B3506D" w14:textId="1AF87806" w:rsidR="000A2374" w:rsidRPr="00BD439C" w:rsidRDefault="000A2374" w:rsidP="000A2374">
      <w:pPr>
        <w:spacing w:before="120" w:after="120"/>
        <w:rPr>
          <w:rFonts w:eastAsia="MS Mincho"/>
          <w:lang w:val="en-GB"/>
        </w:rPr>
      </w:pPr>
      <w:r>
        <w:rPr>
          <w:rFonts w:eastAsia="MS Mincho"/>
          <w:lang w:val="en-GB"/>
        </w:rPr>
        <w:t xml:space="preserve">This document includes some proposals </w:t>
      </w:r>
      <w:proofErr w:type="gramStart"/>
      <w:r>
        <w:rPr>
          <w:rFonts w:eastAsia="MS Mincho"/>
          <w:lang w:val="en-GB"/>
        </w:rPr>
        <w:t>in order to</w:t>
      </w:r>
      <w:proofErr w:type="gramEnd"/>
      <w:r>
        <w:rPr>
          <w:rFonts w:eastAsia="MS Mincho"/>
          <w:lang w:val="en-GB"/>
        </w:rPr>
        <w:t xml:space="preserve"> progress on </w:t>
      </w:r>
      <w:r w:rsidR="0048381C">
        <w:rPr>
          <w:rFonts w:eastAsia="MS Mincho"/>
          <w:lang w:val="en-GB"/>
        </w:rPr>
        <w:t>PC1</w:t>
      </w:r>
      <w:r>
        <w:rPr>
          <w:rFonts w:eastAsia="MS Mincho"/>
          <w:lang w:val="en-GB"/>
        </w:rPr>
        <w:t xml:space="preserve"> measurement uncertainty </w:t>
      </w:r>
      <w:r w:rsidR="0048381C">
        <w:rPr>
          <w:rFonts w:eastAsia="MS Mincho"/>
          <w:lang w:val="en-GB"/>
        </w:rPr>
        <w:t>discussion</w:t>
      </w:r>
      <w:r>
        <w:rPr>
          <w:rFonts w:eastAsia="MS Mincho"/>
          <w:lang w:val="en-GB"/>
        </w:rPr>
        <w:t xml:space="preserve"> of the specification.</w:t>
      </w:r>
    </w:p>
    <w:p w14:paraId="7F214820" w14:textId="3A3E9F8E" w:rsidR="00035D73" w:rsidRDefault="00035D73" w:rsidP="00035D73">
      <w:pPr>
        <w:spacing w:before="120" w:after="120"/>
        <w:rPr>
          <w:rFonts w:eastAsia="MS Mincho"/>
          <w:lang w:val="en-GB"/>
        </w:rPr>
      </w:pPr>
      <w:r>
        <w:rPr>
          <w:rFonts w:eastAsia="MS Mincho"/>
          <w:lang w:val="en-GB"/>
        </w:rPr>
        <w:t xml:space="preserve">Following </w:t>
      </w:r>
      <w:r w:rsidR="0048381C">
        <w:rPr>
          <w:rFonts w:eastAsia="MS Mincho"/>
          <w:lang w:val="en-GB"/>
        </w:rPr>
        <w:t xml:space="preserve">observation and </w:t>
      </w:r>
      <w:r>
        <w:rPr>
          <w:rFonts w:eastAsia="MS Mincho"/>
          <w:lang w:val="en-GB"/>
        </w:rPr>
        <w:t>proposals are made:</w:t>
      </w:r>
    </w:p>
    <w:p w14:paraId="495739A9" w14:textId="77777777" w:rsidR="00F92069" w:rsidRDefault="00F92069" w:rsidP="00F92069">
      <w:pPr>
        <w:rPr>
          <w:b/>
        </w:rPr>
      </w:pPr>
      <w:r>
        <w:rPr>
          <w:b/>
        </w:rPr>
        <w:t>Observation 1: Noise level impact is higher at lower power values of the Tx Spherical coverage CDF curves and almost negligible at higher power values. This shifts the 85%-</w:t>
      </w:r>
      <w:proofErr w:type="spellStart"/>
      <w:r>
        <w:rPr>
          <w:b/>
        </w:rPr>
        <w:t>ile</w:t>
      </w:r>
      <w:proofErr w:type="spellEnd"/>
      <w:r>
        <w:rPr>
          <w:b/>
        </w:rPr>
        <w:t xml:space="preserve"> value.</w:t>
      </w:r>
    </w:p>
    <w:p w14:paraId="324BE05D" w14:textId="77777777" w:rsidR="00F92069" w:rsidRDefault="00F92069" w:rsidP="00F92069">
      <w:pPr>
        <w:rPr>
          <w:b/>
        </w:rPr>
      </w:pPr>
      <w:r>
        <w:rPr>
          <w:b/>
        </w:rPr>
        <w:t>Observation 2: Higher 85%-</w:t>
      </w:r>
      <w:proofErr w:type="spellStart"/>
      <w:r>
        <w:rPr>
          <w:b/>
        </w:rPr>
        <w:t>ile</w:t>
      </w:r>
      <w:proofErr w:type="spellEnd"/>
      <w:r>
        <w:rPr>
          <w:b/>
        </w:rPr>
        <w:t xml:space="preserve"> shift error can be expected if Tx Spherical coverage CDF includes low power values.</w:t>
      </w:r>
    </w:p>
    <w:p w14:paraId="18191D76" w14:textId="77777777" w:rsidR="00F92069" w:rsidRDefault="00F92069" w:rsidP="00F92069">
      <w:pPr>
        <w:rPr>
          <w:b/>
        </w:rPr>
      </w:pPr>
      <w:r>
        <w:rPr>
          <w:b/>
        </w:rPr>
        <w:t>Observation 3: Tx spherical coverage noise impact is dependent on the Tx spherical coverage CDF curve for a given UE.</w:t>
      </w:r>
    </w:p>
    <w:p w14:paraId="168BEDE5" w14:textId="6A45E2F2" w:rsidR="00F92069" w:rsidRDefault="00F92069" w:rsidP="00F92069">
      <w:pPr>
        <w:rPr>
          <w:b/>
        </w:rPr>
      </w:pPr>
      <w:r>
        <w:rPr>
          <w:b/>
        </w:rPr>
        <w:t xml:space="preserve">Observation 4: Higher </w:t>
      </w:r>
      <w:r w:rsidR="003C211A">
        <w:rPr>
          <w:b/>
        </w:rPr>
        <w:t>85</w:t>
      </w:r>
      <w:r>
        <w:rPr>
          <w:b/>
        </w:rPr>
        <w:t>%-</w:t>
      </w:r>
      <w:proofErr w:type="spellStart"/>
      <w:r>
        <w:rPr>
          <w:b/>
        </w:rPr>
        <w:t>ile</w:t>
      </w:r>
      <w:proofErr w:type="spellEnd"/>
      <w:r>
        <w:rPr>
          <w:b/>
        </w:rPr>
        <w:t xml:space="preserve"> shift error can be expected if Tx Spherical coverage CDF includes low power values.</w:t>
      </w:r>
    </w:p>
    <w:p w14:paraId="11321C3F" w14:textId="59139FBE" w:rsidR="00F92069" w:rsidRDefault="00F92069" w:rsidP="00F92069">
      <w:pPr>
        <w:rPr>
          <w:b/>
        </w:rPr>
      </w:pPr>
      <w:r>
        <w:rPr>
          <w:b/>
        </w:rPr>
        <w:t>Observation 5: For all Tx spherical coverage CDF curves under study, Tx spherical coverage noise impact is lower than the one proposed in [5]</w:t>
      </w:r>
      <w:r>
        <w:rPr>
          <w:b/>
        </w:rPr>
        <w:t xml:space="preserve"> </w:t>
      </w:r>
      <w:r>
        <w:rPr>
          <w:b/>
        </w:rPr>
        <w:t>(slightly modified)</w:t>
      </w:r>
    </w:p>
    <w:p w14:paraId="1D1F9B03" w14:textId="346CB4B5" w:rsidR="00F92069" w:rsidRDefault="00F92069" w:rsidP="00F92069">
      <w:pPr>
        <w:rPr>
          <w:b/>
          <w:bCs/>
          <w:i/>
          <w:iCs/>
        </w:rPr>
      </w:pPr>
      <w:r>
        <w:rPr>
          <w:b/>
        </w:rPr>
        <w:t xml:space="preserve">Proposal 1: Noise impact for Tx spherical coverage is </w:t>
      </w:r>
      <w:r>
        <w:rPr>
          <w:b/>
          <w:bCs/>
          <w:iCs/>
        </w:rPr>
        <w:fldChar w:fldCharType="begin"/>
      </w:r>
      <w:r>
        <w:rPr>
          <w:b/>
          <w:bCs/>
          <w:iCs/>
        </w:rPr>
        <w:instrText xml:space="preserve"> QUOTE </w:instrText>
      </w:r>
      <w:r>
        <w:rPr>
          <w:position w:val="-5"/>
        </w:rPr>
        <w:pict w14:anchorId="691E584A">
          <v:shape id="_x0000_i1051" type="#_x0000_t75" style="width:134.25pt;height:12pt" equationxml="&lt;">
            <v:imagedata r:id="rId9" o:title="" chromakey="white"/>
          </v:shape>
        </w:pict>
      </w:r>
      <w:r>
        <w:rPr>
          <w:b/>
          <w:bCs/>
          <w:iCs/>
        </w:rPr>
        <w:instrText xml:space="preserve"> </w:instrText>
      </w:r>
      <w:r>
        <w:rPr>
          <w:b/>
          <w:bCs/>
          <w:iCs/>
        </w:rPr>
        <w:fldChar w:fldCharType="separate"/>
      </w:r>
      <w:r>
        <w:rPr>
          <w:position w:val="-5"/>
        </w:rPr>
        <w:pict w14:anchorId="4C2E0917">
          <v:shape id="_x0000_i1052" type="#_x0000_t75" style="width:134.25pt;height:12pt" equationxml="&lt;">
            <v:imagedata r:id="rId9" o:title="" chromakey="white"/>
          </v:shape>
        </w:pict>
      </w:r>
      <w:r>
        <w:rPr>
          <w:b/>
          <w:bCs/>
          <w:iCs/>
        </w:rPr>
        <w:fldChar w:fldCharType="end"/>
      </w:r>
      <w:r>
        <w:rPr>
          <w:b/>
          <w:bCs/>
          <w:i/>
          <w:iCs/>
        </w:rPr>
        <w:t>, where SNR is defined for 85%-tile core requirement taking MBR and TE noise from 2 polarization into account for EIRP spherical coverage.</w:t>
      </w:r>
    </w:p>
    <w:p w14:paraId="1DD98206" w14:textId="77777777" w:rsidR="00E5318C" w:rsidRDefault="00E5318C" w:rsidP="00E5318C">
      <w:pPr>
        <w:rPr>
          <w:b/>
        </w:rPr>
      </w:pPr>
      <w:r>
        <w:rPr>
          <w:b/>
        </w:rPr>
        <w:t>Proposal 2: Apply MU impact due to noise and relaxation proposed in Table 1.</w:t>
      </w:r>
    </w:p>
    <w:p w14:paraId="2175FAD7" w14:textId="0D4FD137" w:rsidR="007B7AE3" w:rsidRDefault="0048381C"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lastRenderedPageBreak/>
        <w:t>5</w:t>
      </w:r>
      <w:r w:rsidR="007B7AE3">
        <w:rPr>
          <w:b/>
          <w:noProof w:val="0"/>
        </w:rPr>
        <w:t>.</w:t>
      </w:r>
      <w:r w:rsidR="007B7AE3">
        <w:rPr>
          <w:b/>
          <w:noProof w:val="0"/>
        </w:rPr>
        <w:tab/>
      </w:r>
      <w:r w:rsidR="007B7AE3">
        <w:rPr>
          <w:b/>
          <w:noProof w:val="0"/>
          <w:lang w:eastAsia="ja-JP"/>
        </w:rPr>
        <w:t>References</w:t>
      </w:r>
    </w:p>
    <w:p w14:paraId="4624D27C" w14:textId="70530C44" w:rsidR="00F50E35" w:rsidRDefault="00F50E35" w:rsidP="00F50E35">
      <w:pPr>
        <w:rPr>
          <w:rFonts w:eastAsia="MS Mincho"/>
        </w:rPr>
      </w:pPr>
      <w:r>
        <w:rPr>
          <w:rFonts w:eastAsia="MS Mincho"/>
        </w:rPr>
        <w:t>[1] 38.903 v16.</w:t>
      </w:r>
      <w:r w:rsidR="00520F67">
        <w:rPr>
          <w:rFonts w:eastAsia="MS Mincho"/>
        </w:rPr>
        <w:t>6</w:t>
      </w:r>
      <w:r>
        <w:rPr>
          <w:rFonts w:eastAsia="MS Mincho"/>
        </w:rPr>
        <w:t>.0 “Derivation of test tolerances and measurement uncertainty for User Equipment (UE) conformance test cases”</w:t>
      </w:r>
    </w:p>
    <w:p w14:paraId="0DABCAB9" w14:textId="6B99DBCA" w:rsidR="00676FEF" w:rsidRDefault="00A11BB5" w:rsidP="00676FEF">
      <w:pPr>
        <w:rPr>
          <w:rFonts w:eastAsia="MS Mincho"/>
        </w:rPr>
      </w:pPr>
      <w:r>
        <w:rPr>
          <w:rFonts w:eastAsia="MS Mincho"/>
        </w:rPr>
        <w:t>[</w:t>
      </w:r>
      <w:r w:rsidR="00F50E35">
        <w:rPr>
          <w:rFonts w:eastAsia="MS Mincho"/>
        </w:rPr>
        <w:t>2</w:t>
      </w:r>
      <w:r>
        <w:rPr>
          <w:rFonts w:eastAsia="MS Mincho"/>
        </w:rPr>
        <w:t xml:space="preserve">] </w:t>
      </w:r>
      <w:r w:rsidR="00676FEF">
        <w:rPr>
          <w:rFonts w:eastAsia="MS Mincho"/>
        </w:rPr>
        <w:t>R5-20</w:t>
      </w:r>
      <w:r w:rsidR="00520F67">
        <w:rPr>
          <w:rFonts w:eastAsia="MS Mincho"/>
        </w:rPr>
        <w:t>6618</w:t>
      </w:r>
      <w:r w:rsidR="00676FEF">
        <w:rPr>
          <w:rFonts w:eastAsia="MS Mincho"/>
        </w:rPr>
        <w:t>, “</w:t>
      </w:r>
      <w:r w:rsidR="00520F67" w:rsidRPr="00520F67">
        <w:rPr>
          <w:rFonts w:eastAsia="MS Mincho"/>
        </w:rPr>
        <w:t>PC1 Assumptions for CDF Curve for MOP EIRP Spherical Coverage</w:t>
      </w:r>
      <w:r w:rsidR="00676FEF">
        <w:rPr>
          <w:rFonts w:eastAsia="MS Mincho"/>
        </w:rPr>
        <w:t>”,</w:t>
      </w:r>
      <w:r w:rsidR="00520F67">
        <w:rPr>
          <w:rFonts w:eastAsia="MS Mincho"/>
        </w:rPr>
        <w:t xml:space="preserve"> Qualcomm Incorporated</w:t>
      </w:r>
      <w:r w:rsidR="00676FEF">
        <w:rPr>
          <w:rFonts w:eastAsia="MS Mincho"/>
        </w:rPr>
        <w:t>, RAN5#8</w:t>
      </w:r>
      <w:r w:rsidR="00520F67">
        <w:rPr>
          <w:rFonts w:eastAsia="MS Mincho"/>
        </w:rPr>
        <w:t>9</w:t>
      </w:r>
      <w:r w:rsidR="00676FEF">
        <w:rPr>
          <w:rFonts w:eastAsia="MS Mincho"/>
        </w:rPr>
        <w:t>-e</w:t>
      </w:r>
    </w:p>
    <w:p w14:paraId="31C7D024" w14:textId="187C078D" w:rsidR="00520F67" w:rsidRDefault="00E45FBA" w:rsidP="00E21C5E">
      <w:pPr>
        <w:rPr>
          <w:rFonts w:eastAsia="MS Mincho"/>
        </w:rPr>
      </w:pPr>
      <w:r>
        <w:rPr>
          <w:rFonts w:eastAsia="MS Mincho"/>
        </w:rPr>
        <w:t>[</w:t>
      </w:r>
      <w:r w:rsidR="00F50E35">
        <w:rPr>
          <w:rFonts w:eastAsia="MS Mincho"/>
        </w:rPr>
        <w:t>3</w:t>
      </w:r>
      <w:r>
        <w:rPr>
          <w:rFonts w:eastAsia="MS Mincho"/>
        </w:rPr>
        <w:t>]</w:t>
      </w:r>
      <w:r w:rsidR="00676FEF">
        <w:rPr>
          <w:rFonts w:eastAsia="MS Mincho"/>
        </w:rPr>
        <w:t xml:space="preserve"> </w:t>
      </w:r>
      <w:r w:rsidR="00520F67">
        <w:rPr>
          <w:rFonts w:eastAsia="MS Mincho"/>
        </w:rPr>
        <w:t>R5-202845, “On PC1 MUs”, Keysight Technologies, RAN5#87-e</w:t>
      </w:r>
    </w:p>
    <w:p w14:paraId="3EFBC015" w14:textId="4D4AB41B" w:rsidR="00E45FBA" w:rsidRDefault="00520F67" w:rsidP="00E21C5E">
      <w:pPr>
        <w:rPr>
          <w:rFonts w:eastAsia="MS Mincho"/>
        </w:rPr>
      </w:pPr>
      <w:r>
        <w:rPr>
          <w:rFonts w:eastAsia="MS Mincho"/>
        </w:rPr>
        <w:t>[4] R5-198563, “On FR2 spherical coverage noise impact”, Keysight Technologies, RAN5#85</w:t>
      </w:r>
    </w:p>
    <w:p w14:paraId="45EC48AC" w14:textId="350B6793" w:rsidR="00E40C1C" w:rsidRDefault="00E40C1C" w:rsidP="00E21C5E">
      <w:pPr>
        <w:rPr>
          <w:rFonts w:eastAsia="MS Mincho"/>
        </w:rPr>
      </w:pPr>
      <w:r>
        <w:rPr>
          <w:rFonts w:eastAsia="MS Mincho"/>
        </w:rPr>
        <w:t>[5] R5</w:t>
      </w:r>
      <w:r w:rsidR="00F92069">
        <w:rPr>
          <w:rFonts w:eastAsia="MS Mincho"/>
        </w:rPr>
        <w:t>-</w:t>
      </w:r>
      <w:r>
        <w:rPr>
          <w:rFonts w:eastAsia="MS Mincho"/>
        </w:rPr>
        <w:t>198447, “</w:t>
      </w:r>
      <w:r w:rsidRPr="00E40C1C">
        <w:rPr>
          <w:rFonts w:eastAsia="MS Mincho"/>
        </w:rPr>
        <w:t>On FR2 spherical coverage MU</w:t>
      </w:r>
      <w:r>
        <w:rPr>
          <w:rFonts w:eastAsia="MS Mincho"/>
        </w:rPr>
        <w:t>”, Anritsu, RAN5#85</w:t>
      </w:r>
    </w:p>
    <w:sectPr w:rsidR="00E40C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lvlOverride w:ilvl="2"/>
    <w:lvlOverride w:ilvl="3"/>
    <w:lvlOverride w:ilvl="4"/>
    <w:lvlOverride w:ilvl="5"/>
    <w:lvlOverride w:ilvl="6"/>
    <w:lvlOverride w:ilvl="7"/>
    <w:lvlOverride w:ilvl="8"/>
  </w:num>
  <w:num w:numId="5">
    <w:abstractNumId w:val="14"/>
    <w:lvlOverride w:ilvl="0"/>
    <w:lvlOverride w:ilvl="1"/>
    <w:lvlOverride w:ilvl="2"/>
    <w:lvlOverride w:ilvl="3"/>
    <w:lvlOverride w:ilvl="4"/>
    <w:lvlOverride w:ilvl="5"/>
    <w:lvlOverride w:ilvl="6"/>
    <w:lvlOverride w:ilvl="7"/>
    <w:lvlOverride w:ilvl="8"/>
  </w:num>
  <w:num w:numId="6">
    <w:abstractNumId w:val="1"/>
    <w:lvlOverride w:ilvl="0">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23"/>
    <w:lvlOverride w:ilvl="0"/>
    <w:lvlOverride w:ilvl="1"/>
    <w:lvlOverride w:ilvl="2"/>
    <w:lvlOverride w:ilvl="3"/>
    <w:lvlOverride w:ilvl="4"/>
    <w:lvlOverride w:ilvl="5"/>
    <w:lvlOverride w:ilvl="6"/>
    <w:lvlOverride w:ilvl="7"/>
    <w:lvlOverride w:ilvl="8"/>
  </w:num>
  <w:num w:numId="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lvlOverride w:ilvl="2"/>
    <w:lvlOverride w:ilvl="3"/>
    <w:lvlOverride w:ilvl="4"/>
    <w:lvlOverride w:ilvl="5"/>
    <w:lvlOverride w:ilvl="6"/>
    <w:lvlOverride w:ilvl="7"/>
    <w:lvlOverride w:ilv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6"/>
  </w:num>
  <w:num w:numId="15">
    <w:abstractNumId w:val="17"/>
  </w:num>
  <w:num w:numId="16">
    <w:abstractNumId w:val="0"/>
  </w:num>
  <w:num w:numId="17">
    <w:abstractNumId w:val="20"/>
  </w:num>
  <w:num w:numId="18">
    <w:abstractNumId w:val="24"/>
  </w:num>
  <w:num w:numId="19">
    <w:abstractNumId w:val="9"/>
  </w:num>
  <w:num w:numId="20">
    <w:abstractNumId w:val="11"/>
  </w:num>
  <w:num w:numId="21">
    <w:abstractNumId w:val="7"/>
  </w:num>
  <w:num w:numId="22">
    <w:abstractNumId w:val="19"/>
  </w:num>
  <w:num w:numId="23">
    <w:abstractNumId w:val="25"/>
  </w:num>
  <w:num w:numId="24">
    <w:abstractNumId w:val="2"/>
    <w:lvlOverride w:ilvl="0"/>
    <w:lvlOverride w:ilvl="1"/>
    <w:lvlOverride w:ilvl="2"/>
    <w:lvlOverride w:ilvl="3"/>
    <w:lvlOverride w:ilvl="4"/>
    <w:lvlOverride w:ilvl="5"/>
    <w:lvlOverride w:ilvl="6"/>
    <w:lvlOverride w:ilvl="7"/>
    <w:lvlOverride w:ilvl="8"/>
  </w:num>
  <w:num w:numId="25">
    <w:abstractNumId w:val="2"/>
  </w:num>
  <w:num w:numId="26">
    <w:abstractNumId w:val="12"/>
  </w:num>
  <w:num w:numId="27">
    <w:abstractNumId w:val="5"/>
  </w:num>
  <w:num w:numId="2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7AE3"/>
    <w:rsid w:val="0000251C"/>
    <w:rsid w:val="00010A98"/>
    <w:rsid w:val="0002236E"/>
    <w:rsid w:val="00024262"/>
    <w:rsid w:val="00026425"/>
    <w:rsid w:val="00030DD5"/>
    <w:rsid w:val="00032FC4"/>
    <w:rsid w:val="00035D73"/>
    <w:rsid w:val="00037A7F"/>
    <w:rsid w:val="00047F15"/>
    <w:rsid w:val="00063BA2"/>
    <w:rsid w:val="00063BB5"/>
    <w:rsid w:val="0006475B"/>
    <w:rsid w:val="00070BB5"/>
    <w:rsid w:val="00090668"/>
    <w:rsid w:val="00091307"/>
    <w:rsid w:val="000967DD"/>
    <w:rsid w:val="000A2374"/>
    <w:rsid w:val="000A7F81"/>
    <w:rsid w:val="000B4CFF"/>
    <w:rsid w:val="000C4295"/>
    <w:rsid w:val="000C6C9B"/>
    <w:rsid w:val="000D0240"/>
    <w:rsid w:val="000D374A"/>
    <w:rsid w:val="000E168D"/>
    <w:rsid w:val="000F0466"/>
    <w:rsid w:val="000F089A"/>
    <w:rsid w:val="000F15F3"/>
    <w:rsid w:val="001279DD"/>
    <w:rsid w:val="00130BD3"/>
    <w:rsid w:val="00137331"/>
    <w:rsid w:val="0015240D"/>
    <w:rsid w:val="001607F9"/>
    <w:rsid w:val="00175196"/>
    <w:rsid w:val="0017750E"/>
    <w:rsid w:val="00187383"/>
    <w:rsid w:val="00190ECC"/>
    <w:rsid w:val="001937E8"/>
    <w:rsid w:val="001A6F74"/>
    <w:rsid w:val="001B2B81"/>
    <w:rsid w:val="001D0441"/>
    <w:rsid w:val="001D4AF5"/>
    <w:rsid w:val="001E391D"/>
    <w:rsid w:val="001F5023"/>
    <w:rsid w:val="00210773"/>
    <w:rsid w:val="002379EB"/>
    <w:rsid w:val="00253486"/>
    <w:rsid w:val="0027603E"/>
    <w:rsid w:val="00285EBB"/>
    <w:rsid w:val="00291610"/>
    <w:rsid w:val="002A0DF2"/>
    <w:rsid w:val="002A4A15"/>
    <w:rsid w:val="002B4460"/>
    <w:rsid w:val="002B5E66"/>
    <w:rsid w:val="002B6A7F"/>
    <w:rsid w:val="002B6BBE"/>
    <w:rsid w:val="00303FEA"/>
    <w:rsid w:val="00311CF9"/>
    <w:rsid w:val="00313CC1"/>
    <w:rsid w:val="00313F14"/>
    <w:rsid w:val="00324D6B"/>
    <w:rsid w:val="00325BD7"/>
    <w:rsid w:val="00332E89"/>
    <w:rsid w:val="003377F4"/>
    <w:rsid w:val="00342C56"/>
    <w:rsid w:val="00344968"/>
    <w:rsid w:val="0035043F"/>
    <w:rsid w:val="00352B85"/>
    <w:rsid w:val="00362061"/>
    <w:rsid w:val="00367ACE"/>
    <w:rsid w:val="00383CE4"/>
    <w:rsid w:val="0039337C"/>
    <w:rsid w:val="0039489D"/>
    <w:rsid w:val="00397E18"/>
    <w:rsid w:val="003C211A"/>
    <w:rsid w:val="003C5E71"/>
    <w:rsid w:val="003D2DBB"/>
    <w:rsid w:val="003D5746"/>
    <w:rsid w:val="003D7512"/>
    <w:rsid w:val="003F6D3D"/>
    <w:rsid w:val="004050DD"/>
    <w:rsid w:val="0040673D"/>
    <w:rsid w:val="0041763F"/>
    <w:rsid w:val="00424024"/>
    <w:rsid w:val="00424C03"/>
    <w:rsid w:val="0044244F"/>
    <w:rsid w:val="00460137"/>
    <w:rsid w:val="0048381C"/>
    <w:rsid w:val="004A7285"/>
    <w:rsid w:val="004C24A8"/>
    <w:rsid w:val="004C3590"/>
    <w:rsid w:val="004C48FF"/>
    <w:rsid w:val="004D6232"/>
    <w:rsid w:val="004D7C70"/>
    <w:rsid w:val="004E6542"/>
    <w:rsid w:val="004F3DFB"/>
    <w:rsid w:val="0051790C"/>
    <w:rsid w:val="00520F67"/>
    <w:rsid w:val="00526CCF"/>
    <w:rsid w:val="0053085D"/>
    <w:rsid w:val="0053104F"/>
    <w:rsid w:val="00537775"/>
    <w:rsid w:val="00540AA8"/>
    <w:rsid w:val="005514FB"/>
    <w:rsid w:val="00552D52"/>
    <w:rsid w:val="005560D9"/>
    <w:rsid w:val="00556DC6"/>
    <w:rsid w:val="00561E5C"/>
    <w:rsid w:val="00564CA0"/>
    <w:rsid w:val="005737A7"/>
    <w:rsid w:val="005828DD"/>
    <w:rsid w:val="00583EAE"/>
    <w:rsid w:val="005A42C2"/>
    <w:rsid w:val="005B116E"/>
    <w:rsid w:val="005C220F"/>
    <w:rsid w:val="005D2DF9"/>
    <w:rsid w:val="005D4128"/>
    <w:rsid w:val="005D6773"/>
    <w:rsid w:val="005F77F9"/>
    <w:rsid w:val="00605E99"/>
    <w:rsid w:val="00611637"/>
    <w:rsid w:val="006119DE"/>
    <w:rsid w:val="00633B1E"/>
    <w:rsid w:val="00646196"/>
    <w:rsid w:val="00650F6D"/>
    <w:rsid w:val="00665189"/>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20503"/>
    <w:rsid w:val="00724A73"/>
    <w:rsid w:val="00727DA1"/>
    <w:rsid w:val="00732616"/>
    <w:rsid w:val="0075478B"/>
    <w:rsid w:val="00764519"/>
    <w:rsid w:val="007663BE"/>
    <w:rsid w:val="007748EF"/>
    <w:rsid w:val="007A5B88"/>
    <w:rsid w:val="007A7E51"/>
    <w:rsid w:val="007B092D"/>
    <w:rsid w:val="007B5EAD"/>
    <w:rsid w:val="007B625C"/>
    <w:rsid w:val="007B7AE3"/>
    <w:rsid w:val="007C0BD7"/>
    <w:rsid w:val="007C64F5"/>
    <w:rsid w:val="007D0A15"/>
    <w:rsid w:val="00803BA1"/>
    <w:rsid w:val="00807B68"/>
    <w:rsid w:val="00812B39"/>
    <w:rsid w:val="008218DC"/>
    <w:rsid w:val="00823549"/>
    <w:rsid w:val="00826CA3"/>
    <w:rsid w:val="00830B2A"/>
    <w:rsid w:val="008345A2"/>
    <w:rsid w:val="008402A4"/>
    <w:rsid w:val="0084271D"/>
    <w:rsid w:val="00862431"/>
    <w:rsid w:val="00867BD6"/>
    <w:rsid w:val="008704AE"/>
    <w:rsid w:val="00894419"/>
    <w:rsid w:val="008E40ED"/>
    <w:rsid w:val="008E4AAB"/>
    <w:rsid w:val="00900F41"/>
    <w:rsid w:val="00901678"/>
    <w:rsid w:val="00902C91"/>
    <w:rsid w:val="009141D3"/>
    <w:rsid w:val="0091503B"/>
    <w:rsid w:val="00941518"/>
    <w:rsid w:val="00953642"/>
    <w:rsid w:val="0095714E"/>
    <w:rsid w:val="009624A6"/>
    <w:rsid w:val="00965D0E"/>
    <w:rsid w:val="00986A6E"/>
    <w:rsid w:val="00992BB9"/>
    <w:rsid w:val="009A39DC"/>
    <w:rsid w:val="009A5FF3"/>
    <w:rsid w:val="009B27B3"/>
    <w:rsid w:val="009B57A1"/>
    <w:rsid w:val="009C55BE"/>
    <w:rsid w:val="009D5377"/>
    <w:rsid w:val="00A11BB5"/>
    <w:rsid w:val="00A172D8"/>
    <w:rsid w:val="00A17B25"/>
    <w:rsid w:val="00A31D2D"/>
    <w:rsid w:val="00A324AE"/>
    <w:rsid w:val="00A36FCD"/>
    <w:rsid w:val="00A457E7"/>
    <w:rsid w:val="00A50219"/>
    <w:rsid w:val="00A52162"/>
    <w:rsid w:val="00A540B3"/>
    <w:rsid w:val="00A60054"/>
    <w:rsid w:val="00A635E1"/>
    <w:rsid w:val="00A63D7D"/>
    <w:rsid w:val="00A65E99"/>
    <w:rsid w:val="00A710D7"/>
    <w:rsid w:val="00AB0088"/>
    <w:rsid w:val="00AC454D"/>
    <w:rsid w:val="00AD67A5"/>
    <w:rsid w:val="00AD79D6"/>
    <w:rsid w:val="00AE14EE"/>
    <w:rsid w:val="00B10F87"/>
    <w:rsid w:val="00B17A61"/>
    <w:rsid w:val="00B24EA4"/>
    <w:rsid w:val="00B37B86"/>
    <w:rsid w:val="00B51446"/>
    <w:rsid w:val="00B564EA"/>
    <w:rsid w:val="00B720E3"/>
    <w:rsid w:val="00B77A57"/>
    <w:rsid w:val="00B8264B"/>
    <w:rsid w:val="00B83185"/>
    <w:rsid w:val="00B903A9"/>
    <w:rsid w:val="00B93CD6"/>
    <w:rsid w:val="00BB4B1E"/>
    <w:rsid w:val="00BD439C"/>
    <w:rsid w:val="00BD5C79"/>
    <w:rsid w:val="00BF0382"/>
    <w:rsid w:val="00BF447D"/>
    <w:rsid w:val="00C3084F"/>
    <w:rsid w:val="00C43128"/>
    <w:rsid w:val="00C471D9"/>
    <w:rsid w:val="00C75BF1"/>
    <w:rsid w:val="00C76B61"/>
    <w:rsid w:val="00C91EEC"/>
    <w:rsid w:val="00C95337"/>
    <w:rsid w:val="00CA026F"/>
    <w:rsid w:val="00CB3868"/>
    <w:rsid w:val="00CC0B1E"/>
    <w:rsid w:val="00CC4F3B"/>
    <w:rsid w:val="00CD520B"/>
    <w:rsid w:val="00CE7C9A"/>
    <w:rsid w:val="00CF6E46"/>
    <w:rsid w:val="00D0080E"/>
    <w:rsid w:val="00D01344"/>
    <w:rsid w:val="00D038B0"/>
    <w:rsid w:val="00D05092"/>
    <w:rsid w:val="00D05518"/>
    <w:rsid w:val="00D101A7"/>
    <w:rsid w:val="00D174F7"/>
    <w:rsid w:val="00D24C5C"/>
    <w:rsid w:val="00D3077F"/>
    <w:rsid w:val="00D34B54"/>
    <w:rsid w:val="00D40905"/>
    <w:rsid w:val="00D54056"/>
    <w:rsid w:val="00D6598E"/>
    <w:rsid w:val="00D67002"/>
    <w:rsid w:val="00D72D12"/>
    <w:rsid w:val="00DA09F2"/>
    <w:rsid w:val="00DA48F7"/>
    <w:rsid w:val="00DC0281"/>
    <w:rsid w:val="00DC75DA"/>
    <w:rsid w:val="00DD51D7"/>
    <w:rsid w:val="00DE5ECA"/>
    <w:rsid w:val="00DF6A64"/>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F49"/>
    <w:rsid w:val="00EC393E"/>
    <w:rsid w:val="00EC7A34"/>
    <w:rsid w:val="00ED08C5"/>
    <w:rsid w:val="00EE14B4"/>
    <w:rsid w:val="00EE4DC3"/>
    <w:rsid w:val="00F13DD9"/>
    <w:rsid w:val="00F20A53"/>
    <w:rsid w:val="00F25E7F"/>
    <w:rsid w:val="00F3023F"/>
    <w:rsid w:val="00F50E35"/>
    <w:rsid w:val="00F55352"/>
    <w:rsid w:val="00F92069"/>
    <w:rsid w:val="00F9367F"/>
    <w:rsid w:val="00F953A4"/>
    <w:rsid w:val="00FA5AE5"/>
    <w:rsid w:val="00FA7486"/>
    <w:rsid w:val="00FB1666"/>
    <w:rsid w:val="00FB3C53"/>
    <w:rsid w:val="00FC3B1D"/>
    <w:rsid w:val="00FD3DFE"/>
    <w:rsid w:val="00FD5DD3"/>
    <w:rsid w:val="00FE02B8"/>
    <w:rsid w:val="00FE0EE8"/>
    <w:rsid w:val="00FF01A8"/>
    <w:rsid w:val="00FF0803"/>
    <w:rsid w:val="00FF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5 Char4,Heading5 Char4,Head5 Char4,H5 Char4"/>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0">
    <w:name w:val="toc 9"/>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0">
    <w:name w:val="caption"/>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
    <w:name w:val="TOC 91"/>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
    <w:name w:val="Caption1"/>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0">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2021-02-08T21:29:00Z</dcterms:created>
  <dcterms:modified xsi:type="dcterms:W3CDTF">2021-02-08T21:29:00Z</dcterms:modified>
</cp:coreProperties>
</file>