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bookmarkStart w:id="0" w:name="_GoBack"/>
      <w:bookmarkEnd w:id="0"/>
    </w:p>
    <w:p>
      <w:pPr>
        <w:overflowPunct/>
        <w:autoSpaceDE/>
        <w:autoSpaceDN/>
        <w:adjustRightInd/>
        <w:spacing w:after="200" w:line="276" w:lineRule="auto"/>
        <w:textAlignment w:val="auto"/>
        <w:rPr>
          <w:rFonts w:ascii="Arial" w:hAnsi="Arial" w:cs="Arial"/>
        </w:rPr>
      </w:pPr>
    </w:p>
    <w:p>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trPr>
          <w:trHeight w:val="137"/>
        </w:trPr>
        <w:tc>
          <w:tcPr>
            <w:tcW w:w="9782" w:type="dxa"/>
            <w:gridSpan w:val="3"/>
            <w:tcBorders>
              <w:top w:val="nil"/>
              <w:left w:val="nil"/>
              <w:bottom w:val="single" w:sz="4" w:space="0" w:color="auto"/>
              <w:right w:val="nil"/>
            </w:tcBorders>
          </w:tcPr>
          <w:p>
            <w:pPr>
              <w:ind w:left="57"/>
              <w:jc w:val="center"/>
              <w:outlineLvl w:val="0"/>
              <w:rPr>
                <w:rFonts w:cs="Arial"/>
                <w:b/>
                <w:color w:val="0000FF"/>
                <w:sz w:val="16"/>
                <w:szCs w:val="16"/>
              </w:rPr>
            </w:pPr>
            <w:r>
              <w:rPr>
                <w:rFonts w:ascii="Arial" w:hAnsi="Arial" w:cs="Arial"/>
                <w:b/>
                <w:smallCaps/>
                <w:sz w:val="36"/>
                <w:szCs w:val="40"/>
              </w:rPr>
              <w:t>Liaison Statement</w:t>
            </w:r>
          </w:p>
        </w:tc>
      </w:tr>
      <w:tr>
        <w:tc>
          <w:tcPr>
            <w:tcW w:w="2152" w:type="dxa"/>
            <w:gridSpan w:val="2"/>
            <w:tcBorders>
              <w:top w:val="single" w:sz="4" w:space="0" w:color="auto"/>
              <w:left w:val="nil"/>
              <w:bottom w:val="nil"/>
              <w:right w:val="nil"/>
            </w:tcBorders>
          </w:tcPr>
          <w:p>
            <w:pPr>
              <w:tabs>
                <w:tab w:val="left" w:pos="1701"/>
              </w:tabs>
              <w:ind w:left="57"/>
              <w:jc w:val="right"/>
              <w:rPr>
                <w:rFonts w:asciiTheme="minorHAnsi" w:hAnsiTheme="minorHAnsi" w:cstheme="minorHAnsi"/>
                <w:sz w:val="36"/>
                <w:szCs w:val="24"/>
              </w:rPr>
            </w:pPr>
            <w:r>
              <w:rPr>
                <w:rFonts w:asciiTheme="minorHAnsi" w:hAnsiTheme="minorHAnsi" w:cstheme="minorHAnsi"/>
                <w:b/>
                <w:sz w:val="36"/>
                <w:szCs w:val="24"/>
              </w:rPr>
              <w:t>Title:</w:t>
            </w:r>
          </w:p>
        </w:tc>
        <w:tc>
          <w:tcPr>
            <w:tcW w:w="7630" w:type="dxa"/>
            <w:tcBorders>
              <w:top w:val="single" w:sz="4" w:space="0" w:color="auto"/>
              <w:left w:val="nil"/>
              <w:bottom w:val="nil"/>
              <w:right w:val="nil"/>
            </w:tcBorders>
          </w:tcPr>
          <w:p>
            <w:pPr>
              <w:ind w:left="57"/>
              <w:rPr>
                <w:rFonts w:asciiTheme="minorHAnsi" w:hAnsiTheme="minorHAnsi" w:cstheme="minorHAnsi"/>
                <w:b/>
                <w:sz w:val="36"/>
                <w:szCs w:val="24"/>
              </w:rPr>
            </w:pPr>
            <w:bookmarkStart w:id="1" w:name="_Hlk32226099"/>
            <w:r>
              <w:rPr>
                <w:rFonts w:asciiTheme="minorHAnsi" w:hAnsiTheme="minorHAnsi" w:cstheme="minorHAnsi"/>
                <w:b/>
                <w:sz w:val="36"/>
                <w:szCs w:val="24"/>
              </w:rPr>
              <w:t>Reply LS on 5G-NR FR2 Transmitter &amp; Receiver Testability Issues</w:t>
            </w:r>
            <w:bookmarkEnd w:id="1"/>
          </w:p>
        </w:tc>
      </w:tr>
      <w:tr>
        <w:tc>
          <w:tcPr>
            <w:tcW w:w="2152" w:type="dxa"/>
            <w:gridSpan w:val="2"/>
            <w:tcBorders>
              <w:top w:val="nil"/>
              <w:left w:val="nil"/>
              <w:bottom w:val="nil"/>
              <w:right w:val="nil"/>
            </w:tcBorders>
          </w:tcPr>
          <w:p>
            <w:pPr>
              <w:tabs>
                <w:tab w:val="left" w:pos="1701"/>
              </w:tabs>
              <w:ind w:left="57"/>
              <w:jc w:val="right"/>
              <w:rPr>
                <w:rFonts w:asciiTheme="minorHAnsi" w:hAnsiTheme="minorHAnsi" w:cstheme="minorHAnsi"/>
                <w:szCs w:val="24"/>
              </w:rPr>
            </w:pPr>
            <w:r>
              <w:rPr>
                <w:rFonts w:asciiTheme="minorHAnsi" w:hAnsiTheme="minorHAnsi" w:cstheme="minorHAnsi"/>
              </w:rPr>
              <w:t>Date</w:t>
            </w:r>
            <w:r>
              <w:rPr>
                <w:rFonts w:asciiTheme="minorHAnsi" w:hAnsiTheme="minorHAnsi" w:cstheme="minorHAnsi"/>
                <w:sz w:val="24"/>
                <w:szCs w:val="24"/>
              </w:rPr>
              <w:t>:</w:t>
            </w:r>
          </w:p>
        </w:tc>
        <w:tc>
          <w:tcPr>
            <w:tcW w:w="7630" w:type="dxa"/>
            <w:tcBorders>
              <w:top w:val="nil"/>
              <w:left w:val="nil"/>
              <w:bottom w:val="nil"/>
              <w:right w:val="nil"/>
            </w:tcBorders>
          </w:tcPr>
          <w:p>
            <w:pPr>
              <w:ind w:left="57"/>
              <w:rPr>
                <w:rFonts w:ascii="Arial" w:hAnsi="Arial" w:cs="Arial"/>
              </w:rPr>
            </w:pPr>
          </w:p>
        </w:tc>
      </w:tr>
      <w:tr>
        <w:trPr>
          <w:trHeight w:val="140"/>
        </w:trPr>
        <w:tc>
          <w:tcPr>
            <w:tcW w:w="2152" w:type="dxa"/>
            <w:gridSpan w:val="2"/>
            <w:tcBorders>
              <w:top w:val="nil"/>
              <w:left w:val="nil"/>
              <w:bottom w:val="nil"/>
              <w:right w:val="nil"/>
            </w:tcBorders>
            <w:vAlign w:val="center"/>
          </w:tcPr>
          <w:p>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pPr>
              <w:ind w:left="57"/>
              <w:rPr>
                <w:rFonts w:ascii="Arial" w:hAnsi="Arial" w:cs="Arial"/>
                <w:sz w:val="16"/>
              </w:rPr>
            </w:pPr>
          </w:p>
        </w:tc>
      </w:tr>
      <w:tr>
        <w:tc>
          <w:tcPr>
            <w:tcW w:w="2152" w:type="dxa"/>
            <w:gridSpan w:val="2"/>
            <w:tcBorders>
              <w:top w:val="nil"/>
              <w:left w:val="nil"/>
              <w:bottom w:val="nil"/>
              <w:right w:val="nil"/>
            </w:tcBorders>
            <w:vAlign w:val="center"/>
          </w:tcPr>
          <w:p>
            <w:pPr>
              <w:tabs>
                <w:tab w:val="left" w:pos="1701"/>
              </w:tabs>
              <w:ind w:left="57"/>
              <w:jc w:val="right"/>
              <w:rPr>
                <w:rFonts w:asciiTheme="minorHAnsi" w:hAnsiTheme="minorHAnsi" w:cstheme="minorHAnsi"/>
                <w:sz w:val="28"/>
                <w:szCs w:val="28"/>
              </w:rPr>
            </w:pPr>
            <w:r>
              <w:rPr>
                <w:rFonts w:asciiTheme="minorHAnsi" w:hAnsiTheme="minorHAnsi" w:cstheme="minorHAnsi"/>
                <w:b/>
                <w:sz w:val="28"/>
                <w:szCs w:val="28"/>
              </w:rPr>
              <w:t>From</w:t>
            </w:r>
            <w:r>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pPr>
              <w:ind w:left="57"/>
              <w:rPr>
                <w:rFonts w:ascii="Arial" w:hAnsi="Arial" w:cs="Arial"/>
                <w:sz w:val="28"/>
                <w:szCs w:val="28"/>
              </w:rPr>
            </w:pPr>
            <w:r>
              <w:rPr>
                <w:rFonts w:ascii="Arial" w:hAnsi="Arial" w:cs="Arial"/>
                <w:color w:val="0000FF"/>
                <w:sz w:val="24"/>
                <w:lang w:val="en-US"/>
              </w:rPr>
              <w:t xml:space="preserve">MSG TFES (Mr. Dominique Everaere, </w:t>
            </w:r>
            <w:hyperlink r:id="rId11" w:history="1">
              <w:r>
                <w:rPr>
                  <w:rStyle w:val="Hyperlink"/>
                  <w:rFonts w:ascii="Arial" w:hAnsi="Arial" w:cs="Arial"/>
                  <w:sz w:val="24"/>
                  <w:lang w:val="en-US"/>
                </w:rPr>
                <w:t>dominique.everaere@ericsson.com</w:t>
              </w:r>
            </w:hyperlink>
            <w:r>
              <w:rPr>
                <w:rFonts w:ascii="Arial" w:hAnsi="Arial" w:cs="Arial"/>
                <w:color w:val="0000FF"/>
                <w:sz w:val="24"/>
                <w:lang w:val="en-US"/>
              </w:rPr>
              <w:t>)</w:t>
            </w:r>
          </w:p>
        </w:tc>
      </w:tr>
      <w:tr>
        <w:tc>
          <w:tcPr>
            <w:tcW w:w="2152" w:type="dxa"/>
            <w:gridSpan w:val="2"/>
            <w:tcBorders>
              <w:top w:val="nil"/>
              <w:left w:val="nil"/>
              <w:bottom w:val="nil"/>
              <w:right w:val="nil"/>
            </w:tcBorders>
            <w:vAlign w:val="center"/>
          </w:tcPr>
          <w:p>
            <w:pPr>
              <w:tabs>
                <w:tab w:val="left" w:pos="1701"/>
              </w:tabs>
              <w:ind w:left="57"/>
              <w:jc w:val="right"/>
              <w:rPr>
                <w:rFonts w:asciiTheme="minorHAnsi" w:hAnsiTheme="minorHAnsi" w:cstheme="minorHAnsi"/>
              </w:rPr>
            </w:pPr>
            <w:r>
              <w:rPr>
                <w:rFonts w:asciiTheme="minorHAnsi" w:hAnsiTheme="minorHAnsi" w:cstheme="minorHAnsi"/>
              </w:rPr>
              <w:t>Contact(s):</w:t>
            </w:r>
          </w:p>
        </w:tc>
        <w:tc>
          <w:tcPr>
            <w:tcW w:w="7630" w:type="dxa"/>
            <w:tcBorders>
              <w:top w:val="nil"/>
              <w:left w:val="nil"/>
              <w:bottom w:val="nil"/>
              <w:right w:val="nil"/>
            </w:tcBorders>
            <w:vAlign w:val="center"/>
          </w:tcPr>
          <w:p>
            <w:pPr>
              <w:ind w:left="57"/>
              <w:rPr>
                <w:rFonts w:ascii="Arial" w:hAnsi="Arial" w:cs="Arial"/>
                <w:sz w:val="24"/>
                <w:lang w:val="fi-FI"/>
              </w:rPr>
            </w:pPr>
            <w:r>
              <w:rPr>
                <w:rFonts w:ascii="Arial" w:hAnsi="Arial" w:cs="Arial"/>
                <w:color w:val="0000FF"/>
                <w:lang w:val="fi-FI"/>
              </w:rPr>
              <w:t>Mr. Guillermo Vietti (</w:t>
            </w:r>
            <w:hyperlink r:id="rId12" w:history="1">
              <w:r>
                <w:rPr>
                  <w:rStyle w:val="Hyperlink"/>
                  <w:rFonts w:ascii="Arial" w:hAnsi="Arial" w:cs="Arial"/>
                  <w:lang w:val="fi-FI"/>
                </w:rPr>
                <w:t>Guillermo.Vietti@etsi.org</w:t>
              </w:r>
            </w:hyperlink>
            <w:r>
              <w:rPr>
                <w:rFonts w:ascii="Arial" w:hAnsi="Arial" w:cs="Arial"/>
                <w:color w:val="0000FF"/>
                <w:lang w:val="fi-FI"/>
              </w:rPr>
              <w:t xml:space="preserve">; </w:t>
            </w:r>
            <w:hyperlink r:id="rId13" w:history="1">
              <w:r>
                <w:rPr>
                  <w:rStyle w:val="Hyperlink"/>
                  <w:rFonts w:ascii="Arial" w:hAnsi="Arial" w:cs="Arial"/>
                  <w:lang w:val="fi-FI"/>
                </w:rPr>
                <w:t>ERMSupport@etsi.org</w:t>
              </w:r>
            </w:hyperlink>
            <w:r>
              <w:rPr>
                <w:rFonts w:ascii="Arial" w:hAnsi="Arial" w:cs="Arial"/>
                <w:color w:val="0000FF"/>
                <w:lang w:val="fi-FI"/>
              </w:rPr>
              <w:t xml:space="preserve">) </w:t>
            </w:r>
          </w:p>
        </w:tc>
      </w:tr>
      <w:tr>
        <w:tc>
          <w:tcPr>
            <w:tcW w:w="2152" w:type="dxa"/>
            <w:gridSpan w:val="2"/>
            <w:tcBorders>
              <w:top w:val="nil"/>
              <w:left w:val="nil"/>
              <w:bottom w:val="nil"/>
              <w:right w:val="nil"/>
            </w:tcBorders>
            <w:vAlign w:val="center"/>
          </w:tcPr>
          <w:p>
            <w:pPr>
              <w:tabs>
                <w:tab w:val="left" w:pos="1701"/>
              </w:tabs>
              <w:ind w:left="57"/>
              <w:jc w:val="right"/>
              <w:rPr>
                <w:rFonts w:asciiTheme="minorHAnsi" w:hAnsiTheme="minorHAnsi" w:cstheme="minorHAnsi"/>
                <w:sz w:val="24"/>
                <w:szCs w:val="24"/>
                <w:lang w:val="fi-FI"/>
              </w:rPr>
            </w:pPr>
          </w:p>
        </w:tc>
        <w:tc>
          <w:tcPr>
            <w:tcW w:w="7630" w:type="dxa"/>
            <w:tcBorders>
              <w:top w:val="nil"/>
              <w:left w:val="nil"/>
              <w:bottom w:val="nil"/>
              <w:right w:val="nil"/>
            </w:tcBorders>
            <w:vAlign w:val="center"/>
          </w:tcPr>
          <w:p>
            <w:pPr>
              <w:ind w:left="57"/>
              <w:rPr>
                <w:rFonts w:ascii="Arial" w:hAnsi="Arial" w:cs="Arial"/>
                <w:sz w:val="24"/>
                <w:lang w:val="fi-FI"/>
              </w:rPr>
            </w:pPr>
          </w:p>
        </w:tc>
      </w:tr>
      <w:tr>
        <w:tc>
          <w:tcPr>
            <w:tcW w:w="2152" w:type="dxa"/>
            <w:gridSpan w:val="2"/>
            <w:tcBorders>
              <w:top w:val="nil"/>
              <w:left w:val="nil"/>
              <w:bottom w:val="nil"/>
              <w:right w:val="nil"/>
            </w:tcBorders>
          </w:tcPr>
          <w:p>
            <w:pPr>
              <w:tabs>
                <w:tab w:val="left" w:pos="1701"/>
              </w:tabs>
              <w:ind w:left="57"/>
              <w:jc w:val="right"/>
              <w:rPr>
                <w:rFonts w:asciiTheme="minorHAnsi" w:hAnsiTheme="minorHAnsi" w:cstheme="minorHAnsi"/>
                <w:b/>
                <w:sz w:val="28"/>
                <w:szCs w:val="24"/>
              </w:rPr>
            </w:pPr>
            <w:r>
              <w:rPr>
                <w:rFonts w:asciiTheme="minorHAnsi" w:hAnsiTheme="minorHAnsi" w:cstheme="minorHAnsi"/>
                <w:b/>
                <w:sz w:val="28"/>
                <w:szCs w:val="24"/>
              </w:rPr>
              <w:t>To:</w:t>
            </w:r>
          </w:p>
        </w:tc>
        <w:tc>
          <w:tcPr>
            <w:tcW w:w="7630" w:type="dxa"/>
            <w:tcBorders>
              <w:top w:val="nil"/>
              <w:left w:val="nil"/>
              <w:bottom w:val="nil"/>
              <w:right w:val="nil"/>
            </w:tcBorders>
          </w:tcPr>
          <w:p>
            <w:pPr>
              <w:tabs>
                <w:tab w:val="left" w:pos="4891"/>
              </w:tabs>
              <w:ind w:left="57"/>
              <w:rPr>
                <w:rFonts w:ascii="Arial" w:hAnsi="Arial" w:cs="Arial"/>
                <w:color w:val="0000FF"/>
                <w:sz w:val="24"/>
                <w:lang w:val="de-DE"/>
              </w:rPr>
            </w:pPr>
            <w:bookmarkStart w:id="2" w:name="_Hlk32226530"/>
            <w:r>
              <w:rPr>
                <w:rFonts w:ascii="Arial" w:hAnsi="Arial" w:cs="Arial"/>
                <w:color w:val="0000FF"/>
                <w:sz w:val="24"/>
                <w:lang w:val="de-DE"/>
              </w:rPr>
              <w:t>TSG RAN</w:t>
            </w:r>
          </w:p>
          <w:bookmarkEnd w:id="2"/>
          <w:p>
            <w:pPr>
              <w:tabs>
                <w:tab w:val="left" w:pos="4891"/>
              </w:tabs>
              <w:ind w:left="57"/>
              <w:rPr>
                <w:rFonts w:ascii="Arial" w:hAnsi="Arial" w:cs="Arial"/>
                <w:color w:val="0000FF"/>
                <w:sz w:val="24"/>
                <w:lang w:val="de-DE"/>
              </w:rPr>
            </w:pPr>
            <w:r>
              <w:rPr>
                <w:rFonts w:ascii="Arial" w:hAnsi="Arial" w:cs="Arial"/>
                <w:color w:val="0000FF"/>
                <w:sz w:val="24"/>
                <w:lang w:val="de-DE"/>
              </w:rPr>
              <w:t xml:space="preserve">Mr. Balazs BERTENYI, </w:t>
            </w:r>
            <w:hyperlink r:id="rId14" w:history="1">
              <w:r>
                <w:rPr>
                  <w:rStyle w:val="Hyperlink"/>
                  <w:rFonts w:ascii="Arial" w:hAnsi="Arial" w:cs="Arial"/>
                  <w:sz w:val="24"/>
                  <w:lang w:val="de-DE"/>
                </w:rPr>
                <w:t>balazs.bertenyi@nokia.com</w:t>
              </w:r>
            </w:hyperlink>
          </w:p>
          <w:p>
            <w:pPr>
              <w:tabs>
                <w:tab w:val="left" w:pos="4891"/>
              </w:tabs>
              <w:ind w:left="57"/>
              <w:rPr>
                <w:rFonts w:ascii="Arial" w:hAnsi="Arial" w:cs="Arial"/>
                <w:sz w:val="28"/>
                <w:lang w:val="de-DE"/>
              </w:rPr>
            </w:pPr>
          </w:p>
        </w:tc>
      </w:tr>
      <w:tr>
        <w:tc>
          <w:tcPr>
            <w:tcW w:w="2152" w:type="dxa"/>
            <w:gridSpan w:val="2"/>
            <w:tcBorders>
              <w:top w:val="nil"/>
              <w:left w:val="nil"/>
              <w:bottom w:val="nil"/>
              <w:right w:val="nil"/>
            </w:tcBorders>
          </w:tcPr>
          <w:p>
            <w:pPr>
              <w:tabs>
                <w:tab w:val="left" w:pos="1701"/>
              </w:tabs>
              <w:ind w:left="57"/>
              <w:jc w:val="right"/>
              <w:rPr>
                <w:rFonts w:asciiTheme="minorHAnsi" w:hAnsiTheme="minorHAnsi" w:cstheme="minorHAnsi"/>
                <w:b/>
                <w:sz w:val="24"/>
                <w:szCs w:val="24"/>
              </w:rPr>
            </w:pPr>
            <w:r>
              <w:rPr>
                <w:rFonts w:asciiTheme="minorHAnsi" w:hAnsiTheme="minorHAnsi" w:cstheme="minorHAnsi"/>
                <w:b/>
                <w:sz w:val="24"/>
                <w:szCs w:val="24"/>
              </w:rPr>
              <w:t>Copy to:</w:t>
            </w:r>
          </w:p>
        </w:tc>
        <w:tc>
          <w:tcPr>
            <w:tcW w:w="7630" w:type="dxa"/>
            <w:tcBorders>
              <w:top w:val="nil"/>
              <w:left w:val="nil"/>
              <w:bottom w:val="nil"/>
              <w:right w:val="nil"/>
            </w:tcBorders>
          </w:tcPr>
          <w:p>
            <w:pPr>
              <w:ind w:left="57"/>
              <w:rPr>
                <w:rFonts w:ascii="Arial" w:hAnsi="Arial" w:cs="Arial"/>
                <w:sz w:val="24"/>
                <w:szCs w:val="24"/>
                <w:lang w:val="fi-FI"/>
              </w:rPr>
            </w:pPr>
            <w:r>
              <w:rPr>
                <w:rFonts w:ascii="Arial" w:hAnsi="Arial" w:cs="Arial"/>
                <w:color w:val="0000FF"/>
                <w:sz w:val="24"/>
                <w:lang w:val="fi-FI"/>
              </w:rPr>
              <w:t>ETSI MSG; ETSI ERM ,TSG RAN WG5, TSG RAN WG4</w:t>
            </w:r>
          </w:p>
        </w:tc>
      </w:tr>
      <w:tr>
        <w:tc>
          <w:tcPr>
            <w:tcW w:w="2152" w:type="dxa"/>
            <w:gridSpan w:val="2"/>
            <w:tcBorders>
              <w:top w:val="nil"/>
              <w:left w:val="nil"/>
              <w:bottom w:val="nil"/>
              <w:right w:val="nil"/>
            </w:tcBorders>
          </w:tcPr>
          <w:p>
            <w:pPr>
              <w:tabs>
                <w:tab w:val="left" w:pos="1701"/>
              </w:tabs>
              <w:ind w:left="57"/>
              <w:jc w:val="right"/>
              <w:rPr>
                <w:rFonts w:asciiTheme="minorHAnsi" w:hAnsiTheme="minorHAnsi" w:cstheme="minorHAnsi"/>
                <w:b/>
                <w:sz w:val="24"/>
                <w:szCs w:val="24"/>
                <w:lang w:val="fi-FI"/>
              </w:rPr>
            </w:pPr>
          </w:p>
        </w:tc>
        <w:tc>
          <w:tcPr>
            <w:tcW w:w="7630" w:type="dxa"/>
            <w:tcBorders>
              <w:top w:val="nil"/>
              <w:left w:val="nil"/>
              <w:bottom w:val="nil"/>
              <w:right w:val="nil"/>
            </w:tcBorders>
          </w:tcPr>
          <w:p>
            <w:pPr>
              <w:ind w:left="57"/>
              <w:rPr>
                <w:rFonts w:ascii="Arial" w:hAnsi="Arial" w:cs="Arial"/>
                <w:color w:val="0000FF"/>
                <w:sz w:val="24"/>
                <w:szCs w:val="24"/>
                <w:lang w:val="fi-FI"/>
              </w:rPr>
            </w:pPr>
          </w:p>
        </w:tc>
      </w:tr>
      <w:tr>
        <w:tc>
          <w:tcPr>
            <w:tcW w:w="2152" w:type="dxa"/>
            <w:gridSpan w:val="2"/>
            <w:tcBorders>
              <w:top w:val="nil"/>
              <w:left w:val="nil"/>
              <w:bottom w:val="nil"/>
              <w:right w:val="nil"/>
            </w:tcBorders>
          </w:tcPr>
          <w:p>
            <w:pPr>
              <w:tabs>
                <w:tab w:val="left" w:pos="1701"/>
              </w:tabs>
              <w:ind w:left="57"/>
              <w:jc w:val="right"/>
              <w:rPr>
                <w:rFonts w:asciiTheme="minorHAnsi" w:hAnsiTheme="minorHAnsi" w:cstheme="minorHAnsi"/>
                <w:b/>
                <w:sz w:val="24"/>
                <w:szCs w:val="24"/>
                <w:lang w:val="fi-FI"/>
              </w:rPr>
            </w:pPr>
          </w:p>
        </w:tc>
        <w:tc>
          <w:tcPr>
            <w:tcW w:w="7630" w:type="dxa"/>
            <w:tcBorders>
              <w:top w:val="nil"/>
              <w:left w:val="nil"/>
              <w:bottom w:val="nil"/>
              <w:right w:val="nil"/>
            </w:tcBorders>
            <w:vAlign w:val="center"/>
          </w:tcPr>
          <w:p>
            <w:pPr>
              <w:ind w:left="57"/>
              <w:rPr>
                <w:rFonts w:ascii="Arial" w:hAnsi="Arial" w:cs="Arial"/>
                <w:color w:val="0000FF"/>
                <w:sz w:val="24"/>
                <w:szCs w:val="24"/>
                <w:lang w:val="fi-FI"/>
              </w:rPr>
            </w:pPr>
          </w:p>
        </w:tc>
      </w:tr>
      <w:tr>
        <w:tc>
          <w:tcPr>
            <w:tcW w:w="2152" w:type="dxa"/>
            <w:gridSpan w:val="2"/>
            <w:tcBorders>
              <w:top w:val="nil"/>
              <w:left w:val="nil"/>
              <w:bottom w:val="nil"/>
              <w:right w:val="nil"/>
            </w:tcBorders>
          </w:tcPr>
          <w:p>
            <w:pPr>
              <w:tabs>
                <w:tab w:val="left" w:pos="1701"/>
              </w:tabs>
              <w:ind w:left="57"/>
              <w:jc w:val="right"/>
              <w:rPr>
                <w:rFonts w:asciiTheme="minorHAnsi" w:hAnsiTheme="minorHAnsi" w:cstheme="minorHAnsi"/>
                <w:b/>
                <w:sz w:val="24"/>
                <w:szCs w:val="24"/>
                <w:lang w:val="fi-FI"/>
              </w:rPr>
            </w:pPr>
          </w:p>
        </w:tc>
        <w:tc>
          <w:tcPr>
            <w:tcW w:w="7630" w:type="dxa"/>
            <w:tcBorders>
              <w:top w:val="nil"/>
              <w:left w:val="nil"/>
              <w:bottom w:val="nil"/>
              <w:right w:val="nil"/>
            </w:tcBorders>
            <w:vAlign w:val="center"/>
          </w:tcPr>
          <w:p>
            <w:pPr>
              <w:ind w:left="57"/>
              <w:rPr>
                <w:rFonts w:ascii="Arial" w:hAnsi="Arial" w:cs="Arial"/>
                <w:color w:val="0000FF"/>
                <w:sz w:val="24"/>
                <w:szCs w:val="24"/>
                <w:lang w:val="fi-FI"/>
              </w:rPr>
            </w:pPr>
          </w:p>
        </w:tc>
      </w:tr>
      <w:tr>
        <w:tc>
          <w:tcPr>
            <w:tcW w:w="2152" w:type="dxa"/>
            <w:gridSpan w:val="2"/>
            <w:tcBorders>
              <w:top w:val="nil"/>
              <w:left w:val="nil"/>
              <w:bottom w:val="nil"/>
              <w:right w:val="nil"/>
            </w:tcBorders>
          </w:tcPr>
          <w:p>
            <w:pPr>
              <w:tabs>
                <w:tab w:val="left" w:pos="1701"/>
              </w:tabs>
              <w:ind w:left="57"/>
              <w:jc w:val="right"/>
              <w:rPr>
                <w:rFonts w:asciiTheme="minorHAnsi" w:hAnsiTheme="minorHAnsi" w:cstheme="minorHAnsi"/>
                <w:b/>
                <w:sz w:val="24"/>
                <w:szCs w:val="24"/>
                <w:lang w:val="fi-FI"/>
              </w:rPr>
            </w:pPr>
          </w:p>
        </w:tc>
        <w:tc>
          <w:tcPr>
            <w:tcW w:w="7630" w:type="dxa"/>
            <w:tcBorders>
              <w:top w:val="nil"/>
              <w:left w:val="nil"/>
              <w:bottom w:val="nil"/>
              <w:right w:val="nil"/>
            </w:tcBorders>
            <w:vAlign w:val="center"/>
          </w:tcPr>
          <w:p>
            <w:pPr>
              <w:ind w:left="57"/>
              <w:rPr>
                <w:rFonts w:ascii="Arial" w:hAnsi="Arial" w:cs="Arial"/>
                <w:color w:val="0000FF"/>
                <w:sz w:val="24"/>
                <w:szCs w:val="24"/>
                <w:lang w:val="fi-FI"/>
              </w:rPr>
            </w:pPr>
          </w:p>
        </w:tc>
      </w:tr>
      <w:tr>
        <w:tc>
          <w:tcPr>
            <w:tcW w:w="2152" w:type="dxa"/>
            <w:gridSpan w:val="2"/>
            <w:tcBorders>
              <w:top w:val="nil"/>
              <w:left w:val="nil"/>
              <w:bottom w:val="nil"/>
              <w:right w:val="nil"/>
            </w:tcBorders>
          </w:tcPr>
          <w:p>
            <w:pPr>
              <w:tabs>
                <w:tab w:val="left" w:pos="1701"/>
              </w:tabs>
              <w:ind w:left="57"/>
              <w:jc w:val="right"/>
              <w:rPr>
                <w:rFonts w:asciiTheme="minorHAnsi" w:hAnsiTheme="minorHAnsi" w:cstheme="minorHAnsi"/>
                <w:b/>
                <w:sz w:val="24"/>
                <w:szCs w:val="24"/>
                <w:lang w:val="fi-FI"/>
              </w:rPr>
            </w:pPr>
          </w:p>
        </w:tc>
        <w:tc>
          <w:tcPr>
            <w:tcW w:w="7630" w:type="dxa"/>
            <w:tcBorders>
              <w:top w:val="nil"/>
              <w:left w:val="nil"/>
              <w:bottom w:val="nil"/>
              <w:right w:val="nil"/>
            </w:tcBorders>
            <w:vAlign w:val="center"/>
          </w:tcPr>
          <w:p>
            <w:pPr>
              <w:ind w:left="57"/>
              <w:rPr>
                <w:rFonts w:ascii="Arial" w:hAnsi="Arial" w:cs="Arial"/>
                <w:color w:val="0000FF"/>
                <w:sz w:val="24"/>
                <w:szCs w:val="24"/>
                <w:lang w:val="fi-FI"/>
              </w:rPr>
            </w:pPr>
          </w:p>
        </w:tc>
      </w:tr>
      <w:tr>
        <w:tc>
          <w:tcPr>
            <w:tcW w:w="2152" w:type="dxa"/>
            <w:gridSpan w:val="2"/>
            <w:tcBorders>
              <w:top w:val="nil"/>
              <w:left w:val="nil"/>
              <w:bottom w:val="nil"/>
              <w:right w:val="nil"/>
            </w:tcBorders>
          </w:tcPr>
          <w:p>
            <w:pPr>
              <w:tabs>
                <w:tab w:val="left" w:pos="1701"/>
              </w:tabs>
              <w:ind w:left="57"/>
              <w:jc w:val="right"/>
              <w:rPr>
                <w:rFonts w:asciiTheme="minorHAnsi" w:hAnsiTheme="minorHAnsi" w:cstheme="minorHAnsi"/>
                <w:sz w:val="16"/>
                <w:szCs w:val="24"/>
                <w:lang w:val="fi-FI"/>
              </w:rPr>
            </w:pPr>
          </w:p>
        </w:tc>
        <w:tc>
          <w:tcPr>
            <w:tcW w:w="7630" w:type="dxa"/>
            <w:tcBorders>
              <w:top w:val="nil"/>
              <w:left w:val="nil"/>
              <w:bottom w:val="nil"/>
              <w:right w:val="nil"/>
            </w:tcBorders>
          </w:tcPr>
          <w:p>
            <w:pPr>
              <w:ind w:left="57"/>
              <w:rPr>
                <w:rFonts w:ascii="Arial" w:hAnsi="Arial" w:cs="Arial"/>
                <w:sz w:val="16"/>
                <w:lang w:val="fi-FI"/>
              </w:rPr>
            </w:pPr>
          </w:p>
        </w:tc>
      </w:tr>
      <w:tr>
        <w:tc>
          <w:tcPr>
            <w:tcW w:w="2152" w:type="dxa"/>
            <w:gridSpan w:val="2"/>
            <w:tcBorders>
              <w:top w:val="nil"/>
              <w:left w:val="nil"/>
              <w:bottom w:val="nil"/>
              <w:right w:val="nil"/>
            </w:tcBorders>
            <w:vAlign w:val="center"/>
          </w:tcPr>
          <w:p>
            <w:pPr>
              <w:tabs>
                <w:tab w:val="left" w:pos="1701"/>
              </w:tabs>
              <w:ind w:left="57"/>
              <w:jc w:val="right"/>
              <w:rPr>
                <w:rFonts w:asciiTheme="minorHAnsi" w:hAnsiTheme="minorHAnsi" w:cstheme="minorHAnsi"/>
              </w:rPr>
            </w:pPr>
            <w:r>
              <w:rPr>
                <w:rFonts w:asciiTheme="minorHAnsi" w:hAnsiTheme="minorHAnsi" w:cstheme="minorHAnsi"/>
              </w:rPr>
              <w:t>Response to</w:t>
            </w:r>
            <w:r>
              <w:rPr>
                <w:rFonts w:asciiTheme="minorHAnsi" w:hAnsiTheme="minorHAnsi" w:cstheme="minorHAnsi"/>
                <w:color w:val="0000FF"/>
              </w:rPr>
              <w:t>:</w:t>
            </w:r>
            <w:r>
              <w:rPr>
                <w:rFonts w:asciiTheme="minorHAnsi" w:hAnsiTheme="minorHAnsi" w:cstheme="minorHAnsi"/>
                <w:color w:val="0000FF"/>
              </w:rPr>
              <w:br/>
            </w:r>
            <w:r>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pPr>
              <w:ind w:left="57"/>
              <w:rPr>
                <w:rFonts w:ascii="Arial" w:hAnsi="Arial" w:cs="Arial"/>
                <w:color w:val="0000FF"/>
              </w:rPr>
            </w:pPr>
            <w:r>
              <w:rPr>
                <w:rFonts w:ascii="Arial" w:hAnsi="Arial" w:cs="Arial"/>
                <w:color w:val="0000FF"/>
                <w:sz w:val="22"/>
                <w:szCs w:val="18"/>
                <w:lang w:val="de-DE"/>
              </w:rPr>
              <w:t>TFES(19)063034 / RP-191063</w:t>
            </w:r>
          </w:p>
        </w:tc>
      </w:tr>
      <w:tr>
        <w:tc>
          <w:tcPr>
            <w:tcW w:w="2152" w:type="dxa"/>
            <w:gridSpan w:val="2"/>
            <w:tcBorders>
              <w:top w:val="nil"/>
              <w:left w:val="nil"/>
              <w:bottom w:val="nil"/>
              <w:right w:val="nil"/>
            </w:tcBorders>
          </w:tcPr>
          <w:p>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pPr>
              <w:ind w:left="57"/>
              <w:rPr>
                <w:rFonts w:ascii="Arial" w:hAnsi="Arial" w:cs="Arial"/>
                <w:sz w:val="16"/>
              </w:rPr>
            </w:pPr>
          </w:p>
        </w:tc>
      </w:tr>
      <w:tr>
        <w:tc>
          <w:tcPr>
            <w:tcW w:w="2104" w:type="dxa"/>
            <w:tcBorders>
              <w:top w:val="nil"/>
              <w:left w:val="nil"/>
              <w:bottom w:val="nil"/>
              <w:right w:val="nil"/>
            </w:tcBorders>
          </w:tcPr>
          <w:p>
            <w:pPr>
              <w:tabs>
                <w:tab w:val="left" w:pos="1701"/>
              </w:tabs>
              <w:ind w:left="57"/>
              <w:jc w:val="right"/>
              <w:rPr>
                <w:rFonts w:asciiTheme="minorHAnsi" w:hAnsiTheme="minorHAnsi" w:cstheme="minorHAnsi"/>
              </w:rPr>
            </w:pPr>
            <w:r>
              <w:rPr>
                <w:rFonts w:asciiTheme="minorHAnsi" w:hAnsiTheme="minorHAnsi" w:cstheme="minorHAnsi"/>
              </w:rPr>
              <w:t>Attachments:</w:t>
            </w:r>
            <w:r>
              <w:rPr>
                <w:rFonts w:asciiTheme="minorHAnsi" w:hAnsiTheme="minorHAnsi" w:cstheme="minorHAnsi"/>
                <w:color w:val="0000FF"/>
              </w:rPr>
              <w:t xml:space="preserve"> </w:t>
            </w:r>
            <w:r>
              <w:rPr>
                <w:rFonts w:asciiTheme="minorHAnsi" w:hAnsiTheme="minorHAnsi" w:cstheme="minorHAnsi"/>
                <w:color w:val="0000FF"/>
              </w:rPr>
              <w:br/>
            </w:r>
            <w:r>
              <w:rPr>
                <w:rFonts w:asciiTheme="minorHAnsi" w:hAnsiTheme="minorHAnsi" w:cstheme="minorHAnsi"/>
                <w:sz w:val="16"/>
              </w:rPr>
              <w:t>(if applicable)</w:t>
            </w:r>
          </w:p>
        </w:tc>
        <w:tc>
          <w:tcPr>
            <w:tcW w:w="7678" w:type="dxa"/>
            <w:gridSpan w:val="2"/>
            <w:tcBorders>
              <w:top w:val="nil"/>
              <w:left w:val="nil"/>
              <w:bottom w:val="nil"/>
              <w:right w:val="nil"/>
            </w:tcBorders>
          </w:tcPr>
          <w:p>
            <w:pPr>
              <w:ind w:left="57"/>
              <w:rPr>
                <w:rFonts w:ascii="Arial" w:hAnsi="Arial" w:cs="Arial"/>
                <w:color w:val="0000FF"/>
              </w:rPr>
            </w:pPr>
          </w:p>
        </w:tc>
      </w:tr>
      <w:tr>
        <w:tc>
          <w:tcPr>
            <w:tcW w:w="9782" w:type="dxa"/>
            <w:gridSpan w:val="3"/>
            <w:tcBorders>
              <w:top w:val="nil"/>
              <w:left w:val="nil"/>
              <w:bottom w:val="single" w:sz="4" w:space="0" w:color="000000"/>
              <w:right w:val="nil"/>
            </w:tcBorders>
          </w:tcPr>
          <w:p>
            <w:pPr>
              <w:tabs>
                <w:tab w:val="left" w:pos="1701"/>
              </w:tabs>
              <w:ind w:left="57" w:firstLine="249"/>
              <w:rPr>
                <w:sz w:val="16"/>
                <w:szCs w:val="16"/>
              </w:rPr>
            </w:pPr>
          </w:p>
        </w:tc>
      </w:tr>
    </w:tbl>
    <w:p/>
    <w:p>
      <w:pPr>
        <w:spacing w:after="120"/>
        <w:rPr>
          <w:rFonts w:ascii="Arial" w:hAnsi="Arial" w:cs="Arial"/>
          <w:b/>
        </w:rPr>
      </w:pPr>
      <w:r>
        <w:rPr>
          <w:rFonts w:ascii="Arial" w:hAnsi="Arial" w:cs="Arial"/>
          <w:b/>
        </w:rPr>
        <w:t>1. Overall description:</w:t>
      </w:r>
    </w:p>
    <w:p>
      <w:pPr>
        <w:rPr>
          <w:rFonts w:ascii="Arial" w:hAnsi="Arial" w:cs="Arial"/>
        </w:rPr>
      </w:pPr>
    </w:p>
    <w:p>
      <w:pPr>
        <w:pStyle w:val="Header"/>
        <w:jc w:val="both"/>
        <w:rPr>
          <w:rFonts w:cs="Arial"/>
          <w:b w:val="0"/>
          <w:noProof w:val="0"/>
          <w:sz w:val="20"/>
        </w:rPr>
      </w:pPr>
      <w:r>
        <w:rPr>
          <w:rFonts w:cs="Arial"/>
          <w:b w:val="0"/>
          <w:noProof w:val="0"/>
          <w:sz w:val="20"/>
        </w:rPr>
        <w:t xml:space="preserve">MSG TFES would like to thank 3GPP TSG RAN for their liaison statement on “5G-NR FR2 Transmitter &amp; Receiver Testability Issues” (RP-191603) and ascribe considerable importance to all the information provided by TSG RAN and relevant WGs on the 3GPP standards status and progress. </w:t>
      </w:r>
    </w:p>
    <w:p>
      <w:pPr>
        <w:pStyle w:val="Header"/>
        <w:jc w:val="both"/>
        <w:rPr>
          <w:rFonts w:cs="Arial"/>
          <w:b w:val="0"/>
          <w:noProof w:val="0"/>
          <w:sz w:val="20"/>
        </w:rPr>
      </w:pPr>
    </w:p>
    <w:p>
      <w:pPr>
        <w:pStyle w:val="Header"/>
        <w:jc w:val="both"/>
        <w:rPr>
          <w:rFonts w:cs="Arial"/>
          <w:b w:val="0"/>
          <w:noProof w:val="0"/>
          <w:sz w:val="20"/>
        </w:rPr>
      </w:pPr>
    </w:p>
    <w:p>
      <w:pPr>
        <w:jc w:val="both"/>
        <w:rPr>
          <w:rFonts w:ascii="Arial" w:hAnsi="Arial" w:cs="Arial"/>
        </w:rPr>
      </w:pPr>
      <w:r>
        <w:rPr>
          <w:rFonts w:ascii="Arial" w:hAnsi="Arial" w:cs="Arial"/>
        </w:rPr>
        <w:t xml:space="preserve">MSG TFES took note of the 5G-NR testability issue that affects the test cases for the FR2 UE RF requirements listed in the liaison statement. </w:t>
      </w:r>
    </w:p>
    <w:p>
      <w:pPr>
        <w:jc w:val="both"/>
        <w:rPr>
          <w:rFonts w:ascii="Arial" w:hAnsi="Arial" w:cs="Arial"/>
        </w:rPr>
      </w:pPr>
    </w:p>
    <w:p>
      <w:pPr>
        <w:jc w:val="both"/>
        <w:rPr>
          <w:rFonts w:ascii="Arial" w:hAnsi="Arial" w:cs="Arial"/>
        </w:rPr>
      </w:pPr>
      <w:r>
        <w:rPr>
          <w:rFonts w:ascii="Arial" w:hAnsi="Arial" w:cs="Arial"/>
        </w:rPr>
        <w:t>MSG TFES informs 3GPP TSG RAN that the ETSI Harmonised Standard for 5G-NR UEs supporting FR2 is currently under development in MSG TFES. This Harmonised Standard, when approved and cited in the Official Journal of the European Union (OJEU), will be a route to prove compliance with the requirements of the Radio Equipment Directive [1]. It will therefore become the document that contains the European regulatory requirements for 5G-NR UEs operating in FR2 after it is cited in the OJEU.</w:t>
      </w:r>
    </w:p>
    <w:p>
      <w:pPr>
        <w:jc w:val="both"/>
        <w:rPr>
          <w:rFonts w:ascii="Arial" w:hAnsi="Arial" w:cs="Arial"/>
        </w:rPr>
      </w:pPr>
    </w:p>
    <w:p>
      <w:pPr>
        <w:jc w:val="both"/>
        <w:rPr>
          <w:rFonts w:ascii="Arial" w:hAnsi="Arial" w:cs="Arial"/>
        </w:rPr>
      </w:pPr>
      <w:r>
        <w:rPr>
          <w:rFonts w:ascii="Arial" w:hAnsi="Arial" w:cs="Arial"/>
        </w:rPr>
        <w:t xml:space="preserve">MSG TFES informs that the Harmonised Standard is expected to include some of the requirements listed in the liaison statement from 3GPP TSG RAN, namely </w:t>
      </w:r>
    </w:p>
    <w:p>
      <w:pPr>
        <w:jc w:val="both"/>
        <w:rPr>
          <w:rFonts w:ascii="Arial" w:hAnsi="Arial" w:cs="Arial"/>
        </w:rPr>
      </w:pPr>
    </w:p>
    <w:p>
      <w:pPr>
        <w:pStyle w:val="ListParagraph"/>
        <w:numPr>
          <w:ilvl w:val="0"/>
          <w:numId w:val="27"/>
        </w:numPr>
        <w:jc w:val="both"/>
        <w:rPr>
          <w:rFonts w:ascii="Arial" w:hAnsi="Arial" w:cs="Arial"/>
        </w:rPr>
      </w:pPr>
      <w:r>
        <w:rPr>
          <w:rFonts w:ascii="Arial" w:hAnsi="Arial" w:cs="Arial"/>
        </w:rPr>
        <w:t>Adjacent channel selectivity</w:t>
      </w:r>
    </w:p>
    <w:p>
      <w:pPr>
        <w:pStyle w:val="ListParagraph"/>
        <w:numPr>
          <w:ilvl w:val="0"/>
          <w:numId w:val="27"/>
        </w:numPr>
        <w:jc w:val="both"/>
        <w:rPr>
          <w:rFonts w:ascii="Arial" w:hAnsi="Arial" w:cs="Arial"/>
        </w:rPr>
      </w:pPr>
      <w:r>
        <w:rPr>
          <w:rFonts w:ascii="Arial" w:hAnsi="Arial" w:cs="Arial"/>
        </w:rPr>
        <w:t>(Receiver) Spurious emissions</w:t>
      </w:r>
    </w:p>
    <w:p>
      <w:pPr>
        <w:pStyle w:val="ListParagraph"/>
        <w:numPr>
          <w:ilvl w:val="0"/>
          <w:numId w:val="27"/>
        </w:numPr>
        <w:jc w:val="both"/>
        <w:rPr>
          <w:rFonts w:ascii="Arial" w:hAnsi="Arial" w:cs="Arial"/>
        </w:rPr>
      </w:pPr>
      <w:r>
        <w:rPr>
          <w:rFonts w:ascii="Arial" w:hAnsi="Arial" w:cs="Arial"/>
        </w:rPr>
        <w:t>Spurious emission band UE co-existence</w:t>
      </w:r>
    </w:p>
    <w:p>
      <w:pPr>
        <w:pStyle w:val="ListParagraph"/>
        <w:numPr>
          <w:ilvl w:val="0"/>
          <w:numId w:val="27"/>
        </w:numPr>
        <w:jc w:val="both"/>
        <w:rPr>
          <w:rFonts w:ascii="Arial" w:hAnsi="Arial" w:cs="Arial"/>
        </w:rPr>
      </w:pPr>
      <w:r>
        <w:rPr>
          <w:rFonts w:ascii="Arial" w:hAnsi="Arial" w:cs="Arial"/>
        </w:rPr>
        <w:t>Adjacent channel leakage ratio</w:t>
      </w:r>
    </w:p>
    <w:p>
      <w:pPr>
        <w:pStyle w:val="ListParagraph"/>
        <w:numPr>
          <w:ilvl w:val="0"/>
          <w:numId w:val="27"/>
        </w:numPr>
        <w:jc w:val="both"/>
        <w:rPr>
          <w:rFonts w:ascii="Arial" w:hAnsi="Arial" w:cs="Arial"/>
        </w:rPr>
      </w:pPr>
      <w:r>
        <w:rPr>
          <w:rFonts w:ascii="Arial" w:hAnsi="Arial" w:cs="Arial"/>
        </w:rPr>
        <w:t>Minimum output power</w:t>
      </w:r>
    </w:p>
    <w:p>
      <w:pPr>
        <w:pStyle w:val="Header"/>
        <w:ind w:left="780"/>
        <w:jc w:val="both"/>
        <w:rPr>
          <w:rFonts w:cs="Arial"/>
          <w:lang w:eastAsia="ja-JP"/>
        </w:rPr>
      </w:pPr>
    </w:p>
    <w:p>
      <w:pPr>
        <w:jc w:val="both"/>
        <w:rPr>
          <w:rFonts w:ascii="Arial" w:hAnsi="Arial" w:cs="Arial"/>
        </w:rPr>
      </w:pPr>
      <w:r>
        <w:rPr>
          <w:rFonts w:ascii="Arial" w:hAnsi="Arial" w:cs="Arial"/>
        </w:rPr>
        <w:t xml:space="preserve">MSG TFES has the following response for the two actions listed in the LS: </w:t>
      </w:r>
    </w:p>
    <w:p>
      <w:pPr>
        <w:numPr>
          <w:ilvl w:val="0"/>
          <w:numId w:val="28"/>
        </w:numPr>
        <w:overflowPunct/>
        <w:autoSpaceDE/>
        <w:adjustRightInd/>
        <w:textAlignment w:val="auto"/>
        <w:rPr>
          <w:rFonts w:ascii="Arial" w:hAnsi="Arial" w:cs="Arial"/>
        </w:rPr>
      </w:pPr>
      <w:r>
        <w:rPr>
          <w:rFonts w:ascii="Arial" w:hAnsi="Arial" w:cs="Arial"/>
        </w:rPr>
        <w:lastRenderedPageBreak/>
        <w:t xml:space="preserve">RAN respectfully requests technical input to address 5G-NR FR2 Transmitter and Receiver Testability issues. </w:t>
      </w:r>
    </w:p>
    <w:p>
      <w:pPr>
        <w:numPr>
          <w:ilvl w:val="0"/>
          <w:numId w:val="28"/>
        </w:numPr>
        <w:overflowPunct/>
        <w:autoSpaceDE/>
        <w:adjustRightInd/>
        <w:textAlignment w:val="auto"/>
        <w:rPr>
          <w:rFonts w:ascii="Arial" w:hAnsi="Arial" w:cs="Arial"/>
        </w:rPr>
      </w:pPr>
      <w:r>
        <w:rPr>
          <w:rFonts w:ascii="Arial" w:hAnsi="Arial" w:cs="Arial"/>
        </w:rPr>
        <w:t>RAN is seeking input on whether executing these tests with the mentioned relaxations is acceptable from regulatory point of view.</w:t>
      </w:r>
    </w:p>
    <w:p>
      <w:pPr>
        <w:jc w:val="both"/>
        <w:rPr>
          <w:rFonts w:ascii="Arial" w:hAnsi="Arial" w:cs="Arial"/>
        </w:rPr>
      </w:pPr>
    </w:p>
    <w:p>
      <w:pPr>
        <w:jc w:val="both"/>
        <w:rPr>
          <w:rFonts w:ascii="Arial" w:hAnsi="Arial" w:cs="Arial"/>
        </w:rPr>
      </w:pPr>
    </w:p>
    <w:p>
      <w:pPr>
        <w:overflowPunct/>
        <w:autoSpaceDE/>
        <w:adjustRightInd/>
        <w:ind w:left="360"/>
        <w:textAlignment w:val="auto"/>
        <w:rPr>
          <w:rFonts w:ascii="Arial" w:hAnsi="Arial" w:cs="Arial"/>
        </w:rPr>
      </w:pPr>
      <w:r>
        <w:rPr>
          <w:rFonts w:ascii="Arial" w:hAnsi="Arial" w:cs="Arial"/>
          <w:b/>
          <w:bCs/>
        </w:rPr>
        <w:t>Response to action 1</w:t>
      </w:r>
      <w:r>
        <w:rPr>
          <w:rFonts w:ascii="Arial" w:hAnsi="Arial" w:cs="Arial"/>
        </w:rPr>
        <w:t xml:space="preserve">: MSG TFES has no technical input to address 5G-NR FR2 Transmitter and Receiver Testability issues. </w:t>
      </w:r>
    </w:p>
    <w:p>
      <w:pPr>
        <w:jc w:val="both"/>
        <w:rPr>
          <w:rFonts w:ascii="Arial" w:hAnsi="Arial" w:cs="Arial"/>
        </w:rPr>
      </w:pPr>
    </w:p>
    <w:p>
      <w:pPr>
        <w:overflowPunct/>
        <w:autoSpaceDE/>
        <w:adjustRightInd/>
        <w:ind w:left="360"/>
        <w:textAlignment w:val="auto"/>
        <w:rPr>
          <w:rFonts w:ascii="Arial" w:hAnsi="Arial" w:cs="Arial"/>
          <w:b/>
          <w:bCs/>
        </w:rPr>
      </w:pPr>
      <w:r>
        <w:rPr>
          <w:rFonts w:ascii="Arial" w:hAnsi="Arial" w:cs="Arial"/>
          <w:b/>
          <w:bCs/>
        </w:rPr>
        <w:t xml:space="preserve">Response to action 2: </w:t>
      </w:r>
      <w:r>
        <w:rPr>
          <w:rFonts w:ascii="Arial" w:hAnsi="Arial" w:cs="Arial"/>
          <w:bCs/>
        </w:rPr>
        <w:t>MSG TFES has considered whether the relaxations proposed in the liaison statement are acceptable for requirements that will be included in the Harmonised Standard. MSG TFES at this stage cannot conclude on this.</w:t>
      </w:r>
      <w:r>
        <w:rPr>
          <w:rFonts w:ascii="Arial" w:hAnsi="Arial" w:cs="Arial"/>
          <w:b/>
          <w:bCs/>
        </w:rPr>
        <w:t xml:space="preserve">  </w:t>
      </w:r>
    </w:p>
    <w:p>
      <w:pPr>
        <w:jc w:val="both"/>
        <w:rPr>
          <w:rFonts w:ascii="Arial" w:hAnsi="Arial" w:cs="Arial"/>
        </w:rPr>
      </w:pPr>
    </w:p>
    <w:p>
      <w:pPr>
        <w:jc w:val="both"/>
        <w:rPr>
          <w:rFonts w:ascii="Arial" w:hAnsi="Arial" w:cs="Arial"/>
        </w:rPr>
      </w:pPr>
      <w:r>
        <w:rPr>
          <w:rFonts w:ascii="Arial" w:hAnsi="Arial" w:cs="Arial"/>
        </w:rPr>
        <w:t xml:space="preserve">MSG TFES would like to respectfully suggest considering the re-evaluation of the current New Radio FR2 test method and investigating other test methodology for these test cases which are essential requirements under RED towards removal of relaxation due to limitation of the test methodology and equipment. </w:t>
      </w:r>
    </w:p>
    <w:p>
      <w:pPr>
        <w:jc w:val="both"/>
        <w:rPr>
          <w:rFonts w:ascii="Arial" w:hAnsi="Arial" w:cs="Arial"/>
        </w:rPr>
      </w:pPr>
      <w:r>
        <w:rPr>
          <w:rFonts w:ascii="Arial" w:hAnsi="Arial" w:cs="Arial"/>
        </w:rPr>
        <w:t xml:space="preserve">MSG TFES would like to respectfully ask that the alternative test methodologies are evaluated by TSG RAN and its WGs as high priority considering MSG TFES is currently working on 5G NR harmonised standard based on 3GPP Release 15.  </w:t>
      </w:r>
    </w:p>
    <w:p>
      <w:pPr>
        <w:jc w:val="both"/>
        <w:rPr>
          <w:rFonts w:ascii="Arial" w:hAnsi="Arial" w:cs="Arial"/>
        </w:rPr>
      </w:pPr>
    </w:p>
    <w:p>
      <w:pPr>
        <w:pStyle w:val="Header"/>
        <w:rPr>
          <w:rFonts w:cs="Arial"/>
          <w:lang w:eastAsia="ja-JP"/>
        </w:rPr>
      </w:pPr>
    </w:p>
    <w:p>
      <w:pPr>
        <w:rPr>
          <w:rFonts w:ascii="Arial" w:hAnsi="Arial" w:cs="Arial"/>
        </w:rPr>
      </w:pPr>
      <w:r>
        <w:rPr>
          <w:rFonts w:ascii="Arial" w:hAnsi="Arial" w:cs="Arial"/>
        </w:rPr>
        <w:t xml:space="preserve">MSG TFES would like to ask 3GPP RAN to keep them informed of the progress on the testability issues. </w:t>
      </w:r>
    </w:p>
    <w:p>
      <w:pPr>
        <w:rPr>
          <w:rFonts w:ascii="Arial" w:hAnsi="Arial" w:cs="Arial"/>
        </w:rPr>
      </w:pPr>
    </w:p>
    <w:p>
      <w:pPr>
        <w:rPr>
          <w:rFonts w:ascii="Arial" w:hAnsi="Arial" w:cs="Arial"/>
        </w:rPr>
      </w:pPr>
    </w:p>
    <w:p>
      <w:pPr>
        <w:rPr>
          <w:rFonts w:ascii="Arial" w:hAnsi="Arial" w:cs="Arial"/>
          <w:b/>
          <w:lang w:val="en-US"/>
        </w:rPr>
      </w:pPr>
    </w:p>
    <w:p>
      <w:pPr>
        <w:rPr>
          <w:rFonts w:ascii="Arial" w:hAnsi="Arial" w:cs="Arial"/>
          <w:b/>
        </w:rPr>
      </w:pPr>
      <w:r>
        <w:rPr>
          <w:rFonts w:ascii="Arial" w:hAnsi="Arial" w:cs="Arial"/>
          <w:b/>
        </w:rPr>
        <w:t>2. Date of next meetings of the originator:</w:t>
      </w:r>
    </w:p>
    <w:p>
      <w:pPr>
        <w:rPr>
          <w:rFonts w:ascii="Arial" w:hAnsi="Arial" w:cs="Arial"/>
        </w:rPr>
      </w:pPr>
      <w:r>
        <w:rPr>
          <w:rFonts w:ascii="Arial" w:hAnsi="Arial" w:cs="Arial"/>
        </w:rPr>
        <w:t>9-11 Sep, 2020</w:t>
      </w:r>
      <w:r>
        <w:rPr>
          <w:rFonts w:ascii="Arial" w:hAnsi="Arial" w:cs="Arial"/>
        </w:rPr>
        <w:tab/>
      </w:r>
      <w:r>
        <w:rPr>
          <w:rFonts w:ascii="Arial" w:hAnsi="Arial" w:cs="Arial"/>
        </w:rPr>
        <w:tab/>
        <w:t>TFES#66</w:t>
      </w:r>
      <w:r>
        <w:rPr>
          <w:rFonts w:ascii="Arial" w:hAnsi="Arial" w:cs="Arial"/>
        </w:rPr>
        <w:tab/>
        <w:t xml:space="preserve">   Location TBD</w:t>
      </w:r>
    </w:p>
    <w:p>
      <w:pPr>
        <w:rPr>
          <w:rFonts w:ascii="Arial" w:hAnsi="Arial" w:cs="Arial"/>
        </w:rPr>
      </w:pPr>
    </w:p>
    <w:p>
      <w:pPr>
        <w:spacing w:after="120"/>
        <w:rPr>
          <w:rFonts w:ascii="Arial" w:hAnsi="Arial" w:cs="Arial"/>
          <w:b/>
        </w:rPr>
      </w:pPr>
      <w:r>
        <w:rPr>
          <w:rFonts w:ascii="Arial" w:hAnsi="Arial" w:cs="Arial"/>
          <w:b/>
        </w:rPr>
        <w:t>References:</w:t>
      </w:r>
    </w:p>
    <w:p>
      <w:pPr>
        <w:spacing w:after="120"/>
        <w:rPr>
          <w:rFonts w:ascii="Arial" w:hAnsi="Arial" w:cs="Arial"/>
        </w:rPr>
      </w:pPr>
      <w:r>
        <w:rPr>
          <w:lang w:eastAsia="en-GB"/>
        </w:rPr>
        <w:t>[1] Directive 2014/53/EU of the European Parliament and of the Council of 16 April 2014 on the harmonisation of the laws of the Member States relating to the making available on the market of radio equipment and repealing Directive 1999/5/EC.</w:t>
      </w:r>
    </w:p>
    <w:sectPr>
      <w:headerReference w:type="default" r:id="rId15"/>
      <w:footerReference w:type="default" r:id="rId16"/>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tabs>
        <w:tab w:val="center" w:pos="4536"/>
      </w:tabs>
      <w:rPr>
        <w:rFonts w:ascii="Arial" w:hAnsi="Arial" w:cs="Arial"/>
      </w:rPr>
    </w:pPr>
    <w:r>
      <w:tab/>
    </w:r>
    <w:r>
      <w:rPr>
        <w:rFonts w:ascii="Arial" w:hAnsi="Arial" w:cs="Arial"/>
      </w:rPr>
      <w:fldChar w:fldCharType="begin"/>
    </w:r>
    <w:r>
      <w:rPr>
        <w:rFonts w:ascii="Arial" w:hAnsi="Arial" w:cs="Arial"/>
      </w:rPr>
      <w:instrText xml:space="preserve"> PAGE   \* MERGEFORMAT </w:instrText>
    </w:r>
    <w:r>
      <w:rPr>
        <w:rFonts w:ascii="Arial" w:hAnsi="Arial" w:cs="Arial"/>
      </w:rPr>
      <w:fldChar w:fldCharType="separate"/>
    </w:r>
    <w:r>
      <w:rPr>
        <w:rFonts w:ascii="Arial" w:hAnsi="Arial" w:cs="Arial"/>
        <w:noProof/>
      </w:rPr>
      <w:t>3</w:t>
    </w:r>
    <w:r>
      <w:rPr>
        <w:rFonts w:ascii="Arial" w:hAnsi="Arial" w:cs="Arial"/>
      </w:rPr>
      <w:fldChar w:fldCharType="end"/>
    </w:r>
    <w:r>
      <w:rPr>
        <w:rFonts w:ascii="Arial" w:hAnsi="Arial" w:cs="Arial"/>
      </w:rPr>
      <w:t>/</w:t>
    </w:r>
    <w:r>
      <w:rPr>
        <w:rFonts w:ascii="Arial" w:hAnsi="Arial" w:cs="Arial"/>
        <w:noProof/>
      </w:rPr>
      <w:fldChar w:fldCharType="begin"/>
    </w:r>
    <w:r>
      <w:rPr>
        <w:rFonts w:ascii="Arial" w:hAnsi="Arial" w:cs="Arial"/>
        <w:noProof/>
      </w:rPr>
      <w:instrText xml:space="preserve"> NUMPAGES   \* MERGEFORMAT </w:instrText>
    </w:r>
    <w:r>
      <w:rPr>
        <w:rFonts w:ascii="Arial" w:hAnsi="Arial" w:cs="Arial"/>
        <w:noProof/>
      </w:rPr>
      <w:fldChar w:fldCharType="separate"/>
    </w:r>
    <w:r>
      <w:rPr>
        <w:rFonts w:ascii="Arial" w:hAnsi="Arial" w:cs="Arial"/>
        <w:noProof/>
      </w:rPr>
      <w:t>3</w:t>
    </w:r>
    <w:r>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tabs>
        <w:tab w:val="right" w:pos="9356"/>
      </w:tabs>
      <w:spacing w:after="120"/>
      <w:ind w:left="-567"/>
      <w:rPr>
        <w:rFonts w:ascii="Arial" w:hAnsi="Arial" w:cs="Arial"/>
        <w:i/>
        <w:color w:val="0000FF"/>
        <w:szCs w:val="36"/>
      </w:rPr>
    </w:pPr>
    <w:r>
      <w:rPr>
        <w:rFonts w:ascii="Arial" w:hAnsi="Arial" w:cs="Arial"/>
        <w:noProof/>
        <w:sz w:val="36"/>
        <w:szCs w:val="36"/>
        <w:lang w:val="fr-FR" w:eastAsia="fr-FR"/>
      </w:rPr>
      <w:drawing>
        <wp:anchor distT="0" distB="0" distL="114300" distR="114300" simplePos="0" relativeHeight="251662336" behindDoc="1" locked="0" layoutInCell="1" allowOverlap="1">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Pr>
        <w:rFonts w:ascii="Arial" w:hAnsi="Arial" w:cs="Arial"/>
        <w:sz w:val="36"/>
        <w:szCs w:val="36"/>
      </w:rPr>
      <w:tab/>
    </w:r>
    <w:r>
      <w:rPr>
        <w:rFonts w:ascii="Arial" w:hAnsi="Arial" w:cs="Arial"/>
        <w:b/>
        <w:sz w:val="36"/>
        <w:szCs w:val="36"/>
        <w:shd w:val="clear" w:color="auto" w:fill="DBE5F1"/>
      </w:rPr>
      <w:t>TFES(20)000004r2</w:t>
    </w:r>
    <w:r>
      <w:rPr>
        <w:rFonts w:ascii="Arial" w:hAnsi="Arial" w:cs="Arial"/>
        <w:b/>
        <w:sz w:val="36"/>
        <w:szCs w:val="36"/>
        <w:shd w:val="clear" w:color="auto" w:fill="DBE5F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420700"/>
    <w:multiLevelType w:val="hybridMultilevel"/>
    <w:tmpl w:val="904E75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61C2281"/>
    <w:multiLevelType w:val="multilevel"/>
    <w:tmpl w:val="EE7ED7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1"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3"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4"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D93BD4"/>
    <w:multiLevelType w:val="hybridMultilevel"/>
    <w:tmpl w:val="4BCC4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8" w15:restartNumberingAfterBreak="0">
    <w:nsid w:val="2FF040FA"/>
    <w:multiLevelType w:val="hybridMultilevel"/>
    <w:tmpl w:val="FF52B3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DD794B"/>
    <w:multiLevelType w:val="hybridMultilevel"/>
    <w:tmpl w:val="4CF6ED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363BAB"/>
    <w:multiLevelType w:val="hybridMultilevel"/>
    <w:tmpl w:val="DAD25256"/>
    <w:lvl w:ilvl="0" w:tplc="3410C480">
      <w:start w:val="1"/>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5"/>
  </w:num>
  <w:num w:numId="2">
    <w:abstractNumId w:val="25"/>
  </w:num>
  <w:num w:numId="3">
    <w:abstractNumId w:val="9"/>
  </w:num>
  <w:num w:numId="4">
    <w:abstractNumId w:val="22"/>
  </w:num>
  <w:num w:numId="5">
    <w:abstractNumId w:val="19"/>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4"/>
  </w:num>
  <w:num w:numId="14">
    <w:abstractNumId w:val="10"/>
  </w:num>
  <w:num w:numId="15">
    <w:abstractNumId w:val="13"/>
  </w:num>
  <w:num w:numId="16">
    <w:abstractNumId w:val="21"/>
  </w:num>
  <w:num w:numId="17">
    <w:abstractNumId w:val="12"/>
  </w:num>
  <w:num w:numId="18">
    <w:abstractNumId w:val="17"/>
  </w:num>
  <w:num w:numId="19">
    <w:abstractNumId w:val="14"/>
  </w:num>
  <w:num w:numId="20">
    <w:abstractNumId w:val="20"/>
  </w:num>
  <w:num w:numId="21">
    <w:abstractNumId w:val="11"/>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18"/>
  </w:num>
  <w:num w:numId="26">
    <w:abstractNumId w:val="16"/>
  </w:num>
  <w:num w:numId="27">
    <w:abstractNumId w:val="7"/>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9C6B882-5E88-49F6-80AE-788DDE3BF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pPr>
      <w:ind w:left="568" w:hanging="284"/>
    </w:pPr>
  </w:style>
  <w:style w:type="paragraph" w:customStyle="1" w:styleId="B10">
    <w:name w:val="B1"/>
    <w:basedOn w:val="List"/>
    <w:pPr>
      <w:ind w:left="738" w:hanging="454"/>
    </w:pPr>
  </w:style>
  <w:style w:type="paragraph" w:customStyle="1" w:styleId="B1">
    <w:name w:val="B1+"/>
    <w:basedOn w:val="B10"/>
    <w:pPr>
      <w:numPr>
        <w:numId w:val="1"/>
      </w:numPr>
    </w:pPr>
  </w:style>
  <w:style w:type="paragraph" w:styleId="List2">
    <w:name w:val="List 2"/>
    <w:basedOn w:val="List"/>
    <w:pPr>
      <w:ind w:left="851"/>
    </w:pPr>
  </w:style>
  <w:style w:type="paragraph" w:customStyle="1" w:styleId="B20">
    <w:name w:val="B2"/>
    <w:basedOn w:val="List2"/>
    <w:pPr>
      <w:ind w:left="1191" w:hanging="454"/>
    </w:pPr>
  </w:style>
  <w:style w:type="paragraph" w:customStyle="1" w:styleId="B2">
    <w:name w:val="B2+"/>
    <w:basedOn w:val="B20"/>
    <w:pPr>
      <w:numPr>
        <w:numId w:val="2"/>
      </w:numPr>
    </w:pPr>
  </w:style>
  <w:style w:type="paragraph" w:styleId="List3">
    <w:name w:val="List 3"/>
    <w:basedOn w:val="List2"/>
    <w:pPr>
      <w:ind w:left="1135"/>
    </w:pPr>
  </w:style>
  <w:style w:type="paragraph" w:customStyle="1" w:styleId="B30">
    <w:name w:val="B3"/>
    <w:basedOn w:val="List3"/>
    <w:pPr>
      <w:ind w:left="1645" w:hanging="454"/>
    </w:pPr>
  </w:style>
  <w:style w:type="paragraph" w:customStyle="1" w:styleId="B3">
    <w:name w:val="B3+"/>
    <w:basedOn w:val="B30"/>
    <w:pPr>
      <w:numPr>
        <w:numId w:val="3"/>
      </w:numPr>
      <w:tabs>
        <w:tab w:val="left" w:pos="1134"/>
      </w:tabs>
    </w:pPr>
  </w:style>
  <w:style w:type="paragraph" w:styleId="List4">
    <w:name w:val="List 4"/>
    <w:basedOn w:val="List3"/>
    <w:pPr>
      <w:ind w:left="1418"/>
    </w:pPr>
  </w:style>
  <w:style w:type="paragraph" w:customStyle="1" w:styleId="B4">
    <w:name w:val="B4"/>
    <w:basedOn w:val="List4"/>
    <w:pPr>
      <w:ind w:left="2098" w:hanging="454"/>
    </w:pPr>
  </w:style>
  <w:style w:type="paragraph" w:styleId="List5">
    <w:name w:val="List 5"/>
    <w:basedOn w:val="List4"/>
    <w:pPr>
      <w:ind w:left="1702"/>
    </w:pPr>
  </w:style>
  <w:style w:type="paragraph" w:customStyle="1" w:styleId="B5">
    <w:name w:val="B5"/>
    <w:basedOn w:val="List5"/>
    <w:pPr>
      <w:ind w:left="2552" w:hanging="454"/>
    </w:pPr>
  </w:style>
  <w:style w:type="paragraph" w:customStyle="1" w:styleId="BL">
    <w:name w:val="BL"/>
    <w:basedOn w:val="Normal"/>
    <w:pPr>
      <w:numPr>
        <w:numId w:val="4"/>
      </w:numPr>
      <w:tabs>
        <w:tab w:val="left" w:pos="851"/>
      </w:tabs>
    </w:pPr>
  </w:style>
  <w:style w:type="paragraph" w:customStyle="1" w:styleId="BN">
    <w:name w:val="BN"/>
    <w:basedOn w:val="Normal"/>
    <w:pPr>
      <w:numPr>
        <w:numId w:val="5"/>
      </w:numPr>
    </w:pPr>
  </w:style>
  <w:style w:type="paragraph" w:customStyle="1" w:styleId="NO">
    <w:name w:val="NO"/>
    <w:basedOn w:val="Normal"/>
    <w:pPr>
      <w:keepLines/>
      <w:ind w:left="1135" w:hanging="851"/>
    </w:pPr>
  </w:style>
  <w:style w:type="paragraph" w:customStyle="1" w:styleId="EditorsNote">
    <w:name w:val="Editor's Note"/>
    <w:basedOn w:val="NO"/>
    <w:rPr>
      <w:color w:val="FF0000"/>
    </w:rPr>
  </w:style>
  <w:style w:type="paragraph" w:customStyle="1" w:styleId="EQ">
    <w:name w:val="EQ"/>
    <w:basedOn w:val="Normal"/>
    <w:next w:val="Normal"/>
    <w:pPr>
      <w:keepLines/>
      <w:tabs>
        <w:tab w:val="center" w:pos="4536"/>
        <w:tab w:val="right" w:pos="9072"/>
      </w:tabs>
    </w:pPr>
    <w:rPr>
      <w:noProof/>
    </w:rPr>
  </w:style>
  <w:style w:type="paragraph" w:customStyle="1" w:styleId="EX">
    <w:name w:val="EX"/>
    <w:basedOn w:val="Normal"/>
    <w:pPr>
      <w:keepLines/>
      <w:ind w:left="1702" w:hanging="1418"/>
    </w:pPr>
  </w:style>
  <w:style w:type="paragraph" w:customStyle="1" w:styleId="EW">
    <w:name w:val="EW"/>
    <w:basedOn w:val="EX"/>
  </w:style>
  <w:style w:type="paragraph" w:customStyle="1" w:styleId="FL">
    <w:name w:val="FL"/>
    <w:basedOn w:val="Normal"/>
    <w:pPr>
      <w:keepNext/>
      <w:keepLines/>
      <w:spacing w:before="60"/>
      <w:jc w:val="center"/>
    </w:pPr>
    <w:rPr>
      <w:rFonts w:ascii="Arial" w:hAnsi="Arial"/>
      <w:b/>
    </w:rPr>
  </w:style>
  <w:style w:type="paragraph" w:styleId="Header">
    <w:name w:val="header"/>
    <w:link w:val="HeaderChar"/>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Pr>
      <w:rFonts w:ascii="Arial" w:eastAsia="Times New Roman" w:hAnsi="Arial" w:cs="Times New Roman"/>
      <w:b/>
      <w:noProof/>
      <w:sz w:val="18"/>
      <w:szCs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Pr>
      <w:rFonts w:ascii="Arial" w:eastAsia="Times New Roman" w:hAnsi="Arial" w:cs="Times New Roman"/>
      <w:b/>
      <w:i/>
      <w:noProof/>
      <w:sz w:val="18"/>
      <w:szCs w:val="20"/>
    </w:rPr>
  </w:style>
  <w:style w:type="character" w:styleId="FootnoteReference">
    <w:name w:val="footnote reference"/>
    <w:basedOn w:val="DefaultParagraphFont"/>
    <w:semiHidden/>
    <w:rPr>
      <w:b/>
      <w:position w:val="6"/>
      <w:sz w:val="16"/>
    </w:rPr>
  </w:style>
  <w:style w:type="paragraph" w:styleId="FootnoteText">
    <w:name w:val="footnote text"/>
    <w:basedOn w:val="Normal"/>
    <w:link w:val="FootnoteTextChar"/>
    <w:semiHidden/>
    <w:pPr>
      <w:keepLines/>
      <w:ind w:left="454" w:hanging="454"/>
    </w:pPr>
    <w:rPr>
      <w:sz w:val="16"/>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16"/>
      <w:szCs w:val="20"/>
    </w:rPr>
  </w:style>
  <w:style w:type="paragraph" w:customStyle="1" w:styleId="FP">
    <w:name w:val="FP"/>
    <w:basedOn w:val="Normal"/>
  </w:style>
  <w:style w:type="character" w:customStyle="1" w:styleId="Heading1Char">
    <w:name w:val="Heading 1 Char"/>
    <w:basedOn w:val="DefaultParagraphFont"/>
    <w:link w:val="Heading1"/>
    <w:rPr>
      <w:rFonts w:ascii="Arial" w:eastAsia="Times New Roman" w:hAnsi="Arial" w:cs="Times New Roman"/>
      <w:sz w:val="36"/>
      <w:szCs w:val="20"/>
    </w:rPr>
  </w:style>
  <w:style w:type="character" w:customStyle="1" w:styleId="Heading2Char">
    <w:name w:val="Heading 2 Char"/>
    <w:basedOn w:val="DefaultParagraphFont"/>
    <w:link w:val="Heading2"/>
    <w:rPr>
      <w:rFonts w:ascii="Arial" w:eastAsia="Times New Roman" w:hAnsi="Arial" w:cs="Times New Roman"/>
      <w:sz w:val="32"/>
      <w:szCs w:val="20"/>
    </w:rPr>
  </w:style>
  <w:style w:type="character" w:customStyle="1" w:styleId="Heading3Char">
    <w:name w:val="Heading 3 Char"/>
    <w:basedOn w:val="DefaultParagraphFont"/>
    <w:link w:val="Heading3"/>
    <w:rPr>
      <w:rFonts w:ascii="Arial" w:eastAsia="Times New Roman" w:hAnsi="Arial" w:cs="Times New Roman"/>
      <w:sz w:val="28"/>
      <w:szCs w:val="20"/>
    </w:rPr>
  </w:style>
  <w:style w:type="character" w:customStyle="1" w:styleId="Heading4Char">
    <w:name w:val="Heading 4 Char"/>
    <w:basedOn w:val="DefaultParagraphFont"/>
    <w:link w:val="Heading4"/>
    <w:rPr>
      <w:rFonts w:ascii="Arial" w:eastAsia="Times New Roman" w:hAnsi="Arial" w:cs="Times New Roman"/>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paragraph" w:customStyle="1" w:styleId="H6">
    <w:name w:val="H6"/>
    <w:basedOn w:val="Heading5"/>
    <w:next w:val="Normal"/>
    <w:pPr>
      <w:ind w:left="1985" w:hanging="1985"/>
      <w:outlineLvl w:val="9"/>
    </w:pPr>
    <w:rPr>
      <w:sz w:val="20"/>
    </w:rPr>
  </w:style>
  <w:style w:type="character" w:customStyle="1" w:styleId="Heading6Char">
    <w:name w:val="Heading 6 Char"/>
    <w:basedOn w:val="DefaultParagraphFont"/>
    <w:link w:val="Heading6"/>
    <w:rPr>
      <w:rFonts w:ascii="Arial" w:eastAsia="Times New Roman" w:hAnsi="Arial" w:cs="Times New Roman"/>
      <w:sz w:val="20"/>
      <w:szCs w:val="20"/>
    </w:rPr>
  </w:style>
  <w:style w:type="character" w:customStyle="1" w:styleId="Heading7Char">
    <w:name w:val="Heading 7 Char"/>
    <w:basedOn w:val="DefaultParagraphFont"/>
    <w:link w:val="Heading7"/>
    <w:rPr>
      <w:rFonts w:ascii="Arial" w:eastAsia="Times New Roman" w:hAnsi="Arial" w:cs="Times New Roman"/>
      <w:sz w:val="20"/>
      <w:szCs w:val="20"/>
    </w:rPr>
  </w:style>
  <w:style w:type="character" w:customStyle="1" w:styleId="Heading8Char">
    <w:name w:val="Heading 8 Char"/>
    <w:basedOn w:val="DefaultParagraphFont"/>
    <w:link w:val="Heading8"/>
    <w:rPr>
      <w:rFonts w:ascii="Arial" w:eastAsia="Times New Roman" w:hAnsi="Arial" w:cs="Times New Roman"/>
      <w:sz w:val="36"/>
      <w:szCs w:val="20"/>
    </w:rPr>
  </w:style>
  <w:style w:type="character" w:customStyle="1" w:styleId="Heading9Char">
    <w:name w:val="Heading 9 Char"/>
    <w:basedOn w:val="DefaultParagraphFont"/>
    <w:link w:val="Heading9"/>
    <w:rPr>
      <w:rFonts w:ascii="Arial" w:eastAsia="Times New Roman" w:hAnsi="Arial" w:cs="Times New Roman"/>
      <w:sz w:val="36"/>
      <w:szCs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LD">
    <w:name w:val="L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customStyle="1" w:styleId="NF">
    <w:name w:val="NF"/>
    <w:basedOn w:val="NO"/>
    <w:pPr>
      <w:keepNext/>
    </w:pPr>
    <w:rPr>
      <w:rFonts w:ascii="Arial" w:hAnsi="Arial"/>
      <w:sz w:val="18"/>
    </w:rPr>
  </w:style>
  <w:style w:type="paragraph" w:customStyle="1" w:styleId="NW">
    <w:name w:val="NW"/>
    <w:basedOn w:val="NO"/>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pPr>
      <w:keepNext/>
      <w:keepLines/>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J">
    <w:name w:val="TAJ"/>
    <w:basedOn w:val="Normal"/>
    <w:pPr>
      <w:keepNext/>
      <w:keepLines/>
      <w:jc w:val="both"/>
    </w:pPr>
    <w:rPr>
      <w:rFonts w:ascii="Arial" w:hAnsi="Arial"/>
      <w:sz w:val="18"/>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F">
    <w:name w:val="TF"/>
    <w:basedOn w:val="FL"/>
    <w:pPr>
      <w:keepNext w:val="0"/>
      <w:spacing w:before="0" w:after="240"/>
    </w:pPr>
  </w:style>
  <w:style w:type="paragraph" w:customStyle="1" w:styleId="TH">
    <w:name w:val="TH"/>
    <w:basedOn w:val="FL"/>
    <w:next w:val="FL"/>
  </w:style>
  <w:style w:type="paragraph" w:styleId="TOC1">
    <w:name w:val="toc 1"/>
    <w:semiHidden/>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pPr>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pPr>
      <w:framePr w:wrap="notBeside" w:y="16161"/>
    </w:p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rPr>
      <w:color w:val="0000FF"/>
      <w:sz w:val="20"/>
      <w:u w:val="single"/>
    </w:rPr>
  </w:style>
  <w:style w:type="paragraph" w:styleId="ListParagraph">
    <w:name w:val="List Paragraph"/>
    <w:basedOn w:val="Normal"/>
    <w:uiPriority w:val="34"/>
    <w:qFormat/>
    <w:pPr>
      <w:ind w:left="720"/>
      <w:contextualSpacing/>
    </w:p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styleId="FollowedHyperlink">
    <w:name w:val="FollowedHyperlink"/>
    <w:basedOn w:val="DefaultParagraphFont"/>
    <w:uiPriority w:val="99"/>
    <w:semiHidden/>
    <w:unhideWhenUsed/>
    <w:rPr>
      <w:color w:val="800080" w:themeColor="followed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character" w:styleId="UnresolvedMention">
    <w:name w:val="Unresolved Mention"/>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829436">
      <w:bodyDiv w:val="1"/>
      <w:marLeft w:val="0"/>
      <w:marRight w:val="0"/>
      <w:marTop w:val="0"/>
      <w:marBottom w:val="0"/>
      <w:divBdr>
        <w:top w:val="none" w:sz="0" w:space="0" w:color="auto"/>
        <w:left w:val="none" w:sz="0" w:space="0" w:color="auto"/>
        <w:bottom w:val="none" w:sz="0" w:space="0" w:color="auto"/>
        <w:right w:val="none" w:sz="0" w:space="0" w:color="auto"/>
      </w:divBdr>
      <w:divsChild>
        <w:div w:id="1983391460">
          <w:marLeft w:val="0"/>
          <w:marRight w:val="0"/>
          <w:marTop w:val="0"/>
          <w:marBottom w:val="0"/>
          <w:divBdr>
            <w:top w:val="none" w:sz="0" w:space="0" w:color="auto"/>
            <w:left w:val="none" w:sz="0" w:space="0" w:color="auto"/>
            <w:bottom w:val="none" w:sz="0" w:space="0" w:color="auto"/>
            <w:right w:val="none" w:sz="0" w:space="0" w:color="auto"/>
          </w:divBdr>
        </w:div>
      </w:divsChild>
    </w:div>
    <w:div w:id="95174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RMSupport@etsi.org"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Guillermo.Vietti@etsi.org"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ominique.everaere@ericsson.co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alazs.bertenyi@nokia.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ea025288cfe82709f9968690a49b4ed5">
  <xsd:schema xmlns:xsd="http://www.w3.org/2001/XMLSchema" xmlns:xs="http://www.w3.org/2001/XMLSchema" xmlns:p="http://schemas.microsoft.com/office/2006/metadata/properties" xmlns:ns3="cc9c437c-ae0c-4066-8d90-a0f7de786127" targetNamespace="http://schemas.microsoft.com/office/2006/metadata/properties" ma:root="true" ma:fieldsID="383fb337c8f35ab73a9fb8f87a41d259"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B51FC2-3BDA-4697-9E78-6B22EFDA60B0}">
  <ds:schemaRefs>
    <ds:schemaRef ds:uri="http://schemas.microsoft.com/sharepoint/v3/contenttype/forms"/>
  </ds:schemaRefs>
</ds:datastoreItem>
</file>

<file path=customXml/itemProps2.xml><?xml version="1.0" encoding="utf-8"?>
<ds:datastoreItem xmlns:ds="http://schemas.openxmlformats.org/officeDocument/2006/customXml" ds:itemID="{E1C33A72-EB43-43D9-899B-B8CBB405A00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B3F73E3-FA3E-420D-8FA0-2EA0B992F9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11E40-8DC3-42FE-AA8D-4B0FD2B7C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2</Pages>
  <Words>538</Words>
  <Characters>3069</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ETSI Secretariat</Company>
  <LinksUpToDate>false</LinksUpToDate>
  <CharactersWithSpaces>3600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Guillermo Vietti</cp:lastModifiedBy>
  <cp:revision>3</cp:revision>
  <cp:lastPrinted>2020-01-28T12:31:00Z</cp:lastPrinted>
  <dcterms:created xsi:type="dcterms:W3CDTF">2020-02-10T10:19:00Z</dcterms:created>
  <dcterms:modified xsi:type="dcterms:W3CDTF">2020-02-10T11:01:00Z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