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C82DFA" w14:textId="00931EA2" w:rsidR="00DA6418" w:rsidRDefault="00DA6418" w:rsidP="00DA6418">
      <w:pPr>
        <w:pStyle w:val="CRCoverPage"/>
        <w:tabs>
          <w:tab w:val="right" w:pos="9639"/>
        </w:tabs>
        <w:spacing w:after="0"/>
        <w:rPr>
          <w:b/>
          <w:i/>
          <w:noProof/>
          <w:sz w:val="28"/>
        </w:rPr>
      </w:pPr>
      <w:r>
        <w:rPr>
          <w:b/>
          <w:noProof/>
          <w:sz w:val="24"/>
        </w:rPr>
        <w:t>3GPP TSG-RAN4 Meeting #98bis-e</w:t>
      </w:r>
      <w:r>
        <w:rPr>
          <w:b/>
          <w:i/>
          <w:noProof/>
          <w:sz w:val="28"/>
        </w:rPr>
        <w:tab/>
      </w:r>
      <w:r w:rsidR="00214622" w:rsidRPr="00214622">
        <w:rPr>
          <w:b/>
          <w:i/>
          <w:noProof/>
          <w:sz w:val="28"/>
        </w:rPr>
        <w:t>R4-2110488</w:t>
      </w:r>
    </w:p>
    <w:p w14:paraId="6398B426" w14:textId="69FE7680" w:rsidR="00DA6418" w:rsidRDefault="00DA6418" w:rsidP="00DA6418">
      <w:pPr>
        <w:pStyle w:val="CRCoverPage"/>
        <w:outlineLvl w:val="0"/>
        <w:rPr>
          <w:b/>
          <w:noProof/>
          <w:sz w:val="24"/>
        </w:rPr>
      </w:pPr>
      <w:r>
        <w:rPr>
          <w:b/>
          <w:noProof/>
          <w:sz w:val="24"/>
        </w:rPr>
        <w:t xml:space="preserve">Electronic Meeting, </w:t>
      </w:r>
      <w:r w:rsidR="00A25323" w:rsidRPr="00A508F6">
        <w:rPr>
          <w:b/>
          <w:noProof/>
          <w:sz w:val="24"/>
        </w:rPr>
        <w:t>19th – 27th May 2021</w:t>
      </w:r>
    </w:p>
    <w:p w14:paraId="6ECE6E83" w14:textId="77777777" w:rsidR="004B6D23" w:rsidRPr="00947377" w:rsidRDefault="004B6D23" w:rsidP="004B6D23">
      <w:pPr>
        <w:spacing w:after="120"/>
        <w:ind w:left="1985" w:hanging="1985"/>
        <w:rPr>
          <w:rFonts w:ascii="Arial" w:hAnsi="Arial" w:cs="Arial"/>
          <w:b/>
          <w:lang w:val="en-US"/>
        </w:rPr>
      </w:pPr>
    </w:p>
    <w:p w14:paraId="00727CF9" w14:textId="77777777" w:rsidR="004B6D23" w:rsidRPr="00947377" w:rsidRDefault="004B6D23" w:rsidP="004B6D23">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p>
    <w:p w14:paraId="433106CB" w14:textId="05035030" w:rsidR="004B6D23" w:rsidRPr="00461565" w:rsidRDefault="004B6D23" w:rsidP="004B6D23">
      <w:pPr>
        <w:spacing w:after="120"/>
        <w:ind w:left="1985" w:hanging="1985"/>
        <w:rPr>
          <w:rFonts w:ascii="Arial" w:hAnsi="Arial" w:cs="Arial"/>
          <w:bCs/>
        </w:rPr>
      </w:pPr>
      <w:r w:rsidRPr="00947377">
        <w:rPr>
          <w:rFonts w:ascii="Arial" w:hAnsi="Arial" w:cs="Arial"/>
          <w:b/>
          <w:lang w:val="en-US"/>
        </w:rPr>
        <w:t>Title:</w:t>
      </w:r>
      <w:r w:rsidRPr="00947377">
        <w:rPr>
          <w:rFonts w:ascii="Arial" w:hAnsi="Arial" w:cs="Arial"/>
          <w:b/>
          <w:lang w:val="en-US"/>
        </w:rPr>
        <w:tab/>
      </w:r>
      <w:r w:rsidR="00A25323">
        <w:rPr>
          <w:rFonts w:ascii="Arial" w:hAnsi="Arial" w:cs="Arial"/>
          <w:bCs/>
          <w:lang w:val="en-US"/>
        </w:rPr>
        <w:t xml:space="preserve">Evaluating </w:t>
      </w:r>
      <w:r w:rsidR="00461565">
        <w:rPr>
          <w:rFonts w:ascii="Arial" w:hAnsi="Arial" w:cs="Arial"/>
          <w:bCs/>
          <w:lang w:val="en-US"/>
        </w:rPr>
        <w:t>Overlapping Channel Bandwidth Approach</w:t>
      </w:r>
      <w:r w:rsidR="00A25323">
        <w:rPr>
          <w:rFonts w:ascii="Arial" w:hAnsi="Arial" w:cs="Arial"/>
          <w:bCs/>
          <w:lang w:val="en-US"/>
        </w:rPr>
        <w:t>es</w:t>
      </w:r>
    </w:p>
    <w:p w14:paraId="4ADE6546" w14:textId="39553DE8" w:rsidR="004B6D23" w:rsidRPr="00947377" w:rsidRDefault="004B6D23" w:rsidP="004B6D23">
      <w:pPr>
        <w:spacing w:after="120"/>
        <w:ind w:left="1985" w:hanging="1985"/>
        <w:rPr>
          <w:rFonts w:ascii="Arial" w:hAnsi="Arial" w:cs="Arial"/>
          <w:bCs/>
          <w:color w:val="FF0000"/>
          <w:lang w:val="en-US"/>
        </w:rPr>
      </w:pPr>
      <w:r w:rsidRPr="00947377">
        <w:rPr>
          <w:rFonts w:ascii="Arial" w:hAnsi="Arial" w:cs="Arial"/>
          <w:b/>
          <w:lang w:val="en-US"/>
        </w:rPr>
        <w:t>Agenda item:</w:t>
      </w:r>
      <w:r w:rsidRPr="00947377">
        <w:rPr>
          <w:rFonts w:ascii="Arial" w:hAnsi="Arial" w:cs="Arial"/>
          <w:lang w:val="en-US"/>
        </w:rPr>
        <w:tab/>
      </w:r>
      <w:r w:rsidR="00214622" w:rsidRPr="00214622">
        <w:rPr>
          <w:rFonts w:ascii="Arial" w:hAnsi="Arial" w:cs="Arial"/>
          <w:lang w:val="en-US"/>
        </w:rPr>
        <w:t>10.2.3</w:t>
      </w:r>
    </w:p>
    <w:p w14:paraId="50E01754" w14:textId="1DDCD608" w:rsidR="004B6D23" w:rsidRPr="00947377" w:rsidRDefault="004B6D23" w:rsidP="004B6D23">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r>
      <w:r w:rsidR="00823C41">
        <w:rPr>
          <w:rFonts w:ascii="Arial" w:hAnsi="Arial" w:cs="Arial"/>
          <w:lang w:val="en-US"/>
        </w:rPr>
        <w:t>Discussion</w:t>
      </w:r>
    </w:p>
    <w:p w14:paraId="3FEBD6BE" w14:textId="77777777" w:rsidR="004B6D23" w:rsidRPr="00947377" w:rsidRDefault="004B6D23" w:rsidP="004B6D23">
      <w:pPr>
        <w:spacing w:after="120"/>
        <w:ind w:left="1985" w:hanging="1985"/>
        <w:rPr>
          <w:rFonts w:ascii="Arial" w:hAnsi="Arial" w:cs="Arial"/>
          <w:lang w:val="en-US"/>
        </w:rPr>
      </w:pPr>
    </w:p>
    <w:p w14:paraId="559A2012" w14:textId="77777777" w:rsidR="004B6D23" w:rsidRPr="00947377" w:rsidRDefault="004B6D23" w:rsidP="004B6D23">
      <w:pPr>
        <w:pStyle w:val="Heading1"/>
      </w:pPr>
      <w:r w:rsidRPr="00947377">
        <w:t>1.</w:t>
      </w:r>
      <w:r w:rsidRPr="00947377">
        <w:tab/>
        <w:t>Introduction</w:t>
      </w:r>
    </w:p>
    <w:p w14:paraId="2A1B5448" w14:textId="737A8BDD" w:rsidR="003A4E8F" w:rsidRDefault="005971A6" w:rsidP="00B26AB1">
      <w:pPr>
        <w:pStyle w:val="BodyText"/>
        <w:rPr>
          <w:rFonts w:ascii="Arial" w:hAnsi="Arial" w:cs="Arial"/>
          <w:lang w:val="en-US"/>
        </w:rPr>
      </w:pPr>
      <w:r w:rsidRPr="00453383">
        <w:rPr>
          <w:rFonts w:ascii="Arial" w:eastAsia="Calibri" w:hAnsi="Arial" w:cs="Arial"/>
          <w:sz w:val="22"/>
          <w:szCs w:val="22"/>
          <w:lang w:val="en-US"/>
        </w:rPr>
        <w:t>During RAN</w:t>
      </w:r>
      <w:r w:rsidR="00B96455">
        <w:rPr>
          <w:rFonts w:ascii="Arial" w:eastAsia="Calibri" w:hAnsi="Arial" w:cs="Arial"/>
          <w:sz w:val="22"/>
          <w:szCs w:val="22"/>
          <w:lang w:val="en-US"/>
        </w:rPr>
        <w:t>4#98</w:t>
      </w:r>
      <w:r w:rsidR="00B26AB1">
        <w:rPr>
          <w:rFonts w:ascii="Arial" w:eastAsia="Calibri" w:hAnsi="Arial" w:cs="Arial"/>
          <w:sz w:val="22"/>
          <w:szCs w:val="22"/>
          <w:lang w:val="en-US"/>
        </w:rPr>
        <w:t>bis</w:t>
      </w:r>
      <w:r w:rsidR="00B96455">
        <w:rPr>
          <w:rFonts w:ascii="Arial" w:eastAsia="Calibri" w:hAnsi="Arial" w:cs="Arial"/>
          <w:sz w:val="22"/>
          <w:szCs w:val="22"/>
          <w:lang w:val="en-US"/>
        </w:rPr>
        <w:t xml:space="preserve">-e </w:t>
      </w:r>
      <w:r w:rsidR="00B26AB1">
        <w:rPr>
          <w:rFonts w:ascii="Arial" w:eastAsia="Calibri" w:hAnsi="Arial" w:cs="Arial"/>
          <w:sz w:val="22"/>
          <w:szCs w:val="22"/>
          <w:lang w:val="en-US"/>
        </w:rPr>
        <w:t xml:space="preserve">discussions during online GTW meetings lead to a WF on evaluation on </w:t>
      </w:r>
      <w:proofErr w:type="spellStart"/>
      <w:r w:rsidR="00B26AB1">
        <w:rPr>
          <w:rFonts w:ascii="Arial" w:eastAsia="Calibri" w:hAnsi="Arial" w:cs="Arial"/>
          <w:sz w:val="22"/>
          <w:szCs w:val="22"/>
          <w:lang w:val="en-US"/>
        </w:rPr>
        <w:t>irregularBW</w:t>
      </w:r>
      <w:proofErr w:type="spellEnd"/>
      <w:r w:rsidR="00B26AB1">
        <w:rPr>
          <w:rFonts w:ascii="Arial" w:eastAsia="Calibri" w:hAnsi="Arial" w:cs="Arial"/>
          <w:sz w:val="22"/>
          <w:szCs w:val="22"/>
          <w:lang w:val="en-US"/>
        </w:rPr>
        <w:t xml:space="preserve"> approaches </w:t>
      </w:r>
      <w:r w:rsidR="00B26AB1">
        <w:rPr>
          <w:rFonts w:ascii="Arial" w:eastAsia="Calibri" w:hAnsi="Arial" w:cs="Arial"/>
          <w:sz w:val="22"/>
          <w:szCs w:val="22"/>
          <w:lang w:val="en-US"/>
        </w:rPr>
        <w:fldChar w:fldCharType="begin"/>
      </w:r>
      <w:r w:rsidR="00B26AB1">
        <w:rPr>
          <w:rFonts w:ascii="Arial" w:eastAsia="Calibri" w:hAnsi="Arial" w:cs="Arial"/>
          <w:sz w:val="22"/>
          <w:szCs w:val="22"/>
          <w:lang w:val="en-US"/>
        </w:rPr>
        <w:instrText xml:space="preserve"> REF _Ref68101807 \r \h </w:instrText>
      </w:r>
      <w:r w:rsidR="00B26AB1">
        <w:rPr>
          <w:rFonts w:ascii="Arial" w:eastAsia="Calibri" w:hAnsi="Arial" w:cs="Arial"/>
          <w:sz w:val="22"/>
          <w:szCs w:val="22"/>
          <w:lang w:val="en-US"/>
        </w:rPr>
      </w:r>
      <w:r w:rsidR="00B26AB1">
        <w:rPr>
          <w:rFonts w:ascii="Arial" w:eastAsia="Calibri" w:hAnsi="Arial" w:cs="Arial"/>
          <w:sz w:val="22"/>
          <w:szCs w:val="22"/>
          <w:lang w:val="en-US"/>
        </w:rPr>
        <w:fldChar w:fldCharType="separate"/>
      </w:r>
      <w:r w:rsidR="00B26AB1">
        <w:rPr>
          <w:rFonts w:ascii="Arial" w:eastAsia="Calibri" w:hAnsi="Arial" w:cs="Arial"/>
          <w:sz w:val="22"/>
          <w:szCs w:val="22"/>
          <w:lang w:val="en-US"/>
        </w:rPr>
        <w:t>[1]</w:t>
      </w:r>
      <w:r w:rsidR="00B26AB1">
        <w:rPr>
          <w:rFonts w:ascii="Arial" w:eastAsia="Calibri" w:hAnsi="Arial" w:cs="Arial"/>
          <w:sz w:val="22"/>
          <w:szCs w:val="22"/>
          <w:lang w:val="en-US"/>
        </w:rPr>
        <w:fldChar w:fldCharType="end"/>
      </w:r>
      <w:r w:rsidR="002C4D91">
        <w:rPr>
          <w:rFonts w:ascii="Arial" w:eastAsia="Calibri" w:hAnsi="Arial" w:cs="Arial"/>
          <w:sz w:val="22"/>
          <w:szCs w:val="22"/>
          <w:lang w:val="en-US"/>
        </w:rPr>
        <w:t>.  In this contribution further discussion on details relating to Overlapping channel bandwidth approaches is analyzed both from UE and BS perspectives.</w:t>
      </w:r>
    </w:p>
    <w:p w14:paraId="78DE91F3" w14:textId="638B8690" w:rsidR="003A4E8F" w:rsidRPr="00947377" w:rsidRDefault="003A4E8F" w:rsidP="003A4E8F">
      <w:pPr>
        <w:pStyle w:val="Heading1"/>
      </w:pPr>
      <w:r>
        <w:t>2</w:t>
      </w:r>
      <w:r w:rsidRPr="00947377">
        <w:t>.</w:t>
      </w:r>
      <w:r w:rsidRPr="00947377">
        <w:tab/>
      </w:r>
      <w:r>
        <w:t>Discussion</w:t>
      </w:r>
    </w:p>
    <w:p w14:paraId="5340DC8B" w14:textId="359D0162" w:rsidR="007F2562" w:rsidRDefault="002C4D91" w:rsidP="007F2562">
      <w:pPr>
        <w:rPr>
          <w:rFonts w:ascii="Arial" w:hAnsi="Arial" w:cs="Arial"/>
          <w:lang w:val="en-US"/>
        </w:rPr>
      </w:pPr>
      <w:r>
        <w:rPr>
          <w:rFonts w:ascii="Arial" w:hAnsi="Arial" w:cs="Arial"/>
          <w:lang w:val="en-US"/>
        </w:rPr>
        <w:t xml:space="preserve">Currently there </w:t>
      </w:r>
      <w:r w:rsidR="00886B10">
        <w:rPr>
          <w:rFonts w:ascii="Arial" w:hAnsi="Arial" w:cs="Arial"/>
          <w:lang w:val="en-US"/>
        </w:rPr>
        <w:t xml:space="preserve">are </w:t>
      </w:r>
      <w:r>
        <w:rPr>
          <w:rFonts w:ascii="Arial" w:hAnsi="Arial" w:cs="Arial"/>
          <w:lang w:val="en-US"/>
        </w:rPr>
        <w:t xml:space="preserve">three different methodologies which fall under the category of overlapping channel bandwidth approach.  </w:t>
      </w:r>
      <w:r w:rsidR="00B7015C">
        <w:rPr>
          <w:rFonts w:ascii="Arial" w:hAnsi="Arial" w:cs="Arial"/>
          <w:lang w:val="en-US"/>
        </w:rPr>
        <w:t xml:space="preserve">The analysis herein will only consider DL only with UL as an optional feature.  There has been analysis that UL direction may be quite difficult to consider and may not provide significant benefit when weighting specification impact. </w:t>
      </w:r>
      <w:r w:rsidR="00C64394">
        <w:rPr>
          <w:rFonts w:ascii="Arial" w:hAnsi="Arial" w:cs="Arial"/>
          <w:lang w:val="en-US"/>
        </w:rPr>
        <w:t xml:space="preserve"> Therefore</w:t>
      </w:r>
      <w:r w:rsidR="00EE1DDE">
        <w:rPr>
          <w:rFonts w:ascii="Arial" w:hAnsi="Arial" w:cs="Arial"/>
          <w:lang w:val="en-US"/>
        </w:rPr>
        <w:t>,</w:t>
      </w:r>
      <w:r w:rsidR="00C64394">
        <w:rPr>
          <w:rFonts w:ascii="Arial" w:hAnsi="Arial" w:cs="Arial"/>
          <w:lang w:val="en-US"/>
        </w:rPr>
        <w:t xml:space="preserve"> the analysis herein is focused only on DL direction for </w:t>
      </w:r>
      <w:proofErr w:type="spellStart"/>
      <w:r w:rsidR="00C64394">
        <w:rPr>
          <w:rFonts w:ascii="Arial" w:hAnsi="Arial" w:cs="Arial"/>
          <w:lang w:val="en-US"/>
        </w:rPr>
        <w:t>irregularBW</w:t>
      </w:r>
      <w:proofErr w:type="spellEnd"/>
      <w:r w:rsidR="00C64394">
        <w:rPr>
          <w:rFonts w:ascii="Arial" w:hAnsi="Arial" w:cs="Arial"/>
          <w:lang w:val="en-US"/>
        </w:rPr>
        <w:t xml:space="preserve"> with UL applies </w:t>
      </w:r>
      <w:proofErr w:type="spellStart"/>
      <w:r w:rsidR="00C64394">
        <w:rPr>
          <w:rFonts w:ascii="Arial" w:hAnsi="Arial" w:cs="Arial"/>
          <w:lang w:val="en-US"/>
        </w:rPr>
        <w:t>SmallerCHBW</w:t>
      </w:r>
      <w:proofErr w:type="spellEnd"/>
      <w:r w:rsidR="00C64394">
        <w:rPr>
          <w:rFonts w:ascii="Arial" w:hAnsi="Arial" w:cs="Arial"/>
          <w:lang w:val="en-US"/>
        </w:rPr>
        <w:t>.</w:t>
      </w:r>
    </w:p>
    <w:p w14:paraId="59E48E07" w14:textId="77777777" w:rsidR="007F2562" w:rsidRDefault="007F2562" w:rsidP="007F2562">
      <w:pPr>
        <w:rPr>
          <w:rFonts w:ascii="Arial" w:hAnsi="Arial" w:cs="Arial"/>
          <w:lang w:val="en-US"/>
        </w:rPr>
      </w:pPr>
    </w:p>
    <w:p w14:paraId="2C28A148" w14:textId="6FB77937" w:rsidR="00B7015C" w:rsidRDefault="00B7015C" w:rsidP="007F2562">
      <w:pPr>
        <w:pStyle w:val="Heading2"/>
        <w:rPr>
          <w:lang w:val="en-US"/>
        </w:rPr>
      </w:pPr>
      <w:r>
        <w:rPr>
          <w:lang w:val="en-US"/>
        </w:rPr>
        <w:t>2.1 Overlapping CA Approach</w:t>
      </w:r>
      <w:r w:rsidR="00236D6D">
        <w:rPr>
          <w:lang w:val="en-US"/>
        </w:rPr>
        <w:t xml:space="preserve"> </w:t>
      </w:r>
      <w:r w:rsidR="00456ED7">
        <w:rPr>
          <w:lang w:val="en-US"/>
        </w:rPr>
        <w:fldChar w:fldCharType="begin"/>
      </w:r>
      <w:r w:rsidR="00456ED7">
        <w:rPr>
          <w:lang w:val="en-US"/>
        </w:rPr>
        <w:instrText xml:space="preserve"> REF _Ref71285468 \r \h </w:instrText>
      </w:r>
      <w:r w:rsidR="00456ED7">
        <w:rPr>
          <w:lang w:val="en-US"/>
        </w:rPr>
      </w:r>
      <w:r w:rsidR="00456ED7">
        <w:rPr>
          <w:lang w:val="en-US"/>
        </w:rPr>
        <w:fldChar w:fldCharType="separate"/>
      </w:r>
      <w:r w:rsidR="00456ED7">
        <w:rPr>
          <w:lang w:val="en-US"/>
        </w:rPr>
        <w:t>[4]</w:t>
      </w:r>
      <w:r w:rsidR="00456ED7">
        <w:rPr>
          <w:lang w:val="en-US"/>
        </w:rPr>
        <w:fldChar w:fldCharType="end"/>
      </w:r>
    </w:p>
    <w:p w14:paraId="0F9CAD5F" w14:textId="77777777" w:rsidR="00B7015C" w:rsidRPr="00B7015C" w:rsidRDefault="00B7015C" w:rsidP="00B7015C">
      <w:pPr>
        <w:rPr>
          <w:lang w:val="en-US"/>
        </w:rPr>
      </w:pPr>
    </w:p>
    <w:p w14:paraId="0A4D41B5" w14:textId="3FFD610C" w:rsidR="002C4D91" w:rsidRDefault="002C4D91" w:rsidP="002C4D91">
      <w:pPr>
        <w:rPr>
          <w:rFonts w:ascii="Arial" w:hAnsi="Arial" w:cs="Arial"/>
          <w:lang w:val="en-US"/>
        </w:rPr>
      </w:pPr>
      <w:r>
        <w:rPr>
          <w:rFonts w:ascii="Arial" w:hAnsi="Arial" w:cs="Arial"/>
          <w:lang w:val="en-US"/>
        </w:rPr>
        <w:t xml:space="preserve">The first under </w:t>
      </w:r>
      <w:r>
        <w:rPr>
          <w:rFonts w:ascii="Arial" w:hAnsi="Arial" w:cs="Arial"/>
          <w:lang w:val="en-US"/>
        </w:rPr>
        <w:fldChar w:fldCharType="begin"/>
      </w:r>
      <w:r>
        <w:rPr>
          <w:rFonts w:ascii="Arial" w:hAnsi="Arial" w:cs="Arial"/>
          <w:lang w:val="en-US"/>
        </w:rPr>
        <w:instrText xml:space="preserve"> REF _Ref70935456 \r \h </w:instrText>
      </w:r>
      <w:r>
        <w:rPr>
          <w:rFonts w:ascii="Arial" w:hAnsi="Arial" w:cs="Arial"/>
          <w:lang w:val="en-US"/>
        </w:rPr>
      </w:r>
      <w:r>
        <w:rPr>
          <w:rFonts w:ascii="Arial" w:hAnsi="Arial" w:cs="Arial"/>
          <w:lang w:val="en-US"/>
        </w:rPr>
        <w:fldChar w:fldCharType="separate"/>
      </w:r>
      <w:r w:rsidR="001816D2">
        <w:rPr>
          <w:rFonts w:ascii="Arial" w:hAnsi="Arial" w:cs="Arial"/>
          <w:lang w:val="en-US"/>
        </w:rPr>
        <w:t>[1]</w:t>
      </w:r>
      <w:r>
        <w:rPr>
          <w:rFonts w:ascii="Arial" w:hAnsi="Arial" w:cs="Arial"/>
          <w:lang w:val="en-US"/>
        </w:rPr>
        <w:fldChar w:fldCharType="end"/>
      </w:r>
      <w:r>
        <w:rPr>
          <w:rFonts w:ascii="Arial" w:hAnsi="Arial" w:cs="Arial"/>
          <w:lang w:val="en-US"/>
        </w:rPr>
        <w:t xml:space="preserve"> is Overlapping CA approach.  In this approach the</w:t>
      </w:r>
      <w:r w:rsidR="00886B10">
        <w:rPr>
          <w:rFonts w:ascii="Arial" w:hAnsi="Arial" w:cs="Arial"/>
          <w:lang w:val="en-US"/>
        </w:rPr>
        <w:t xml:space="preserve"> UE is configured with</w:t>
      </w:r>
      <w:r>
        <w:rPr>
          <w:rFonts w:ascii="Arial" w:hAnsi="Arial" w:cs="Arial"/>
          <w:lang w:val="en-US"/>
        </w:rPr>
        <w:t xml:space="preserve"> two </w:t>
      </w:r>
      <w:r w:rsidR="00886B10">
        <w:rPr>
          <w:rFonts w:ascii="Arial" w:hAnsi="Arial" w:cs="Arial"/>
          <w:lang w:val="en-US"/>
        </w:rPr>
        <w:t xml:space="preserve">partially overlapping serving </w:t>
      </w:r>
      <w:r>
        <w:rPr>
          <w:rFonts w:ascii="Arial" w:hAnsi="Arial" w:cs="Arial"/>
          <w:lang w:val="en-US"/>
        </w:rPr>
        <w:t>cells</w:t>
      </w:r>
      <w:r w:rsidR="00886B10">
        <w:rPr>
          <w:rFonts w:ascii="Arial" w:hAnsi="Arial" w:cs="Arial"/>
          <w:lang w:val="en-US"/>
        </w:rPr>
        <w:t>. Each serving cell</w:t>
      </w:r>
      <w:r>
        <w:rPr>
          <w:rFonts w:ascii="Arial" w:hAnsi="Arial" w:cs="Arial"/>
          <w:lang w:val="en-US"/>
        </w:rPr>
        <w:t xml:space="preserve"> </w:t>
      </w:r>
      <w:r w:rsidR="00886B10">
        <w:rPr>
          <w:rFonts w:ascii="Arial" w:hAnsi="Arial" w:cs="Arial"/>
          <w:lang w:val="en-US"/>
        </w:rPr>
        <w:t xml:space="preserve">uses a </w:t>
      </w:r>
      <w:r>
        <w:rPr>
          <w:rFonts w:ascii="Arial" w:hAnsi="Arial" w:cs="Arial"/>
          <w:lang w:val="en-US"/>
        </w:rPr>
        <w:t xml:space="preserve">regular NR channel </w:t>
      </w:r>
      <w:proofErr w:type="gramStart"/>
      <w:r>
        <w:rPr>
          <w:rFonts w:ascii="Arial" w:hAnsi="Arial" w:cs="Arial"/>
          <w:lang w:val="en-US"/>
        </w:rPr>
        <w:t>bandwidths</w:t>
      </w:r>
      <w:proofErr w:type="gramEnd"/>
      <w:r w:rsidR="00886B10">
        <w:rPr>
          <w:rFonts w:ascii="Arial" w:hAnsi="Arial" w:cs="Arial"/>
          <w:lang w:val="en-US"/>
        </w:rPr>
        <w:t xml:space="preserve">. Their union covers </w:t>
      </w:r>
      <w:r>
        <w:rPr>
          <w:rFonts w:ascii="Arial" w:hAnsi="Arial" w:cs="Arial"/>
          <w:lang w:val="en-US"/>
        </w:rPr>
        <w:t xml:space="preserve">the </w:t>
      </w:r>
      <w:proofErr w:type="spellStart"/>
      <w:r>
        <w:rPr>
          <w:rFonts w:ascii="Arial" w:hAnsi="Arial" w:cs="Arial"/>
          <w:lang w:val="en-US"/>
        </w:rPr>
        <w:t>irregularBW</w:t>
      </w:r>
      <w:proofErr w:type="spellEnd"/>
      <w:r>
        <w:rPr>
          <w:rFonts w:ascii="Arial" w:hAnsi="Arial" w:cs="Arial"/>
          <w:lang w:val="en-US"/>
        </w:rPr>
        <w:t>.</w:t>
      </w:r>
      <w:r w:rsidR="00D83C56">
        <w:rPr>
          <w:rFonts w:ascii="Arial" w:hAnsi="Arial" w:cs="Arial"/>
          <w:lang w:val="en-US"/>
        </w:rPr>
        <w:t xml:space="preserve">  The advantage for this approach is providing the full </w:t>
      </w:r>
      <w:proofErr w:type="spellStart"/>
      <w:r w:rsidR="00D83C56">
        <w:rPr>
          <w:rFonts w:ascii="Arial" w:hAnsi="Arial" w:cs="Arial"/>
          <w:lang w:val="en-US"/>
        </w:rPr>
        <w:t>irregularBW</w:t>
      </w:r>
      <w:proofErr w:type="spellEnd"/>
      <w:r w:rsidR="00D83C56">
        <w:rPr>
          <w:rFonts w:ascii="Arial" w:hAnsi="Arial" w:cs="Arial"/>
          <w:lang w:val="en-US"/>
        </w:rPr>
        <w:t xml:space="preserve"> to a single UE, allowing for optimized throughput for the considered spectrum scenario.  However, there is significant implementation complexities that need to be considered.  Let’s take the 7MHz </w:t>
      </w:r>
      <w:proofErr w:type="spellStart"/>
      <w:r w:rsidR="00D83C56">
        <w:rPr>
          <w:rFonts w:ascii="Arial" w:hAnsi="Arial" w:cs="Arial"/>
          <w:lang w:val="en-US"/>
        </w:rPr>
        <w:t>irregularBW</w:t>
      </w:r>
      <w:proofErr w:type="spellEnd"/>
      <w:r w:rsidR="00D83C56">
        <w:rPr>
          <w:rFonts w:ascii="Arial" w:hAnsi="Arial" w:cs="Arial"/>
          <w:lang w:val="en-US"/>
        </w:rPr>
        <w:t>, this would require configuration of</w:t>
      </w:r>
      <w:r w:rsidR="00D7063D">
        <w:rPr>
          <w:rFonts w:ascii="Arial" w:hAnsi="Arial" w:cs="Arial"/>
          <w:lang w:val="en-US"/>
        </w:rPr>
        <w:t xml:space="preserve"> PDCCH</w:t>
      </w:r>
      <w:r w:rsidR="00D83C56">
        <w:rPr>
          <w:rFonts w:ascii="Arial" w:hAnsi="Arial" w:cs="Arial"/>
          <w:lang w:val="en-US"/>
        </w:rPr>
        <w:t xml:space="preserve"> </w:t>
      </w:r>
      <w:r w:rsidR="00D7063D">
        <w:rPr>
          <w:rFonts w:ascii="Arial" w:hAnsi="Arial" w:cs="Arial"/>
          <w:lang w:val="en-US"/>
        </w:rPr>
        <w:t xml:space="preserve">overlap between the 2 x 5 MHz and extra coordination would need to be taken care of the overlapping RBs.  If one approach may be to consider not to schedule any RBs within the overlapping portion of the </w:t>
      </w:r>
      <w:proofErr w:type="spellStart"/>
      <w:r w:rsidR="00D7063D">
        <w:rPr>
          <w:rFonts w:ascii="Arial" w:hAnsi="Arial" w:cs="Arial"/>
          <w:lang w:val="en-US"/>
        </w:rPr>
        <w:t>SCell</w:t>
      </w:r>
      <w:proofErr w:type="spellEnd"/>
      <w:r w:rsidR="00D7063D">
        <w:rPr>
          <w:rFonts w:ascii="Arial" w:hAnsi="Arial" w:cs="Arial"/>
          <w:lang w:val="en-US"/>
        </w:rPr>
        <w:t>.</w:t>
      </w:r>
    </w:p>
    <w:p w14:paraId="2CBFFCF8" w14:textId="55FD5E62" w:rsidR="00FB7D1B" w:rsidRDefault="00FB7D1B" w:rsidP="002C4D91">
      <w:pPr>
        <w:rPr>
          <w:rFonts w:ascii="Arial" w:hAnsi="Arial" w:cs="Arial"/>
          <w:lang w:val="en-US"/>
        </w:rPr>
      </w:pPr>
      <w:r>
        <w:rPr>
          <w:rFonts w:ascii="Arial" w:hAnsi="Arial" w:cs="Arial"/>
          <w:lang w:val="en-US"/>
        </w:rPr>
        <w:t xml:space="preserve">Another aspect which has not been clearly identified how to be solved in CA with </w:t>
      </w:r>
      <w:proofErr w:type="spellStart"/>
      <w:r>
        <w:rPr>
          <w:rFonts w:ascii="Arial" w:hAnsi="Arial" w:cs="Arial"/>
          <w:lang w:val="en-US"/>
        </w:rPr>
        <w:t>irregularBW</w:t>
      </w:r>
      <w:proofErr w:type="spellEnd"/>
      <w:r>
        <w:rPr>
          <w:rFonts w:ascii="Arial" w:hAnsi="Arial" w:cs="Arial"/>
          <w:lang w:val="en-US"/>
        </w:rPr>
        <w:t xml:space="preserve"> with a regular NR channel bandwidth.  In this scenario this would be mean 3 different cells needed in 2 different bands.  The implementation complexity would outweigh any potential benefit to utilizing the extra RBs introduced from </w:t>
      </w:r>
      <w:proofErr w:type="spellStart"/>
      <w:r>
        <w:rPr>
          <w:rFonts w:ascii="Arial" w:hAnsi="Arial" w:cs="Arial"/>
          <w:lang w:val="en-US"/>
        </w:rPr>
        <w:t>irr</w:t>
      </w:r>
      <w:r w:rsidR="00CC4FB7">
        <w:rPr>
          <w:rFonts w:ascii="Arial" w:hAnsi="Arial" w:cs="Arial"/>
          <w:lang w:val="en-US"/>
        </w:rPr>
        <w:t>e</w:t>
      </w:r>
      <w:r>
        <w:rPr>
          <w:rFonts w:ascii="Arial" w:hAnsi="Arial" w:cs="Arial"/>
          <w:lang w:val="en-US"/>
        </w:rPr>
        <w:t>gularBW</w:t>
      </w:r>
      <w:proofErr w:type="spellEnd"/>
      <w:r>
        <w:rPr>
          <w:rFonts w:ascii="Arial" w:hAnsi="Arial" w:cs="Arial"/>
          <w:lang w:val="en-US"/>
        </w:rPr>
        <w:t xml:space="preserve"> compared to regular NR channel bandwidth.</w:t>
      </w:r>
    </w:p>
    <w:p w14:paraId="264C0AE1" w14:textId="442F7819" w:rsidR="00746972" w:rsidRDefault="00746972" w:rsidP="002C4D91">
      <w:pPr>
        <w:rPr>
          <w:rFonts w:ascii="Arial" w:hAnsi="Arial" w:cs="Arial"/>
          <w:lang w:val="en-US"/>
        </w:rPr>
      </w:pPr>
      <w:r>
        <w:rPr>
          <w:rFonts w:ascii="Arial" w:hAnsi="Arial" w:cs="Arial"/>
          <w:lang w:val="en-US"/>
        </w:rPr>
        <w:t xml:space="preserve">Furthermore, we assume that the NW could only configure such overlapping cells if the UE offers a band combination for contiguous intra-band CA for that band. However, a legacy UE indicating support for e.g. 2x5 MHz CA cannot be expected to support those two carriers when they overlap by 3 </w:t>
      </w:r>
      <w:proofErr w:type="spellStart"/>
      <w:r>
        <w:rPr>
          <w:rFonts w:ascii="Arial" w:hAnsi="Arial" w:cs="Arial"/>
          <w:lang w:val="en-US"/>
        </w:rPr>
        <w:t>MHz.</w:t>
      </w:r>
      <w:proofErr w:type="spellEnd"/>
      <w:r>
        <w:rPr>
          <w:rFonts w:ascii="Arial" w:hAnsi="Arial" w:cs="Arial"/>
          <w:lang w:val="en-US"/>
        </w:rPr>
        <w:t xml:space="preserve"> If a new capability </w:t>
      </w:r>
      <w:r w:rsidR="007D2C8B">
        <w:rPr>
          <w:rFonts w:ascii="Arial" w:hAnsi="Arial" w:cs="Arial"/>
          <w:lang w:val="en-US"/>
        </w:rPr>
        <w:t>signaling</w:t>
      </w:r>
      <w:r>
        <w:rPr>
          <w:rFonts w:ascii="Arial" w:hAnsi="Arial" w:cs="Arial"/>
          <w:lang w:val="en-US"/>
        </w:rPr>
        <w:t xml:space="preserve"> is introduced by which UEs can indicate that it supports “overlapping contiguous carriers”, one would probably need to capture how much they may overlap at most. </w:t>
      </w:r>
    </w:p>
    <w:p w14:paraId="2CC2A732" w14:textId="7D8EFD2E" w:rsidR="0085014C" w:rsidRDefault="0085014C" w:rsidP="002C4D91">
      <w:pPr>
        <w:rPr>
          <w:rFonts w:ascii="Arial" w:hAnsi="Arial" w:cs="Arial"/>
          <w:b/>
          <w:bCs/>
        </w:rPr>
      </w:pPr>
    </w:p>
    <w:p w14:paraId="7193DB66" w14:textId="77777777" w:rsidR="00383951" w:rsidRPr="00D73A81" w:rsidRDefault="00383951" w:rsidP="002C4D91">
      <w:pPr>
        <w:rPr>
          <w:rFonts w:ascii="Arial" w:hAnsi="Arial" w:cs="Arial"/>
          <w:b/>
          <w:bCs/>
        </w:rPr>
      </w:pPr>
    </w:p>
    <w:p w14:paraId="004AEB7A" w14:textId="7B9CEF47" w:rsidR="0085014C" w:rsidRDefault="0085014C" w:rsidP="0085014C">
      <w:pPr>
        <w:pStyle w:val="Heading2"/>
        <w:rPr>
          <w:lang w:val="en-US"/>
        </w:rPr>
      </w:pPr>
      <w:r>
        <w:rPr>
          <w:lang w:val="en-US"/>
        </w:rPr>
        <w:t>2.1 Combined UE Channel Approach</w:t>
      </w:r>
      <w:r w:rsidR="00CC4FB7">
        <w:rPr>
          <w:lang w:val="en-US"/>
        </w:rPr>
        <w:t xml:space="preserve"> </w:t>
      </w:r>
      <w:r w:rsidR="00236D6D">
        <w:rPr>
          <w:lang w:val="en-US"/>
        </w:rPr>
        <w:fldChar w:fldCharType="begin"/>
      </w:r>
      <w:r w:rsidR="00236D6D">
        <w:rPr>
          <w:lang w:val="en-US"/>
        </w:rPr>
        <w:instrText xml:space="preserve"> REF _Ref71285309 \r \h </w:instrText>
      </w:r>
      <w:r w:rsidR="00236D6D">
        <w:rPr>
          <w:lang w:val="en-US"/>
        </w:rPr>
      </w:r>
      <w:r w:rsidR="00236D6D">
        <w:rPr>
          <w:lang w:val="en-US"/>
        </w:rPr>
        <w:fldChar w:fldCharType="separate"/>
      </w:r>
      <w:r w:rsidR="0018428C">
        <w:rPr>
          <w:lang w:val="en-US"/>
        </w:rPr>
        <w:t>[5]</w:t>
      </w:r>
      <w:r w:rsidR="00236D6D">
        <w:rPr>
          <w:lang w:val="en-US"/>
        </w:rPr>
        <w:fldChar w:fldCharType="end"/>
      </w:r>
    </w:p>
    <w:p w14:paraId="68EE2157" w14:textId="1291E190" w:rsidR="00364C1B" w:rsidRDefault="00497079" w:rsidP="00FA3324">
      <w:pPr>
        <w:rPr>
          <w:rFonts w:ascii="Arial" w:hAnsi="Arial" w:cs="Arial"/>
        </w:rPr>
      </w:pPr>
      <w:r>
        <w:rPr>
          <w:rFonts w:ascii="Arial" w:hAnsi="Arial" w:cs="Arial"/>
        </w:rPr>
        <w:t xml:space="preserve">The </w:t>
      </w:r>
      <w:r w:rsidR="00364C1B">
        <w:rPr>
          <w:rFonts w:ascii="Arial" w:hAnsi="Arial" w:cs="Arial"/>
        </w:rPr>
        <w:t xml:space="preserve">network provides the </w:t>
      </w:r>
      <w:proofErr w:type="spellStart"/>
      <w:r>
        <w:rPr>
          <w:rFonts w:ascii="Arial" w:hAnsi="Arial" w:cs="Arial"/>
        </w:rPr>
        <w:t>carrierBandwidth</w:t>
      </w:r>
      <w:proofErr w:type="spellEnd"/>
      <w:r>
        <w:rPr>
          <w:rFonts w:ascii="Arial" w:hAnsi="Arial" w:cs="Arial"/>
        </w:rPr>
        <w:t xml:space="preserve"> </w:t>
      </w:r>
      <w:r w:rsidR="00364C1B">
        <w:rPr>
          <w:rFonts w:ascii="Arial" w:hAnsi="Arial" w:cs="Arial"/>
        </w:rPr>
        <w:t xml:space="preserve">in </w:t>
      </w:r>
      <w:r>
        <w:rPr>
          <w:rFonts w:ascii="Arial" w:hAnsi="Arial" w:cs="Arial"/>
        </w:rPr>
        <w:t>SIB1</w:t>
      </w:r>
      <w:r w:rsidR="00364C1B">
        <w:rPr>
          <w:rFonts w:ascii="Arial" w:hAnsi="Arial" w:cs="Arial"/>
        </w:rPr>
        <w:t xml:space="preserve">. During handover and upon </w:t>
      </w:r>
      <w:proofErr w:type="spellStart"/>
      <w:r w:rsidR="00364C1B">
        <w:rPr>
          <w:rFonts w:ascii="Arial" w:hAnsi="Arial" w:cs="Arial"/>
        </w:rPr>
        <w:t>SCell</w:t>
      </w:r>
      <w:proofErr w:type="spellEnd"/>
      <w:r w:rsidR="00364C1B">
        <w:rPr>
          <w:rFonts w:ascii="Arial" w:hAnsi="Arial" w:cs="Arial"/>
        </w:rPr>
        <w:t xml:space="preserve"> addition it provides the same information in the </w:t>
      </w:r>
      <w:proofErr w:type="spellStart"/>
      <w:r w:rsidR="00364C1B">
        <w:rPr>
          <w:rFonts w:ascii="Arial" w:hAnsi="Arial" w:cs="Arial"/>
        </w:rPr>
        <w:t>RRCReconfiguration</w:t>
      </w:r>
      <w:proofErr w:type="spellEnd"/>
      <w:r w:rsidR="00364C1B">
        <w:rPr>
          <w:rFonts w:ascii="Arial" w:hAnsi="Arial" w:cs="Arial"/>
        </w:rPr>
        <w:t xml:space="preserve"> message</w:t>
      </w:r>
      <w:r>
        <w:rPr>
          <w:rFonts w:ascii="Arial" w:hAnsi="Arial" w:cs="Arial"/>
        </w:rPr>
        <w:t xml:space="preserve">.  </w:t>
      </w:r>
    </w:p>
    <w:p w14:paraId="2C303EAC" w14:textId="0D1491CA" w:rsidR="00497079" w:rsidRPr="00497079" w:rsidRDefault="00497079" w:rsidP="00FA3324">
      <w:pPr>
        <w:rPr>
          <w:rFonts w:ascii="Arial" w:hAnsi="Arial" w:cs="Arial"/>
        </w:rPr>
      </w:pPr>
      <w:r>
        <w:rPr>
          <w:rFonts w:ascii="Arial" w:hAnsi="Arial" w:cs="Arial"/>
        </w:rPr>
        <w:t xml:space="preserve">The following figure </w:t>
      </w:r>
      <w:r w:rsidR="00364C1B">
        <w:rPr>
          <w:rFonts w:ascii="Arial" w:hAnsi="Arial" w:cs="Arial"/>
        </w:rPr>
        <w:t xml:space="preserve">seems to </w:t>
      </w:r>
      <w:r>
        <w:rPr>
          <w:rFonts w:ascii="Arial" w:hAnsi="Arial" w:cs="Arial"/>
        </w:rPr>
        <w:t>impl</w:t>
      </w:r>
      <w:r w:rsidR="00364C1B">
        <w:rPr>
          <w:rFonts w:ascii="Arial" w:hAnsi="Arial" w:cs="Arial"/>
        </w:rPr>
        <w:t>y</w:t>
      </w:r>
      <w:r>
        <w:rPr>
          <w:rFonts w:ascii="Arial" w:hAnsi="Arial" w:cs="Arial"/>
        </w:rPr>
        <w:t xml:space="preserve"> that </w:t>
      </w:r>
      <w:r w:rsidR="00364C1B">
        <w:rPr>
          <w:rFonts w:ascii="Arial" w:hAnsi="Arial" w:cs="Arial"/>
        </w:rPr>
        <w:t xml:space="preserve">the </w:t>
      </w:r>
      <w:proofErr w:type="spellStart"/>
      <w:r w:rsidR="00364C1B">
        <w:rPr>
          <w:rFonts w:ascii="Arial" w:hAnsi="Arial" w:cs="Arial"/>
        </w:rPr>
        <w:t>gNB</w:t>
      </w:r>
      <w:proofErr w:type="spellEnd"/>
      <w:r w:rsidR="00364C1B">
        <w:rPr>
          <w:rFonts w:ascii="Arial" w:hAnsi="Arial" w:cs="Arial"/>
        </w:rPr>
        <w:t xml:space="preserve"> would still configure a </w:t>
      </w:r>
      <w:r>
        <w:rPr>
          <w:rFonts w:ascii="Arial" w:hAnsi="Arial" w:cs="Arial"/>
        </w:rPr>
        <w:t>regular channel bandwidth</w:t>
      </w:r>
      <w:r w:rsidR="00364C1B">
        <w:rPr>
          <w:rFonts w:ascii="Arial" w:hAnsi="Arial" w:cs="Arial"/>
        </w:rPr>
        <w:t xml:space="preserve"> using the above-mentioned ASN.1 </w:t>
      </w:r>
      <w:r w:rsidR="001816D2">
        <w:rPr>
          <w:rFonts w:ascii="Arial" w:hAnsi="Arial" w:cs="Arial"/>
        </w:rPr>
        <w:t>field</w:t>
      </w:r>
      <w:r>
        <w:rPr>
          <w:rFonts w:ascii="Arial" w:hAnsi="Arial" w:cs="Arial"/>
        </w:rPr>
        <w:t>.</w:t>
      </w:r>
      <w:r w:rsidR="00A62812">
        <w:rPr>
          <w:rFonts w:ascii="Arial" w:hAnsi="Arial" w:cs="Arial"/>
        </w:rPr>
        <w:t xml:space="preserve"> Then additional PRBs is configured using dedicated UE signalling.  </w:t>
      </w:r>
    </w:p>
    <w:p w14:paraId="59223D1F" w14:textId="77777777" w:rsidR="00A62812" w:rsidRDefault="00497079" w:rsidP="00A62812">
      <w:pPr>
        <w:keepNext/>
      </w:pPr>
      <w:r>
        <w:rPr>
          <w:noProof/>
          <w:lang w:val="en-GB"/>
        </w:rPr>
        <w:drawing>
          <wp:inline distT="0" distB="0" distL="0" distR="0" wp14:anchorId="75B13D0A" wp14:editId="711BBF4F">
            <wp:extent cx="5943600" cy="1017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943600" cy="1017270"/>
                    </a:xfrm>
                    <a:prstGeom prst="rect">
                      <a:avLst/>
                    </a:prstGeom>
                    <a:noFill/>
                    <a:ln>
                      <a:noFill/>
                    </a:ln>
                  </pic:spPr>
                </pic:pic>
              </a:graphicData>
            </a:graphic>
          </wp:inline>
        </w:drawing>
      </w:r>
    </w:p>
    <w:p w14:paraId="436FE067" w14:textId="47A956D1" w:rsidR="00FC042F" w:rsidRDefault="00A62812" w:rsidP="00A62812">
      <w:pPr>
        <w:pStyle w:val="Caption"/>
        <w:rPr>
          <w:rFonts w:ascii="Arial" w:hAnsi="Arial" w:cs="Arial"/>
          <w:b/>
          <w:bCs/>
        </w:rPr>
      </w:pPr>
      <w:r>
        <w:t xml:space="preserve">Figure </w:t>
      </w:r>
      <w:r>
        <w:fldChar w:fldCharType="begin"/>
      </w:r>
      <w:r>
        <w:instrText xml:space="preserve"> SEQ Figure \* ARABIC </w:instrText>
      </w:r>
      <w:r>
        <w:fldChar w:fldCharType="separate"/>
      </w:r>
      <w:r>
        <w:rPr>
          <w:noProof/>
        </w:rPr>
        <w:t>1</w:t>
      </w:r>
      <w:r>
        <w:fldChar w:fldCharType="end"/>
      </w:r>
      <w:r>
        <w:t xml:space="preserve">: Combined UE Approach illustration </w:t>
      </w:r>
      <w:r w:rsidR="00456ED7">
        <w:fldChar w:fldCharType="begin"/>
      </w:r>
      <w:r w:rsidR="00456ED7">
        <w:instrText xml:space="preserve"> REF _Ref71285309 \r \h </w:instrText>
      </w:r>
      <w:r w:rsidR="00456ED7">
        <w:fldChar w:fldCharType="separate"/>
      </w:r>
      <w:r w:rsidR="0018428C">
        <w:t>[5]</w:t>
      </w:r>
      <w:r w:rsidR="00456ED7">
        <w:fldChar w:fldCharType="end"/>
      </w:r>
      <w:r w:rsidR="00456ED7">
        <w:t xml:space="preserve"> </w:t>
      </w:r>
    </w:p>
    <w:p w14:paraId="62787BC4" w14:textId="3FF0DA51" w:rsidR="00497079" w:rsidRDefault="00A62812" w:rsidP="00FA3324">
      <w:pPr>
        <w:rPr>
          <w:rFonts w:ascii="Arial" w:hAnsi="Arial" w:cs="Arial"/>
        </w:rPr>
      </w:pPr>
      <w:r>
        <w:rPr>
          <w:rFonts w:ascii="Arial" w:hAnsi="Arial" w:cs="Arial"/>
        </w:rPr>
        <w:t>The dedicated signalling to the UE would reconfigure the main carrier into the configuration of the bottom carrier in Figure 1.  This would mean a shift in location of the channel bandwidth.  For UE specific configuration specified in TS 38.331 the following ex</w:t>
      </w:r>
      <w:r w:rsidR="00364C1B">
        <w:rPr>
          <w:rFonts w:ascii="Arial" w:hAnsi="Arial" w:cs="Arial"/>
        </w:rPr>
        <w:t>c</w:t>
      </w:r>
      <w:r>
        <w:rPr>
          <w:rFonts w:ascii="Arial" w:hAnsi="Arial" w:cs="Arial"/>
        </w:rPr>
        <w:t>er</w:t>
      </w:r>
      <w:r w:rsidR="00364C1B">
        <w:rPr>
          <w:rFonts w:ascii="Arial" w:hAnsi="Arial" w:cs="Arial"/>
        </w:rPr>
        <w:t>p</w:t>
      </w:r>
      <w:r>
        <w:rPr>
          <w:rFonts w:ascii="Arial" w:hAnsi="Arial" w:cs="Arial"/>
        </w:rPr>
        <w:t xml:space="preserve">t on the UE specific carrier can be defined using </w:t>
      </w:r>
      <w:proofErr w:type="spellStart"/>
      <w:r>
        <w:rPr>
          <w:rFonts w:ascii="Arial" w:hAnsi="Arial" w:cs="Arial"/>
          <w:i/>
          <w:iCs/>
        </w:rPr>
        <w:t>downlinkChannelBW</w:t>
      </w:r>
      <w:proofErr w:type="spellEnd"/>
      <w:r>
        <w:rPr>
          <w:rFonts w:ascii="Arial" w:hAnsi="Arial" w:cs="Arial"/>
          <w:i/>
          <w:iCs/>
        </w:rPr>
        <w:t>-</w:t>
      </w:r>
      <w:proofErr w:type="spellStart"/>
      <w:r>
        <w:rPr>
          <w:rFonts w:ascii="Arial" w:hAnsi="Arial" w:cs="Arial"/>
          <w:i/>
          <w:iCs/>
        </w:rPr>
        <w:t>PerSCS</w:t>
      </w:r>
      <w:proofErr w:type="spellEnd"/>
      <w:r>
        <w:rPr>
          <w:rFonts w:ascii="Arial" w:hAnsi="Arial" w:cs="Arial"/>
          <w:i/>
          <w:iCs/>
        </w:rPr>
        <w:t>-List</w:t>
      </w:r>
      <w:r>
        <w:rPr>
          <w:rFonts w:ascii="Arial" w:hAnsi="Arial" w:cs="Arial"/>
        </w:rPr>
        <w:t xml:space="preserve"> description:</w:t>
      </w:r>
    </w:p>
    <w:tbl>
      <w:tblPr>
        <w:tblW w:w="9630" w:type="dxa"/>
        <w:tblInd w:w="-10" w:type="dxa"/>
        <w:tblCellMar>
          <w:left w:w="0" w:type="dxa"/>
          <w:right w:w="0" w:type="dxa"/>
        </w:tblCellMar>
        <w:tblLook w:val="04A0" w:firstRow="1" w:lastRow="0" w:firstColumn="1" w:lastColumn="0" w:noHBand="0" w:noVBand="1"/>
      </w:tblPr>
      <w:tblGrid>
        <w:gridCol w:w="9630"/>
      </w:tblGrid>
      <w:tr w:rsidR="00497079" w14:paraId="08AC9A6A" w14:textId="77777777" w:rsidTr="00497079">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0FFEEF" w14:textId="77777777" w:rsidR="00497079" w:rsidRDefault="00497079">
            <w:pPr>
              <w:rPr>
                <w:b/>
                <w:bCs/>
                <w:i/>
                <w:iCs/>
                <w:lang w:val="sv-SE"/>
              </w:rPr>
            </w:pPr>
            <w:r>
              <w:rPr>
                <w:b/>
                <w:bCs/>
                <w:i/>
                <w:iCs/>
                <w:lang w:val="sv-SE"/>
              </w:rPr>
              <w:t>downlinkChannelBW-PerSCS-List</w:t>
            </w:r>
          </w:p>
          <w:p w14:paraId="2CB3CC2D" w14:textId="77777777" w:rsidR="00497079" w:rsidRDefault="00497079">
            <w:pPr>
              <w:rPr>
                <w:lang w:val="sv-SE"/>
              </w:rPr>
            </w:pPr>
            <w:r>
              <w:rPr>
                <w:highlight w:val="cyan"/>
                <w:lang w:val="sv-SE"/>
              </w:rPr>
              <w:t>A set of UE specific channel bandwidth and location configurations</w:t>
            </w:r>
            <w:r>
              <w:rPr>
                <w:lang w:val="sv-SE"/>
              </w:rPr>
              <w:t xml:space="preserve"> for different subcarrier spacings (numerologies). Defined in relation to Point A. </w:t>
            </w:r>
            <w:r w:rsidRPr="006C5055">
              <w:rPr>
                <w:lang w:val="sv-SE"/>
              </w:rPr>
              <w:t>The UE uses the configuration provided in this field only for the purpose of channel bandwidth and location determination</w:t>
            </w:r>
            <w:r>
              <w:rPr>
                <w:lang w:val="sv-SE"/>
              </w:rPr>
              <w:t xml:space="preserve">. </w:t>
            </w:r>
            <w:r>
              <w:rPr>
                <w:highlight w:val="cyan"/>
                <w:lang w:val="sv-SE"/>
              </w:rPr>
              <w:t xml:space="preserve">If absent, UE uses the configuration indicated in </w:t>
            </w:r>
            <w:r>
              <w:rPr>
                <w:i/>
                <w:iCs/>
                <w:highlight w:val="cyan"/>
                <w:lang w:val="sv-SE"/>
              </w:rPr>
              <w:t>scs-SpecificCarrierList</w:t>
            </w:r>
            <w:r>
              <w:rPr>
                <w:highlight w:val="cyan"/>
                <w:lang w:val="sv-SE"/>
              </w:rPr>
              <w:t xml:space="preserve"> in </w:t>
            </w:r>
            <w:r>
              <w:rPr>
                <w:i/>
                <w:iCs/>
                <w:highlight w:val="cyan"/>
                <w:lang w:val="sv-SE"/>
              </w:rPr>
              <w:t>DownlinkConfigCommon</w:t>
            </w:r>
            <w:r>
              <w:rPr>
                <w:highlight w:val="cyan"/>
                <w:lang w:val="sv-SE"/>
              </w:rPr>
              <w:t xml:space="preserve"> / </w:t>
            </w:r>
            <w:r>
              <w:rPr>
                <w:i/>
                <w:iCs/>
                <w:highlight w:val="cyan"/>
                <w:lang w:val="sv-SE"/>
              </w:rPr>
              <w:t>DownlinkConfigCommonSIB</w:t>
            </w:r>
            <w:r>
              <w:rPr>
                <w:highlight w:val="cyan"/>
                <w:lang w:val="sv-SE"/>
              </w:rPr>
              <w:t>.</w:t>
            </w:r>
            <w:r>
              <w:rPr>
                <w:lang w:val="sv-SE"/>
              </w:rPr>
              <w:t xml:space="preserve"> </w:t>
            </w:r>
            <w:r w:rsidRPr="006C5055">
              <w:rPr>
                <w:lang w:val="sv-SE"/>
              </w:rPr>
              <w:t>Network only configures channel bandwidth that corresponds to the channel bandwidth values defined in TS 38.101-1 [15] and TS 38.101-2 [39].</w:t>
            </w:r>
          </w:p>
        </w:tc>
      </w:tr>
    </w:tbl>
    <w:p w14:paraId="47324EB6" w14:textId="77777777" w:rsidR="00AB4D9F" w:rsidRDefault="00AB4D9F" w:rsidP="00FA3324">
      <w:pPr>
        <w:rPr>
          <w:rFonts w:ascii="Arial" w:hAnsi="Arial" w:cs="Arial"/>
        </w:rPr>
      </w:pPr>
    </w:p>
    <w:p w14:paraId="53CA1BA4" w14:textId="6DBE9B33" w:rsidR="00A62812" w:rsidRDefault="00D9419D" w:rsidP="00FA3324">
      <w:pPr>
        <w:rPr>
          <w:rFonts w:ascii="Arial" w:hAnsi="Arial" w:cs="Arial"/>
        </w:rPr>
      </w:pPr>
      <w:r>
        <w:rPr>
          <w:rFonts w:ascii="Arial" w:hAnsi="Arial" w:cs="Arial"/>
        </w:rPr>
        <w:t xml:space="preserve">As </w:t>
      </w:r>
      <w:r w:rsidR="00A62812">
        <w:rPr>
          <w:rFonts w:ascii="Arial" w:hAnsi="Arial" w:cs="Arial"/>
        </w:rPr>
        <w:t xml:space="preserve">the cyan highlighted portions </w:t>
      </w:r>
      <w:r>
        <w:rPr>
          <w:rFonts w:ascii="Arial" w:hAnsi="Arial" w:cs="Arial"/>
        </w:rPr>
        <w:t xml:space="preserve">explain, the UE is not required to </w:t>
      </w:r>
      <w:r w:rsidR="00A62812">
        <w:rPr>
          <w:rFonts w:ascii="Arial" w:hAnsi="Arial" w:cs="Arial"/>
        </w:rPr>
        <w:t xml:space="preserve">form </w:t>
      </w:r>
      <w:r w:rsidR="001816D2">
        <w:rPr>
          <w:rFonts w:ascii="Arial" w:hAnsi="Arial" w:cs="Arial"/>
        </w:rPr>
        <w:t>a</w:t>
      </w:r>
      <w:r w:rsidR="00A62812">
        <w:rPr>
          <w:rFonts w:ascii="Arial" w:hAnsi="Arial" w:cs="Arial"/>
        </w:rPr>
        <w:t xml:space="preserve"> union </w:t>
      </w:r>
      <w:r>
        <w:rPr>
          <w:rFonts w:ascii="Arial" w:hAnsi="Arial" w:cs="Arial"/>
        </w:rPr>
        <w:t xml:space="preserve">of </w:t>
      </w:r>
      <w:r w:rsidR="00A62812">
        <w:rPr>
          <w:rFonts w:ascii="Arial" w:hAnsi="Arial" w:cs="Arial"/>
        </w:rPr>
        <w:t xml:space="preserve">the main carrier PRBs and the additional PRBs.  It rather </w:t>
      </w:r>
      <w:r>
        <w:rPr>
          <w:rFonts w:ascii="Arial" w:hAnsi="Arial" w:cs="Arial"/>
        </w:rPr>
        <w:t xml:space="preserve">clarifies </w:t>
      </w:r>
      <w:r w:rsidR="00A62812">
        <w:rPr>
          <w:rFonts w:ascii="Arial" w:hAnsi="Arial" w:cs="Arial"/>
        </w:rPr>
        <w:t xml:space="preserve">that the UE shall use the carrier as defined in this field (if present) and if not then apply the </w:t>
      </w:r>
      <w:proofErr w:type="gramStart"/>
      <w:r w:rsidR="00A62812">
        <w:rPr>
          <w:rFonts w:ascii="Arial" w:hAnsi="Arial" w:cs="Arial"/>
        </w:rPr>
        <w:t>cell-specific</w:t>
      </w:r>
      <w:proofErr w:type="gramEnd"/>
      <w:r w:rsidR="00A62812">
        <w:rPr>
          <w:rFonts w:ascii="Arial" w:hAnsi="Arial" w:cs="Arial"/>
        </w:rPr>
        <w:t xml:space="preserve"> (SIB1) values. </w:t>
      </w:r>
      <w:r w:rsidR="006C5055">
        <w:rPr>
          <w:rFonts w:ascii="Arial" w:hAnsi="Arial" w:cs="Arial"/>
        </w:rPr>
        <w:t xml:space="preserve"> It should also </w:t>
      </w:r>
      <w:r>
        <w:rPr>
          <w:rFonts w:ascii="Arial" w:hAnsi="Arial" w:cs="Arial"/>
        </w:rPr>
        <w:t xml:space="preserve">be noted that the interpretation of these fields cannot easily be changed: Even if one would introduce a </w:t>
      </w:r>
      <w:r w:rsidR="006C5055">
        <w:rPr>
          <w:rFonts w:ascii="Arial" w:hAnsi="Arial" w:cs="Arial"/>
        </w:rPr>
        <w:t xml:space="preserve">new UE capability </w:t>
      </w:r>
      <w:r>
        <w:rPr>
          <w:rFonts w:ascii="Arial" w:hAnsi="Arial" w:cs="Arial"/>
        </w:rPr>
        <w:t xml:space="preserve">bit indicating that the UE supports determining the union of the fields, </w:t>
      </w:r>
      <w:r w:rsidR="006C5055">
        <w:rPr>
          <w:rFonts w:ascii="Arial" w:hAnsi="Arial" w:cs="Arial"/>
        </w:rPr>
        <w:t>a new UE would not know whether it is connected to an old network setting the values or expecting the UE to form the union.</w:t>
      </w:r>
    </w:p>
    <w:p w14:paraId="1468E215" w14:textId="073C4606" w:rsidR="00383951" w:rsidRDefault="00383951" w:rsidP="00FA3324">
      <w:pPr>
        <w:rPr>
          <w:rFonts w:ascii="Arial" w:hAnsi="Arial" w:cs="Arial"/>
        </w:rPr>
      </w:pPr>
      <w:r>
        <w:rPr>
          <w:rFonts w:ascii="Arial" w:hAnsi="Arial" w:cs="Arial"/>
        </w:rPr>
        <w:t xml:space="preserve">In addition </w:t>
      </w:r>
      <w:r w:rsidR="00D9419D">
        <w:rPr>
          <w:rFonts w:ascii="Arial" w:hAnsi="Arial" w:cs="Arial"/>
        </w:rPr>
        <w:t xml:space="preserve">to </w:t>
      </w:r>
      <w:r>
        <w:rPr>
          <w:rFonts w:ascii="Arial" w:hAnsi="Arial" w:cs="Arial"/>
        </w:rPr>
        <w:t xml:space="preserve">the above, the highlighted yellow portion of the BWP configuration shown below states that all BWPs </w:t>
      </w:r>
      <w:r w:rsidR="00D9419D">
        <w:rPr>
          <w:rFonts w:ascii="Arial" w:hAnsi="Arial" w:cs="Arial"/>
        </w:rPr>
        <w:t xml:space="preserve">and all channels and signals configured in relation to the BWP </w:t>
      </w:r>
      <w:r>
        <w:rPr>
          <w:rFonts w:ascii="Arial" w:hAnsi="Arial" w:cs="Arial"/>
        </w:rPr>
        <w:t xml:space="preserve">are defined in relation to the cell-specific carrier, i.e. to the one given in SIB1. The UE-specific configuration tells the UE only where to place the carrier with respect to </w:t>
      </w:r>
      <w:proofErr w:type="spellStart"/>
      <w:r>
        <w:rPr>
          <w:rFonts w:ascii="Arial" w:hAnsi="Arial" w:cs="Arial"/>
        </w:rPr>
        <w:t>pointA</w:t>
      </w:r>
      <w:proofErr w:type="spellEnd"/>
      <w:r>
        <w:rPr>
          <w:rFonts w:ascii="Arial" w:hAnsi="Arial" w:cs="Arial"/>
        </w:rPr>
        <w:t>.</w:t>
      </w:r>
    </w:p>
    <w:tbl>
      <w:tblPr>
        <w:tblW w:w="9640" w:type="dxa"/>
        <w:tblInd w:w="-10" w:type="dxa"/>
        <w:tblCellMar>
          <w:left w:w="0" w:type="dxa"/>
          <w:right w:w="0" w:type="dxa"/>
        </w:tblCellMar>
        <w:tblLook w:val="04A0" w:firstRow="1" w:lastRow="0" w:firstColumn="1" w:lastColumn="0" w:noHBand="0" w:noVBand="1"/>
      </w:tblPr>
      <w:tblGrid>
        <w:gridCol w:w="9640"/>
      </w:tblGrid>
      <w:tr w:rsidR="006C5055" w14:paraId="0462D73B" w14:textId="77777777" w:rsidTr="001C4160">
        <w:trPr>
          <w:trHeight w:val="2488"/>
        </w:trPr>
        <w:tc>
          <w:tcPr>
            <w:tcW w:w="96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4D6C3" w14:textId="77777777" w:rsidR="006C5055" w:rsidRDefault="006C5055">
            <w:pPr>
              <w:rPr>
                <w:rFonts w:eastAsiaTheme="minorHAnsi"/>
                <w:lang w:val="sv-SE"/>
              </w:rPr>
            </w:pPr>
            <w:r>
              <w:rPr>
                <w:b/>
                <w:bCs/>
                <w:i/>
                <w:iCs/>
                <w:lang w:val="sv-SE"/>
              </w:rPr>
              <w:t>locationAndBandwidth</w:t>
            </w:r>
          </w:p>
          <w:p w14:paraId="0BEFAA3F" w14:textId="37EA9603" w:rsidR="006C5055" w:rsidRDefault="006C5055">
            <w:pPr>
              <w:rPr>
                <w:lang w:val="sv-SE"/>
              </w:rPr>
            </w:pPr>
            <w:r>
              <w:rPr>
                <w:lang w:val="sv-SE"/>
              </w:rPr>
              <w:t xml:space="preserve">Frequency domain location and bandwidth of this bandwidth part. The value of the field shall be interpreted as resource indicator value (RIV) as defined TS 38.214 [19] with assumptions as described in TS 38.213 [13], clause 12, i.e. setting </w:t>
            </w:r>
            <w:r>
              <w:rPr>
                <w:noProof/>
                <w:lang w:val="sv-SE"/>
              </w:rPr>
              <w:drawing>
                <wp:inline distT="0" distB="0" distL="0" distR="0" wp14:anchorId="252890B9" wp14:editId="50873FAC">
                  <wp:extent cx="371475" cy="276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r>
              <w:rPr>
                <w:lang w:val="sv-SE"/>
              </w:rPr>
              <w:t xml:space="preserve">=275. </w:t>
            </w:r>
            <w:r>
              <w:rPr>
                <w:b/>
                <w:bCs/>
                <w:highlight w:val="yellow"/>
                <w:lang w:val="sv-SE"/>
              </w:rPr>
              <w:t xml:space="preserve">The first PRB is a PRB determined by </w:t>
            </w:r>
            <w:r>
              <w:rPr>
                <w:b/>
                <w:bCs/>
                <w:i/>
                <w:iCs/>
                <w:highlight w:val="yellow"/>
                <w:lang w:val="sv-SE"/>
              </w:rPr>
              <w:t>subcarrierSpacing</w:t>
            </w:r>
            <w:r>
              <w:rPr>
                <w:b/>
                <w:bCs/>
                <w:highlight w:val="yellow"/>
                <w:lang w:val="sv-SE"/>
              </w:rPr>
              <w:t xml:space="preserve"> of this BWP and </w:t>
            </w:r>
            <w:r>
              <w:rPr>
                <w:b/>
                <w:bCs/>
                <w:i/>
                <w:iCs/>
                <w:highlight w:val="yellow"/>
                <w:lang w:val="sv-SE"/>
              </w:rPr>
              <w:t>offsetToCarrier</w:t>
            </w:r>
            <w:r>
              <w:rPr>
                <w:b/>
                <w:bCs/>
                <w:highlight w:val="yellow"/>
                <w:lang w:val="sv-SE"/>
              </w:rPr>
              <w:t xml:space="preserve"> (configured in </w:t>
            </w:r>
            <w:r>
              <w:rPr>
                <w:b/>
                <w:bCs/>
                <w:i/>
                <w:iCs/>
                <w:highlight w:val="yellow"/>
                <w:lang w:val="sv-SE"/>
              </w:rPr>
              <w:t>SCS-SpecificCarrier</w:t>
            </w:r>
            <w:r>
              <w:rPr>
                <w:b/>
                <w:bCs/>
                <w:highlight w:val="yellow"/>
                <w:lang w:val="sv-SE"/>
              </w:rPr>
              <w:t xml:space="preserve"> contained within </w:t>
            </w:r>
            <w:r>
              <w:rPr>
                <w:b/>
                <w:bCs/>
                <w:i/>
                <w:iCs/>
                <w:highlight w:val="yellow"/>
                <w:lang w:val="sv-SE"/>
              </w:rPr>
              <w:t>FrequencyInfoDL</w:t>
            </w:r>
            <w:r>
              <w:rPr>
                <w:b/>
                <w:bCs/>
                <w:highlight w:val="yellow"/>
                <w:lang w:val="sv-SE"/>
              </w:rPr>
              <w:t xml:space="preserve"> / </w:t>
            </w:r>
            <w:r>
              <w:rPr>
                <w:b/>
                <w:bCs/>
                <w:i/>
                <w:iCs/>
                <w:highlight w:val="yellow"/>
                <w:lang w:val="sv-SE"/>
              </w:rPr>
              <w:t>FrequencyInfoUL</w:t>
            </w:r>
            <w:r>
              <w:rPr>
                <w:b/>
                <w:bCs/>
                <w:highlight w:val="yellow"/>
                <w:lang w:val="sv-SE"/>
              </w:rPr>
              <w:t xml:space="preserve"> / </w:t>
            </w:r>
            <w:r>
              <w:rPr>
                <w:b/>
                <w:bCs/>
                <w:i/>
                <w:iCs/>
                <w:highlight w:val="yellow"/>
                <w:lang w:val="sv-SE"/>
              </w:rPr>
              <w:t>FrequencyInfoUL-SIB</w:t>
            </w:r>
            <w:r>
              <w:rPr>
                <w:b/>
                <w:bCs/>
                <w:highlight w:val="yellow"/>
                <w:lang w:val="sv-SE"/>
              </w:rPr>
              <w:t xml:space="preserve"> / </w:t>
            </w:r>
            <w:r>
              <w:rPr>
                <w:b/>
                <w:bCs/>
                <w:i/>
                <w:iCs/>
                <w:highlight w:val="yellow"/>
                <w:lang w:val="sv-SE"/>
              </w:rPr>
              <w:t>FrequencyInfoDL-SIB</w:t>
            </w:r>
            <w:r>
              <w:rPr>
                <w:b/>
                <w:bCs/>
                <w:highlight w:val="yellow"/>
                <w:lang w:val="sv-SE"/>
              </w:rPr>
              <w:t xml:space="preserve"> within </w:t>
            </w:r>
            <w:r>
              <w:rPr>
                <w:b/>
                <w:bCs/>
                <w:i/>
                <w:iCs/>
                <w:highlight w:val="yellow"/>
                <w:lang w:val="sv-SE"/>
              </w:rPr>
              <w:t>ServingCellConfigCommon</w:t>
            </w:r>
            <w:r>
              <w:rPr>
                <w:b/>
                <w:bCs/>
                <w:highlight w:val="yellow"/>
                <w:lang w:val="sv-SE"/>
              </w:rPr>
              <w:t xml:space="preserve"> / </w:t>
            </w:r>
            <w:r>
              <w:rPr>
                <w:b/>
                <w:bCs/>
                <w:i/>
                <w:iCs/>
                <w:highlight w:val="yellow"/>
                <w:lang w:val="sv-SE"/>
              </w:rPr>
              <w:t>ServingCellConfigCommonSIB</w:t>
            </w:r>
            <w:r>
              <w:rPr>
                <w:b/>
                <w:bCs/>
                <w:highlight w:val="yellow"/>
                <w:lang w:val="sv-SE"/>
              </w:rPr>
              <w:t>)</w:t>
            </w:r>
            <w:r>
              <w:rPr>
                <w:lang w:val="sv-SE"/>
              </w:rPr>
              <w:t xml:space="preserve"> corresponding to this subcarrier spacing. In case of TDD, a BWP-pair (UL BWP and DL BWP with the same </w:t>
            </w:r>
            <w:r>
              <w:rPr>
                <w:i/>
                <w:iCs/>
                <w:lang w:val="sv-SE"/>
              </w:rPr>
              <w:t>bwp-Id</w:t>
            </w:r>
            <w:r>
              <w:rPr>
                <w:lang w:val="sv-SE"/>
              </w:rPr>
              <w:t>) must have the same center frequency (see TS 38.213 [13], clause 12)</w:t>
            </w:r>
          </w:p>
        </w:tc>
      </w:tr>
    </w:tbl>
    <w:p w14:paraId="5EE7A994" w14:textId="77777777" w:rsidR="006C5055" w:rsidRDefault="006C5055" w:rsidP="006C5055">
      <w:pPr>
        <w:rPr>
          <w:rFonts w:eastAsiaTheme="minorHAnsi" w:cs="Calibri"/>
          <w:lang w:val="en-GB"/>
        </w:rPr>
      </w:pPr>
    </w:p>
    <w:p w14:paraId="5ACFFD19" w14:textId="7CA03CE1" w:rsidR="006C5055" w:rsidRDefault="00383951" w:rsidP="00FA3324">
      <w:pPr>
        <w:rPr>
          <w:rFonts w:ascii="Arial" w:hAnsi="Arial" w:cs="Arial"/>
        </w:rPr>
      </w:pPr>
      <w:r>
        <w:rPr>
          <w:rFonts w:ascii="Arial" w:hAnsi="Arial" w:cs="Arial"/>
        </w:rPr>
        <w:t xml:space="preserve">From the above two aspects its unclear how the approach described would be feasible without RAN2 specification changes.  The cell specific carrier configured in SIB1 should be set as wide as the entire carrier that the </w:t>
      </w:r>
      <w:proofErr w:type="spellStart"/>
      <w:r>
        <w:rPr>
          <w:rFonts w:ascii="Arial" w:hAnsi="Arial" w:cs="Arial"/>
        </w:rPr>
        <w:t>gNB</w:t>
      </w:r>
      <w:proofErr w:type="spellEnd"/>
      <w:r>
        <w:rPr>
          <w:rFonts w:ascii="Arial" w:hAnsi="Arial" w:cs="Arial"/>
        </w:rPr>
        <w:t xml:space="preserve"> operates on.  This would allow all UEs to access this cell even if they do not support the maximum carrier bandwidth, i.e. </w:t>
      </w:r>
      <w:proofErr w:type="spellStart"/>
      <w:r>
        <w:rPr>
          <w:rFonts w:ascii="Arial" w:hAnsi="Arial" w:cs="Arial"/>
        </w:rPr>
        <w:t>smallerCHBW</w:t>
      </w:r>
      <w:proofErr w:type="spellEnd"/>
      <w:r>
        <w:rPr>
          <w:rFonts w:ascii="Arial" w:hAnsi="Arial" w:cs="Arial"/>
        </w:rPr>
        <w:t xml:space="preserve"> can be used by legacy UEs.</w:t>
      </w:r>
    </w:p>
    <w:p w14:paraId="2A4C8BA9" w14:textId="77777777" w:rsidR="00A63970" w:rsidRDefault="00A63970" w:rsidP="00FA3324">
      <w:pPr>
        <w:rPr>
          <w:rFonts w:ascii="Arial" w:hAnsi="Arial" w:cs="Arial"/>
        </w:rPr>
      </w:pPr>
    </w:p>
    <w:p w14:paraId="042D9176" w14:textId="7153740D" w:rsidR="00A63970" w:rsidRDefault="00A63970" w:rsidP="00A63970">
      <w:pPr>
        <w:pStyle w:val="Heading2"/>
        <w:rPr>
          <w:lang w:val="en-US"/>
        </w:rPr>
      </w:pPr>
      <w:r>
        <w:rPr>
          <w:lang w:val="en-US"/>
        </w:rPr>
        <w:t>2.3 Overlapping UE Channel Bandwidth</w:t>
      </w:r>
      <w:r w:rsidR="00EE1DDE">
        <w:rPr>
          <w:lang w:val="en-US"/>
        </w:rPr>
        <w:t xml:space="preserve"> </w:t>
      </w:r>
      <w:r w:rsidR="00EE1DDE">
        <w:rPr>
          <w:lang w:val="en-US"/>
        </w:rPr>
        <w:fldChar w:fldCharType="begin"/>
      </w:r>
      <w:r w:rsidR="00EE1DDE">
        <w:rPr>
          <w:lang w:val="en-US"/>
        </w:rPr>
        <w:instrText xml:space="preserve"> REF _Ref71285936 \r \h </w:instrText>
      </w:r>
      <w:r w:rsidR="00EE1DDE">
        <w:rPr>
          <w:lang w:val="en-US"/>
        </w:rPr>
      </w:r>
      <w:r w:rsidR="00EE1DDE">
        <w:rPr>
          <w:lang w:val="en-US"/>
        </w:rPr>
        <w:fldChar w:fldCharType="separate"/>
      </w:r>
      <w:r w:rsidR="0018428C">
        <w:rPr>
          <w:lang w:val="en-US"/>
        </w:rPr>
        <w:t>[6]</w:t>
      </w:r>
      <w:r w:rsidR="00EE1DDE">
        <w:rPr>
          <w:lang w:val="en-US"/>
        </w:rPr>
        <w:fldChar w:fldCharType="end"/>
      </w:r>
      <w:r w:rsidR="00EE1DDE">
        <w:rPr>
          <w:lang w:val="en-US"/>
        </w:rPr>
        <w:fldChar w:fldCharType="begin"/>
      </w:r>
      <w:r w:rsidR="00EE1DDE">
        <w:rPr>
          <w:lang w:val="en-US"/>
        </w:rPr>
        <w:instrText xml:space="preserve"> REF _Ref71285938 \r \h </w:instrText>
      </w:r>
      <w:r w:rsidR="00EE1DDE">
        <w:rPr>
          <w:lang w:val="en-US"/>
        </w:rPr>
      </w:r>
      <w:r w:rsidR="00EE1DDE">
        <w:rPr>
          <w:lang w:val="en-US"/>
        </w:rPr>
        <w:fldChar w:fldCharType="separate"/>
      </w:r>
      <w:r w:rsidR="0018428C">
        <w:rPr>
          <w:lang w:val="en-US"/>
        </w:rPr>
        <w:t>[7]</w:t>
      </w:r>
      <w:r w:rsidR="00EE1DDE">
        <w:rPr>
          <w:lang w:val="en-US"/>
        </w:rPr>
        <w:fldChar w:fldCharType="end"/>
      </w:r>
    </w:p>
    <w:p w14:paraId="57D64D26" w14:textId="5DC4CEDD" w:rsidR="00A63970" w:rsidRDefault="00A63970" w:rsidP="00A63970">
      <w:pPr>
        <w:rPr>
          <w:rFonts w:ascii="Arial" w:hAnsi="Arial" w:cs="Arial"/>
        </w:rPr>
      </w:pPr>
    </w:p>
    <w:p w14:paraId="0DD5307D" w14:textId="25A819DD" w:rsidR="00281D51" w:rsidRDefault="00A63970" w:rsidP="00A63970">
      <w:pPr>
        <w:rPr>
          <w:rFonts w:ascii="Arial" w:hAnsi="Arial" w:cs="Arial"/>
        </w:rPr>
      </w:pPr>
      <w:r>
        <w:rPr>
          <w:rFonts w:ascii="Arial" w:hAnsi="Arial" w:cs="Arial"/>
        </w:rPr>
        <w:t xml:space="preserve">This has been previously described as “overlapping channel bandwidth from network perspective”.  </w:t>
      </w:r>
      <w:r w:rsidR="003C1098">
        <w:rPr>
          <w:rFonts w:ascii="Arial" w:hAnsi="Arial" w:cs="Arial"/>
        </w:rPr>
        <w:t xml:space="preserve">For this approach it has been discussed that it may be limited to </w:t>
      </w:r>
      <w:proofErr w:type="spellStart"/>
      <w:r w:rsidR="003C1098">
        <w:rPr>
          <w:rFonts w:ascii="Arial" w:hAnsi="Arial" w:cs="Arial"/>
        </w:rPr>
        <w:t>irregularBWs</w:t>
      </w:r>
      <w:proofErr w:type="spellEnd"/>
      <w:r w:rsidR="003C1098">
        <w:rPr>
          <w:rFonts w:ascii="Arial" w:hAnsi="Arial" w:cs="Arial"/>
        </w:rPr>
        <w:t xml:space="preserve"> which are greater than 10 MHz to limit implementation complexities. The CORESET#0/BWP#0 has a minimum size of 4.32 MHz making it not feasible to overlap CORESET#0 within the 2 UE channel bandwidths for </w:t>
      </w:r>
      <w:proofErr w:type="spellStart"/>
      <w:r w:rsidR="003C1098">
        <w:rPr>
          <w:rFonts w:ascii="Arial" w:hAnsi="Arial" w:cs="Arial"/>
        </w:rPr>
        <w:t>irregularBWs</w:t>
      </w:r>
      <w:proofErr w:type="spellEnd"/>
      <w:r w:rsidR="003C1098">
        <w:rPr>
          <w:rFonts w:ascii="Arial" w:hAnsi="Arial" w:cs="Arial"/>
        </w:rPr>
        <w:t xml:space="preserve"> less than 10 </w:t>
      </w:r>
      <w:proofErr w:type="spellStart"/>
      <w:r w:rsidR="003C1098">
        <w:rPr>
          <w:rFonts w:ascii="Arial" w:hAnsi="Arial" w:cs="Arial"/>
        </w:rPr>
        <w:t>MHz.</w:t>
      </w:r>
      <w:proofErr w:type="spellEnd"/>
      <w:r w:rsidR="003C1098">
        <w:rPr>
          <w:rFonts w:ascii="Arial" w:hAnsi="Arial" w:cs="Arial"/>
        </w:rPr>
        <w:t xml:space="preserve">  </w:t>
      </w:r>
      <w:r w:rsidR="00BE5FF2">
        <w:rPr>
          <w:rFonts w:ascii="Arial" w:hAnsi="Arial" w:cs="Arial"/>
        </w:rPr>
        <w:t xml:space="preserve">From this aspect, it does not provide a </w:t>
      </w:r>
      <w:r w:rsidR="00BE5FF2">
        <w:rPr>
          <w:rFonts w:ascii="Arial" w:hAnsi="Arial" w:cs="Arial"/>
          <w:lang w:val="en-US"/>
        </w:rPr>
        <w:t>generic solutions goal described in SID.</w:t>
      </w:r>
    </w:p>
    <w:p w14:paraId="313EF673" w14:textId="23AE8839" w:rsidR="00281D51" w:rsidRDefault="00281D51" w:rsidP="00A63970">
      <w:pPr>
        <w:rPr>
          <w:rFonts w:ascii="Arial" w:hAnsi="Arial" w:cs="Arial"/>
        </w:rPr>
      </w:pPr>
      <w:r>
        <w:rPr>
          <w:rFonts w:ascii="Arial" w:hAnsi="Arial" w:cs="Arial"/>
        </w:rPr>
        <w:t xml:space="preserve">Unlike the CA approaches there is no conformance framework set up to handle </w:t>
      </w:r>
      <w:proofErr w:type="spellStart"/>
      <w:r>
        <w:rPr>
          <w:rFonts w:ascii="Arial" w:hAnsi="Arial" w:cs="Arial"/>
        </w:rPr>
        <w:t>irregularBWs</w:t>
      </w:r>
      <w:proofErr w:type="spellEnd"/>
      <w:r>
        <w:rPr>
          <w:rFonts w:ascii="Arial" w:hAnsi="Arial" w:cs="Arial"/>
        </w:rPr>
        <w:t xml:space="preserve"> on </w:t>
      </w:r>
      <w:proofErr w:type="spellStart"/>
      <w:r>
        <w:rPr>
          <w:rFonts w:ascii="Arial" w:hAnsi="Arial" w:cs="Arial"/>
        </w:rPr>
        <w:t>gNB</w:t>
      </w:r>
      <w:proofErr w:type="spellEnd"/>
      <w:r>
        <w:rPr>
          <w:rFonts w:ascii="Arial" w:hAnsi="Arial" w:cs="Arial"/>
        </w:rPr>
        <w:t xml:space="preserve"> side (since legacy UEs are used here no additional requirements are needed).  This would require a limited set of conformance requirements to be defined </w:t>
      </w:r>
      <w:proofErr w:type="gramStart"/>
      <w:r>
        <w:rPr>
          <w:rFonts w:ascii="Arial" w:hAnsi="Arial" w:cs="Arial"/>
        </w:rPr>
        <w:t>in order to</w:t>
      </w:r>
      <w:proofErr w:type="gramEnd"/>
      <w:r>
        <w:rPr>
          <w:rFonts w:ascii="Arial" w:hAnsi="Arial" w:cs="Arial"/>
        </w:rPr>
        <w:t xml:space="preserve"> ensure for example transmitter spurious emissions to be met.  The proposed subset of requirements to define are regulatory based.</w:t>
      </w:r>
    </w:p>
    <w:p w14:paraId="79ACC87F" w14:textId="2EEFE358" w:rsidR="004D54D5" w:rsidRDefault="004D54D5" w:rsidP="00A63970">
      <w:pPr>
        <w:rPr>
          <w:rFonts w:ascii="Arial" w:hAnsi="Arial" w:cs="Arial"/>
        </w:rPr>
      </w:pPr>
      <w:r>
        <w:rPr>
          <w:rFonts w:ascii="Arial" w:hAnsi="Arial" w:cs="Arial"/>
        </w:rPr>
        <w:t xml:space="preserve">As the UEs are utilizing the NR regular channel bandwidths this makes the system throughput gain but does not maximize the UE to utilize the full capacity of the </w:t>
      </w:r>
      <w:proofErr w:type="spellStart"/>
      <w:r>
        <w:rPr>
          <w:rFonts w:ascii="Arial" w:hAnsi="Arial" w:cs="Arial"/>
        </w:rPr>
        <w:t>irregularBW</w:t>
      </w:r>
      <w:proofErr w:type="spellEnd"/>
      <w:r>
        <w:rPr>
          <w:rFonts w:ascii="Arial" w:hAnsi="Arial" w:cs="Arial"/>
        </w:rPr>
        <w:t>.</w:t>
      </w:r>
    </w:p>
    <w:p w14:paraId="643FF1D6" w14:textId="77777777" w:rsidR="00A63970" w:rsidRPr="00A62812" w:rsidRDefault="00A63970" w:rsidP="00FA3324">
      <w:pPr>
        <w:rPr>
          <w:rFonts w:ascii="Arial" w:hAnsi="Arial" w:cs="Arial"/>
        </w:rPr>
      </w:pPr>
    </w:p>
    <w:p w14:paraId="17726977" w14:textId="25F62A3C" w:rsidR="003A4E8F" w:rsidRPr="00947377" w:rsidRDefault="003A4E8F" w:rsidP="003A4E8F">
      <w:pPr>
        <w:pStyle w:val="Heading1"/>
      </w:pPr>
      <w:r>
        <w:t>3</w:t>
      </w:r>
      <w:r w:rsidRPr="00947377">
        <w:t>.</w:t>
      </w:r>
      <w:r w:rsidRPr="00947377">
        <w:tab/>
      </w:r>
      <w:r>
        <w:t>Conclusions</w:t>
      </w:r>
    </w:p>
    <w:p w14:paraId="158F0DF8" w14:textId="66E5EBC0" w:rsidR="00D73A81" w:rsidRPr="004D54D5" w:rsidRDefault="00DC3D93" w:rsidP="00587120">
      <w:pPr>
        <w:rPr>
          <w:rFonts w:ascii="Arial" w:hAnsi="Arial" w:cs="Arial"/>
          <w:lang w:val="en-US"/>
        </w:rPr>
      </w:pPr>
      <w:r>
        <w:rPr>
          <w:rFonts w:ascii="Arial" w:hAnsi="Arial" w:cs="Arial"/>
          <w:lang w:val="en-US"/>
        </w:rPr>
        <w:t xml:space="preserve">In </w:t>
      </w:r>
      <w:r w:rsidR="005C29B1">
        <w:rPr>
          <w:rFonts w:ascii="Arial" w:hAnsi="Arial" w:cs="Arial"/>
          <w:lang w:val="en-US"/>
        </w:rPr>
        <w:t xml:space="preserve">this paper </w:t>
      </w:r>
      <w:r w:rsidR="00587120">
        <w:rPr>
          <w:rFonts w:ascii="Arial" w:hAnsi="Arial" w:cs="Arial"/>
          <w:lang w:val="en-US"/>
        </w:rPr>
        <w:t>it is possible to concluded that approach</w:t>
      </w:r>
      <w:r w:rsidR="00587120" w:rsidRPr="00587120">
        <w:t xml:space="preserve"> </w:t>
      </w:r>
      <w:r w:rsidR="00587120" w:rsidRPr="00587120">
        <w:rPr>
          <w:rFonts w:ascii="Arial" w:hAnsi="Arial" w:cs="Arial"/>
          <w:color w:val="4472C4" w:themeColor="accent1"/>
          <w:lang w:val="en-US"/>
        </w:rPr>
        <w:t>Overlapping CA Approach</w:t>
      </w:r>
      <w:r w:rsidR="00587120">
        <w:rPr>
          <w:rFonts w:ascii="Arial" w:hAnsi="Arial" w:cs="Arial"/>
          <w:color w:val="4472C4" w:themeColor="accent1"/>
          <w:lang w:val="en-US"/>
        </w:rPr>
        <w:t xml:space="preserve"> </w:t>
      </w:r>
      <w:r w:rsidR="00587120">
        <w:rPr>
          <w:rFonts w:ascii="Arial" w:hAnsi="Arial" w:cs="Arial"/>
          <w:lang w:val="en-US"/>
        </w:rPr>
        <w:t xml:space="preserve">requires the largest amount of implementation complexity and only RAN2 UE capability signaling is required.  For </w:t>
      </w:r>
      <w:r w:rsidR="00587120" w:rsidRPr="00587120">
        <w:rPr>
          <w:rFonts w:ascii="Arial" w:hAnsi="Arial" w:cs="Arial"/>
          <w:color w:val="4472C4" w:themeColor="accent1"/>
          <w:lang w:val="en-US"/>
        </w:rPr>
        <w:t>Combined UE Channel Approach</w:t>
      </w:r>
      <w:r w:rsidR="00587120">
        <w:rPr>
          <w:rFonts w:ascii="Arial" w:hAnsi="Arial" w:cs="Arial"/>
          <w:lang w:val="en-US"/>
        </w:rPr>
        <w:t xml:space="preserve"> an extensive change is required for RAN2 (TS 38.331) for UE to differentiate the need to union the additional PRBs </w:t>
      </w:r>
      <w:r w:rsidR="004D54D5">
        <w:rPr>
          <w:rFonts w:ascii="Arial" w:hAnsi="Arial" w:cs="Arial"/>
          <w:lang w:val="en-US"/>
        </w:rPr>
        <w:t xml:space="preserve">with the main carrier described in SIB1.  This approach would also require a new UE while legacy UEs can only utilize the </w:t>
      </w:r>
      <w:proofErr w:type="spellStart"/>
      <w:r w:rsidR="004D54D5">
        <w:rPr>
          <w:rFonts w:ascii="Arial" w:hAnsi="Arial" w:cs="Arial"/>
          <w:lang w:val="en-US"/>
        </w:rPr>
        <w:t>smallerCHBW</w:t>
      </w:r>
      <w:proofErr w:type="spellEnd"/>
      <w:r w:rsidR="004D54D5">
        <w:rPr>
          <w:rFonts w:ascii="Arial" w:hAnsi="Arial" w:cs="Arial"/>
          <w:lang w:val="en-US"/>
        </w:rPr>
        <w:t xml:space="preserve">.  Lastly, </w:t>
      </w:r>
      <w:r w:rsidR="004D54D5" w:rsidRPr="004D54D5">
        <w:rPr>
          <w:rFonts w:ascii="Arial" w:hAnsi="Arial" w:cs="Arial"/>
          <w:color w:val="4472C4" w:themeColor="accent1"/>
          <w:lang w:val="en-US"/>
        </w:rPr>
        <w:t>Overlapping UE Channel Bandwidth</w:t>
      </w:r>
      <w:r w:rsidR="004D54D5">
        <w:rPr>
          <w:rFonts w:ascii="Arial" w:hAnsi="Arial" w:cs="Arial"/>
          <w:lang w:val="en-US"/>
        </w:rPr>
        <w:t xml:space="preserve"> approach provides minimal specification changes, RAN4 BS channel bandwidths would need to be defined such as regulatory requirements such as spurious emissions; but implementation complexity would be kept to a minimum with RAN1/2 specifications unchanged.</w:t>
      </w:r>
    </w:p>
    <w:p w14:paraId="401A5A47" w14:textId="77777777" w:rsidR="00DC09B6" w:rsidRPr="00FA3324" w:rsidRDefault="00DC09B6">
      <w:pPr>
        <w:rPr>
          <w:rFonts w:ascii="Arial" w:hAnsi="Arial" w:cs="Arial"/>
          <w:lang w:val="en-GB"/>
        </w:rPr>
      </w:pPr>
    </w:p>
    <w:p w14:paraId="2859C7B3" w14:textId="374BD6E0" w:rsidR="00263ABE" w:rsidRPr="00947377" w:rsidRDefault="003A4E8F" w:rsidP="001E098F">
      <w:pPr>
        <w:pStyle w:val="Heading1"/>
      </w:pPr>
      <w:r>
        <w:t>4</w:t>
      </w:r>
      <w:r w:rsidR="00263ABE" w:rsidRPr="00947377">
        <w:t>.</w:t>
      </w:r>
      <w:r w:rsidR="00263ABE" w:rsidRPr="00947377">
        <w:tab/>
        <w:t>References</w:t>
      </w:r>
    </w:p>
    <w:p w14:paraId="015E35B2" w14:textId="0B213918" w:rsidR="00B26AB1" w:rsidRDefault="00B26AB1" w:rsidP="00926DA9">
      <w:pPr>
        <w:pStyle w:val="Reference"/>
        <w:numPr>
          <w:ilvl w:val="0"/>
          <w:numId w:val="3"/>
        </w:numPr>
        <w:spacing w:after="40"/>
        <w:ind w:left="562" w:hanging="562"/>
        <w:rPr>
          <w:rFonts w:cs="Arial"/>
          <w:lang w:val="en-US"/>
        </w:rPr>
      </w:pPr>
      <w:bookmarkStart w:id="0" w:name="_Ref70935456"/>
      <w:bookmarkStart w:id="1" w:name="_Ref68101807"/>
      <w:r>
        <w:rPr>
          <w:rFonts w:cs="Arial"/>
          <w:lang w:val="en-US"/>
        </w:rPr>
        <w:t xml:space="preserve">R4-2105419, “Way forward on Evaluation of </w:t>
      </w:r>
      <w:proofErr w:type="spellStart"/>
      <w:r>
        <w:rPr>
          <w:rFonts w:cs="Arial"/>
          <w:lang w:val="en-US"/>
        </w:rPr>
        <w:t>IrregularBW</w:t>
      </w:r>
      <w:proofErr w:type="spellEnd"/>
      <w:r>
        <w:rPr>
          <w:rFonts w:cs="Arial"/>
          <w:lang w:val="en-US"/>
        </w:rPr>
        <w:t xml:space="preserve"> Approaches”, Ericsson</w:t>
      </w:r>
      <w:bookmarkEnd w:id="0"/>
    </w:p>
    <w:p w14:paraId="05FA7221" w14:textId="0C99BFC2" w:rsidR="00F2414D" w:rsidRPr="00926DA9" w:rsidRDefault="003A4E8F" w:rsidP="00926DA9">
      <w:pPr>
        <w:pStyle w:val="Reference"/>
        <w:numPr>
          <w:ilvl w:val="0"/>
          <w:numId w:val="3"/>
        </w:numPr>
        <w:spacing w:after="40"/>
        <w:ind w:left="562" w:hanging="562"/>
        <w:rPr>
          <w:rFonts w:cs="Arial"/>
          <w:lang w:val="en-US"/>
        </w:rPr>
      </w:pPr>
      <w:r w:rsidRPr="00926DA9">
        <w:rPr>
          <w:rFonts w:cs="Arial"/>
          <w:lang w:val="en-US"/>
        </w:rPr>
        <w:t>R4-</w:t>
      </w:r>
      <w:r w:rsidR="00B96455" w:rsidRPr="00926DA9">
        <w:rPr>
          <w:rFonts w:cs="Arial"/>
          <w:lang w:val="en-US"/>
        </w:rPr>
        <w:t>2103387, “WF on overlapping channel bandwidth method”, Nokia, Nokia Shanghai Bell</w:t>
      </w:r>
      <w:bookmarkEnd w:id="1"/>
    </w:p>
    <w:p w14:paraId="278C0E28" w14:textId="584D754B" w:rsidR="007C2DD9" w:rsidRDefault="007C2DD9" w:rsidP="00926DA9">
      <w:pPr>
        <w:pStyle w:val="Reference"/>
        <w:numPr>
          <w:ilvl w:val="0"/>
          <w:numId w:val="3"/>
        </w:numPr>
        <w:spacing w:after="40"/>
        <w:ind w:left="562" w:hanging="562"/>
        <w:rPr>
          <w:rFonts w:cs="Arial"/>
          <w:lang w:val="en-US"/>
        </w:rPr>
      </w:pPr>
      <w:bookmarkStart w:id="2" w:name="_Ref68102040"/>
      <w:r w:rsidRPr="00926DA9">
        <w:rPr>
          <w:rFonts w:cs="Arial"/>
          <w:lang w:val="en-US"/>
        </w:rPr>
        <w:t>R4-2103263, “Way forward on use of larger CBW”, Skyworks Solutions Inc</w:t>
      </w:r>
      <w:bookmarkEnd w:id="2"/>
    </w:p>
    <w:p w14:paraId="2E999F21" w14:textId="0B50B27E" w:rsidR="00236D6D" w:rsidRDefault="00236D6D" w:rsidP="00926DA9">
      <w:pPr>
        <w:pStyle w:val="Reference"/>
        <w:numPr>
          <w:ilvl w:val="0"/>
          <w:numId w:val="3"/>
        </w:numPr>
        <w:spacing w:after="40"/>
        <w:ind w:left="562" w:hanging="562"/>
        <w:rPr>
          <w:rFonts w:cs="Arial"/>
          <w:lang w:val="en-US"/>
        </w:rPr>
      </w:pPr>
      <w:bookmarkStart w:id="3" w:name="_Ref71285468"/>
      <w:r>
        <w:rPr>
          <w:rFonts w:cs="Arial"/>
          <w:lang w:val="en-US"/>
        </w:rPr>
        <w:t>R4-2106486, “</w:t>
      </w:r>
      <w:r w:rsidRPr="00236D6D">
        <w:rPr>
          <w:rFonts w:cs="Arial"/>
          <w:lang w:val="en-US"/>
        </w:rPr>
        <w:t>Consideration for overlapping UE channel bandwidths</w:t>
      </w:r>
      <w:r>
        <w:rPr>
          <w:rFonts w:cs="Arial"/>
          <w:lang w:val="en-US"/>
        </w:rPr>
        <w:t xml:space="preserve">”, Huawei, </w:t>
      </w:r>
      <w:proofErr w:type="spellStart"/>
      <w:r>
        <w:rPr>
          <w:rFonts w:cs="Arial"/>
          <w:lang w:val="en-US"/>
        </w:rPr>
        <w:t>HiSilicon</w:t>
      </w:r>
      <w:bookmarkEnd w:id="3"/>
      <w:proofErr w:type="spellEnd"/>
    </w:p>
    <w:p w14:paraId="25876090" w14:textId="5E1ACA5B" w:rsidR="00AF68B6" w:rsidRPr="005170E8" w:rsidRDefault="00AF68B6" w:rsidP="00926DA9">
      <w:pPr>
        <w:pStyle w:val="Reference"/>
        <w:numPr>
          <w:ilvl w:val="0"/>
          <w:numId w:val="3"/>
        </w:numPr>
        <w:spacing w:after="40"/>
        <w:ind w:left="562" w:hanging="562"/>
        <w:rPr>
          <w:rFonts w:cs="Arial"/>
          <w:lang w:val="en-US"/>
        </w:rPr>
      </w:pPr>
      <w:bookmarkStart w:id="4" w:name="_Ref71285309"/>
      <w:r w:rsidRPr="00AF68B6">
        <w:rPr>
          <w:rFonts w:cs="Arial"/>
          <w:lang w:val="en-US"/>
        </w:rPr>
        <w:t>R4-2107040, “</w:t>
      </w:r>
      <w:r w:rsidRPr="0018428C">
        <w:t>On the use of overlapping channel bandwidths from UE perspective”, Nokia, Nokia Shanghai Bell</w:t>
      </w:r>
      <w:bookmarkEnd w:id="4"/>
    </w:p>
    <w:p w14:paraId="44D1E471" w14:textId="32676C93" w:rsidR="005170E8" w:rsidRDefault="005170E8" w:rsidP="00926DA9">
      <w:pPr>
        <w:pStyle w:val="Reference"/>
        <w:numPr>
          <w:ilvl w:val="0"/>
          <w:numId w:val="3"/>
        </w:numPr>
        <w:spacing w:after="40"/>
        <w:ind w:left="562" w:hanging="562"/>
        <w:rPr>
          <w:rFonts w:cs="Arial"/>
          <w:lang w:val="en-US"/>
        </w:rPr>
      </w:pPr>
      <w:bookmarkStart w:id="5" w:name="_Ref71285936"/>
      <w:r>
        <w:rPr>
          <w:rFonts w:cs="Arial"/>
          <w:lang w:val="en-US"/>
        </w:rPr>
        <w:t xml:space="preserve">R4-2104887, </w:t>
      </w:r>
      <w:r w:rsidRPr="00926DA9">
        <w:rPr>
          <w:rFonts w:cs="Arial"/>
          <w:lang w:val="en-US"/>
        </w:rPr>
        <w:t>“</w:t>
      </w:r>
      <w:r w:rsidRPr="005170E8">
        <w:rPr>
          <w:rFonts w:cs="Arial"/>
          <w:lang w:val="en-US"/>
        </w:rPr>
        <w:t>Non-standard spectrum allocations for NR bands (overlapping channels)</w:t>
      </w:r>
      <w:r>
        <w:rPr>
          <w:rFonts w:cs="Arial"/>
          <w:lang w:val="en-US"/>
        </w:rPr>
        <w:t>”, Apple Inc</w:t>
      </w:r>
      <w:bookmarkEnd w:id="5"/>
    </w:p>
    <w:p w14:paraId="144585B8" w14:textId="07F7707B" w:rsidR="005170E8" w:rsidRPr="00AF68B6" w:rsidRDefault="005170E8" w:rsidP="00926DA9">
      <w:pPr>
        <w:pStyle w:val="Reference"/>
        <w:numPr>
          <w:ilvl w:val="0"/>
          <w:numId w:val="3"/>
        </w:numPr>
        <w:spacing w:after="40"/>
        <w:ind w:left="562" w:hanging="562"/>
        <w:rPr>
          <w:rFonts w:cs="Arial"/>
          <w:lang w:val="en-US"/>
        </w:rPr>
      </w:pPr>
      <w:bookmarkStart w:id="6" w:name="_Ref71285938"/>
      <w:r>
        <w:rPr>
          <w:rFonts w:cs="Arial"/>
          <w:lang w:val="en-US"/>
        </w:rPr>
        <w:t>R4-2106689, “</w:t>
      </w:r>
      <w:r>
        <w:rPr>
          <w:rFonts w:cs="Arial"/>
          <w:bCs/>
          <w:lang w:val="en-US"/>
        </w:rPr>
        <w:t>Overlapping UE Channel Bandwidth Approach”, Ericsson</w:t>
      </w:r>
      <w:bookmarkEnd w:id="6"/>
    </w:p>
    <w:p w14:paraId="45F6C373" w14:textId="77777777" w:rsidR="00926DA9" w:rsidRPr="00947377" w:rsidRDefault="00926DA9" w:rsidP="00926DA9">
      <w:pPr>
        <w:pStyle w:val="Reference"/>
        <w:tabs>
          <w:tab w:val="num" w:pos="567"/>
        </w:tabs>
        <w:spacing w:after="40"/>
        <w:ind w:left="562" w:hanging="562"/>
        <w:rPr>
          <w:lang w:val="en-GB" w:eastAsia="en-CA"/>
        </w:rPr>
      </w:pPr>
    </w:p>
    <w:p w14:paraId="3C8F5A88" w14:textId="6290E35A" w:rsidR="00EB4FE3" w:rsidRPr="00947377" w:rsidRDefault="00EB4FE3" w:rsidP="00031E90">
      <w:pPr>
        <w:ind w:left="720" w:hanging="720"/>
        <w:rPr>
          <w:lang w:val="en-GB" w:eastAsia="en-CA"/>
        </w:rPr>
      </w:pPr>
    </w:p>
    <w:p w14:paraId="6B6EECA1" w14:textId="2C8E2B4C" w:rsidR="00EB4FE3" w:rsidRPr="00947377" w:rsidRDefault="00EB4FE3" w:rsidP="00031E90">
      <w:pPr>
        <w:ind w:left="720" w:hanging="720"/>
        <w:rPr>
          <w:lang w:val="en-GB" w:eastAsia="en-CA"/>
        </w:rPr>
      </w:pPr>
    </w:p>
    <w:p w14:paraId="651FC691" w14:textId="7BB825A7" w:rsidR="00EB4FE3" w:rsidRPr="00947377" w:rsidRDefault="00EB4FE3">
      <w:pPr>
        <w:spacing w:line="259" w:lineRule="auto"/>
        <w:rPr>
          <w:lang w:val="en-GB" w:eastAsia="en-CA"/>
        </w:rPr>
      </w:pPr>
    </w:p>
    <w:sectPr w:rsidR="00EB4FE3" w:rsidRPr="00947377">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16735" w14:textId="77777777" w:rsidR="00D941A3" w:rsidRDefault="00D941A3" w:rsidP="008520D4">
      <w:pPr>
        <w:spacing w:after="0" w:line="240" w:lineRule="auto"/>
      </w:pPr>
      <w:r>
        <w:separator/>
      </w:r>
    </w:p>
  </w:endnote>
  <w:endnote w:type="continuationSeparator" w:id="0">
    <w:p w14:paraId="6CC7B87F" w14:textId="77777777" w:rsidR="00D941A3" w:rsidRDefault="00D941A3" w:rsidP="00852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1750C" w14:textId="77777777" w:rsidR="00CB6B0B" w:rsidRDefault="00CB6B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144D6" w14:textId="77777777" w:rsidR="00CB6B0B" w:rsidRDefault="00CB6B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8F240" w14:textId="77777777" w:rsidR="00CB6B0B" w:rsidRDefault="00CB6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68F44" w14:textId="77777777" w:rsidR="00D941A3" w:rsidRDefault="00D941A3" w:rsidP="008520D4">
      <w:pPr>
        <w:spacing w:after="0" w:line="240" w:lineRule="auto"/>
      </w:pPr>
      <w:r>
        <w:separator/>
      </w:r>
    </w:p>
  </w:footnote>
  <w:footnote w:type="continuationSeparator" w:id="0">
    <w:p w14:paraId="14C8A4F4" w14:textId="77777777" w:rsidR="00D941A3" w:rsidRDefault="00D941A3" w:rsidP="008520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26D91" w14:textId="77777777" w:rsidR="00CB6B0B" w:rsidRDefault="00CB6B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EF2D5" w14:textId="77777777" w:rsidR="00CB6B0B" w:rsidRDefault="00CB6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AC9C2" w14:textId="77777777" w:rsidR="00CB6B0B" w:rsidRDefault="00CB6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15:restartNumberingAfterBreak="0">
    <w:nsid w:val="4BDF65F6"/>
    <w:multiLevelType w:val="hybridMultilevel"/>
    <w:tmpl w:val="C2EA33CC"/>
    <w:lvl w:ilvl="0" w:tplc="A830D904">
      <w:start w:val="1"/>
      <w:numFmt w:val="decimal"/>
      <w:lvlText w:val="[%1]"/>
      <w:lvlJc w:val="left"/>
      <w:pPr>
        <w:tabs>
          <w:tab w:val="num" w:pos="567"/>
        </w:tabs>
        <w:ind w:left="567" w:hanging="567"/>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068F3"/>
    <w:rsid w:val="00022B6B"/>
    <w:rsid w:val="00031E90"/>
    <w:rsid w:val="00045B62"/>
    <w:rsid w:val="00045F56"/>
    <w:rsid w:val="00057445"/>
    <w:rsid w:val="00064B1D"/>
    <w:rsid w:val="00065017"/>
    <w:rsid w:val="00066363"/>
    <w:rsid w:val="000D3185"/>
    <w:rsid w:val="000E0CDF"/>
    <w:rsid w:val="000F32CA"/>
    <w:rsid w:val="000F5AF9"/>
    <w:rsid w:val="001052C0"/>
    <w:rsid w:val="001148FD"/>
    <w:rsid w:val="001212F8"/>
    <w:rsid w:val="001623C5"/>
    <w:rsid w:val="00177DC8"/>
    <w:rsid w:val="001816D2"/>
    <w:rsid w:val="0018428C"/>
    <w:rsid w:val="001852D6"/>
    <w:rsid w:val="001A58D3"/>
    <w:rsid w:val="001B31A0"/>
    <w:rsid w:val="001C4160"/>
    <w:rsid w:val="001D0BB3"/>
    <w:rsid w:val="001E098F"/>
    <w:rsid w:val="001E1A31"/>
    <w:rsid w:val="001E1E57"/>
    <w:rsid w:val="001F1F74"/>
    <w:rsid w:val="00214622"/>
    <w:rsid w:val="00217047"/>
    <w:rsid w:val="00236D6D"/>
    <w:rsid w:val="00250CDB"/>
    <w:rsid w:val="00263ABE"/>
    <w:rsid w:val="00266375"/>
    <w:rsid w:val="00281D51"/>
    <w:rsid w:val="002A223A"/>
    <w:rsid w:val="002B79B7"/>
    <w:rsid w:val="002C3A3C"/>
    <w:rsid w:val="002C4D91"/>
    <w:rsid w:val="002E3089"/>
    <w:rsid w:val="002F4243"/>
    <w:rsid w:val="002F7A14"/>
    <w:rsid w:val="00302AEC"/>
    <w:rsid w:val="00312911"/>
    <w:rsid w:val="003137A0"/>
    <w:rsid w:val="003146CC"/>
    <w:rsid w:val="0032255C"/>
    <w:rsid w:val="00334584"/>
    <w:rsid w:val="00336A51"/>
    <w:rsid w:val="00364C1B"/>
    <w:rsid w:val="00382FCE"/>
    <w:rsid w:val="00383951"/>
    <w:rsid w:val="00386496"/>
    <w:rsid w:val="003A16A9"/>
    <w:rsid w:val="003A4AD9"/>
    <w:rsid w:val="003A4E8F"/>
    <w:rsid w:val="003B204E"/>
    <w:rsid w:val="003B5758"/>
    <w:rsid w:val="003C0EAF"/>
    <w:rsid w:val="003C1098"/>
    <w:rsid w:val="003E5007"/>
    <w:rsid w:val="00407DB2"/>
    <w:rsid w:val="004106D3"/>
    <w:rsid w:val="00423C62"/>
    <w:rsid w:val="00437B58"/>
    <w:rsid w:val="00442758"/>
    <w:rsid w:val="0044495B"/>
    <w:rsid w:val="00453383"/>
    <w:rsid w:val="004552C2"/>
    <w:rsid w:val="004569C9"/>
    <w:rsid w:val="00456ED7"/>
    <w:rsid w:val="00461565"/>
    <w:rsid w:val="00471F00"/>
    <w:rsid w:val="004740F0"/>
    <w:rsid w:val="00477FB6"/>
    <w:rsid w:val="004879DC"/>
    <w:rsid w:val="00496A1E"/>
    <w:rsid w:val="00497079"/>
    <w:rsid w:val="004A69A8"/>
    <w:rsid w:val="004B29A0"/>
    <w:rsid w:val="004B6D23"/>
    <w:rsid w:val="004C70C8"/>
    <w:rsid w:val="004D54D5"/>
    <w:rsid w:val="004F540D"/>
    <w:rsid w:val="00513EA2"/>
    <w:rsid w:val="005170E8"/>
    <w:rsid w:val="0053009E"/>
    <w:rsid w:val="0053098D"/>
    <w:rsid w:val="0054348A"/>
    <w:rsid w:val="00562B12"/>
    <w:rsid w:val="005648D5"/>
    <w:rsid w:val="005753F1"/>
    <w:rsid w:val="00581E06"/>
    <w:rsid w:val="0058320C"/>
    <w:rsid w:val="00583856"/>
    <w:rsid w:val="00587120"/>
    <w:rsid w:val="005971A6"/>
    <w:rsid w:val="005B33FF"/>
    <w:rsid w:val="005C29B1"/>
    <w:rsid w:val="005C3AC4"/>
    <w:rsid w:val="005F6DD4"/>
    <w:rsid w:val="00601198"/>
    <w:rsid w:val="006145AB"/>
    <w:rsid w:val="0064659A"/>
    <w:rsid w:val="00655866"/>
    <w:rsid w:val="00660C5A"/>
    <w:rsid w:val="00661B3F"/>
    <w:rsid w:val="00695282"/>
    <w:rsid w:val="00697E0F"/>
    <w:rsid w:val="006A3EDD"/>
    <w:rsid w:val="006B2FB3"/>
    <w:rsid w:val="006B5BF1"/>
    <w:rsid w:val="006C5055"/>
    <w:rsid w:val="006F3E3D"/>
    <w:rsid w:val="00702B08"/>
    <w:rsid w:val="0074269C"/>
    <w:rsid w:val="00746972"/>
    <w:rsid w:val="0074743D"/>
    <w:rsid w:val="007514A3"/>
    <w:rsid w:val="00755FCF"/>
    <w:rsid w:val="00762BF5"/>
    <w:rsid w:val="00776322"/>
    <w:rsid w:val="00786D08"/>
    <w:rsid w:val="007C2DD9"/>
    <w:rsid w:val="007C6891"/>
    <w:rsid w:val="007D2C8B"/>
    <w:rsid w:val="007D3C66"/>
    <w:rsid w:val="007F2562"/>
    <w:rsid w:val="007F2681"/>
    <w:rsid w:val="007F33C4"/>
    <w:rsid w:val="008124DA"/>
    <w:rsid w:val="00823C41"/>
    <w:rsid w:val="00824F46"/>
    <w:rsid w:val="00834BC9"/>
    <w:rsid w:val="0083704C"/>
    <w:rsid w:val="0085014C"/>
    <w:rsid w:val="008520D4"/>
    <w:rsid w:val="00881368"/>
    <w:rsid w:val="008837B2"/>
    <w:rsid w:val="00886B10"/>
    <w:rsid w:val="008E107A"/>
    <w:rsid w:val="009128A8"/>
    <w:rsid w:val="00912F3F"/>
    <w:rsid w:val="00917A45"/>
    <w:rsid w:val="00926DA9"/>
    <w:rsid w:val="009337B9"/>
    <w:rsid w:val="009406D8"/>
    <w:rsid w:val="0094360C"/>
    <w:rsid w:val="00947377"/>
    <w:rsid w:val="00974480"/>
    <w:rsid w:val="00975C05"/>
    <w:rsid w:val="00976A1A"/>
    <w:rsid w:val="009B409A"/>
    <w:rsid w:val="009D7866"/>
    <w:rsid w:val="009E28BF"/>
    <w:rsid w:val="00A05257"/>
    <w:rsid w:val="00A226D5"/>
    <w:rsid w:val="00A25323"/>
    <w:rsid w:val="00A26CD1"/>
    <w:rsid w:val="00A354C5"/>
    <w:rsid w:val="00A409BE"/>
    <w:rsid w:val="00A450BF"/>
    <w:rsid w:val="00A46C49"/>
    <w:rsid w:val="00A569FB"/>
    <w:rsid w:val="00A62812"/>
    <w:rsid w:val="00A63970"/>
    <w:rsid w:val="00A65845"/>
    <w:rsid w:val="00A701EE"/>
    <w:rsid w:val="00A7132E"/>
    <w:rsid w:val="00A76EE4"/>
    <w:rsid w:val="00A83D9F"/>
    <w:rsid w:val="00A86B99"/>
    <w:rsid w:val="00A901FD"/>
    <w:rsid w:val="00A92F28"/>
    <w:rsid w:val="00A949F8"/>
    <w:rsid w:val="00A95D9D"/>
    <w:rsid w:val="00AB2BEC"/>
    <w:rsid w:val="00AB4D9F"/>
    <w:rsid w:val="00AD52E9"/>
    <w:rsid w:val="00AD62E7"/>
    <w:rsid w:val="00AF1850"/>
    <w:rsid w:val="00AF3804"/>
    <w:rsid w:val="00AF68B6"/>
    <w:rsid w:val="00B06B2B"/>
    <w:rsid w:val="00B10D81"/>
    <w:rsid w:val="00B26AB1"/>
    <w:rsid w:val="00B26F99"/>
    <w:rsid w:val="00B65E0A"/>
    <w:rsid w:val="00B666B8"/>
    <w:rsid w:val="00B7015C"/>
    <w:rsid w:val="00B85C04"/>
    <w:rsid w:val="00B96455"/>
    <w:rsid w:val="00BA4F2C"/>
    <w:rsid w:val="00BC1D58"/>
    <w:rsid w:val="00BD1593"/>
    <w:rsid w:val="00BD5424"/>
    <w:rsid w:val="00BE551C"/>
    <w:rsid w:val="00BE5FF2"/>
    <w:rsid w:val="00BF5FB1"/>
    <w:rsid w:val="00C03C02"/>
    <w:rsid w:val="00C120E4"/>
    <w:rsid w:val="00C22C2B"/>
    <w:rsid w:val="00C22CAF"/>
    <w:rsid w:val="00C27077"/>
    <w:rsid w:val="00C27E15"/>
    <w:rsid w:val="00C33070"/>
    <w:rsid w:val="00C407BE"/>
    <w:rsid w:val="00C44292"/>
    <w:rsid w:val="00C52A03"/>
    <w:rsid w:val="00C56EBB"/>
    <w:rsid w:val="00C615F9"/>
    <w:rsid w:val="00C64394"/>
    <w:rsid w:val="00C667E8"/>
    <w:rsid w:val="00C6733F"/>
    <w:rsid w:val="00CB34E9"/>
    <w:rsid w:val="00CB6B0B"/>
    <w:rsid w:val="00CC23E8"/>
    <w:rsid w:val="00CC4FB7"/>
    <w:rsid w:val="00CD1724"/>
    <w:rsid w:val="00CF3890"/>
    <w:rsid w:val="00D0101E"/>
    <w:rsid w:val="00D060BC"/>
    <w:rsid w:val="00D100CD"/>
    <w:rsid w:val="00D171CD"/>
    <w:rsid w:val="00D20B1F"/>
    <w:rsid w:val="00D2108C"/>
    <w:rsid w:val="00D273D8"/>
    <w:rsid w:val="00D36A2B"/>
    <w:rsid w:val="00D3799E"/>
    <w:rsid w:val="00D506E4"/>
    <w:rsid w:val="00D60CBF"/>
    <w:rsid w:val="00D7063D"/>
    <w:rsid w:val="00D73A81"/>
    <w:rsid w:val="00D801E8"/>
    <w:rsid w:val="00D83C56"/>
    <w:rsid w:val="00D85450"/>
    <w:rsid w:val="00D9419D"/>
    <w:rsid w:val="00D941A3"/>
    <w:rsid w:val="00DA6418"/>
    <w:rsid w:val="00DB3914"/>
    <w:rsid w:val="00DC09B6"/>
    <w:rsid w:val="00DC3D93"/>
    <w:rsid w:val="00DD2CE5"/>
    <w:rsid w:val="00DD3113"/>
    <w:rsid w:val="00DE76A6"/>
    <w:rsid w:val="00DF5CBE"/>
    <w:rsid w:val="00DF7C11"/>
    <w:rsid w:val="00DF7F2D"/>
    <w:rsid w:val="00E017A7"/>
    <w:rsid w:val="00E029D0"/>
    <w:rsid w:val="00E14570"/>
    <w:rsid w:val="00E3176E"/>
    <w:rsid w:val="00E328BA"/>
    <w:rsid w:val="00E637FA"/>
    <w:rsid w:val="00E74AE7"/>
    <w:rsid w:val="00E81B21"/>
    <w:rsid w:val="00E82AB9"/>
    <w:rsid w:val="00E85751"/>
    <w:rsid w:val="00E86EC9"/>
    <w:rsid w:val="00EA68FE"/>
    <w:rsid w:val="00EB4FE3"/>
    <w:rsid w:val="00EC66EC"/>
    <w:rsid w:val="00ED346A"/>
    <w:rsid w:val="00EE1DDE"/>
    <w:rsid w:val="00EF44A3"/>
    <w:rsid w:val="00EF661B"/>
    <w:rsid w:val="00F011DB"/>
    <w:rsid w:val="00F13F45"/>
    <w:rsid w:val="00F1629F"/>
    <w:rsid w:val="00F23497"/>
    <w:rsid w:val="00F2414D"/>
    <w:rsid w:val="00F40CC7"/>
    <w:rsid w:val="00F466AE"/>
    <w:rsid w:val="00F544B3"/>
    <w:rsid w:val="00F926A2"/>
    <w:rsid w:val="00FA3324"/>
    <w:rsid w:val="00FB7D1B"/>
    <w:rsid w:val="00FC042F"/>
    <w:rsid w:val="00FC0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D23"/>
    <w:pPr>
      <w:spacing w:line="256" w:lineRule="auto"/>
    </w:pPr>
    <w:rPr>
      <w:rFonts w:ascii="Calibri" w:eastAsia="Calibri" w:hAnsi="Calibri" w:cs="Times New Roman"/>
      <w:lang w:val="en-CA"/>
    </w:rPr>
  </w:style>
  <w:style w:type="paragraph" w:styleId="Heading1">
    <w:name w:val="heading 1"/>
    <w:next w:val="Normal"/>
    <w:link w:val="Heading1Char"/>
    <w:uiPriority w:val="9"/>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unhideWhenUsed/>
    <w:qFormat/>
    <w:rsid w:val="00C270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B4F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uiPriority w:val="9"/>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semiHidden/>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nhideWhenUsed/>
    <w:rsid w:val="007D3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7D3C66"/>
    <w:rPr>
      <w:rFonts w:ascii="Segoe UI" w:eastAsia="Calibri" w:hAnsi="Segoe UI" w:cs="Segoe UI"/>
      <w:sz w:val="18"/>
      <w:szCs w:val="18"/>
      <w:lang w:val="en-CA"/>
    </w:rPr>
  </w:style>
  <w:style w:type="table" w:styleId="TableGrid">
    <w:name w:val="Table Grid"/>
    <w:basedOn w:val="TableNormal"/>
    <w:uiPriority w:val="39"/>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 w:type="table" w:customStyle="1" w:styleId="TableGrid1">
    <w:name w:val="Table Grid1"/>
    <w:basedOn w:val="TableNormal"/>
    <w:next w:val="TableGrid"/>
    <w:uiPriority w:val="39"/>
    <w:rsid w:val="007F2681"/>
    <w:pPr>
      <w:spacing w:after="0" w:line="240" w:lineRule="auto"/>
    </w:pPr>
    <w:rPr>
      <w:rFonts w:ascii="Times New Roman" w:eastAsia="DengXi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667E8"/>
    <w:pPr>
      <w:spacing w:after="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74AE7"/>
    <w:pPr>
      <w:spacing w:after="120" w:line="240" w:lineRule="auto"/>
    </w:pPr>
    <w:rPr>
      <w:rFonts w:ascii="Times New Roman" w:eastAsia="Times New Roman" w:hAnsi="Times New Roman"/>
      <w:sz w:val="20"/>
      <w:szCs w:val="20"/>
      <w:lang w:val="en-GB"/>
    </w:rPr>
  </w:style>
  <w:style w:type="character" w:customStyle="1" w:styleId="BodyTextChar">
    <w:name w:val="Body Text Char"/>
    <w:basedOn w:val="DefaultParagraphFont"/>
    <w:link w:val="BodyText"/>
    <w:uiPriority w:val="99"/>
    <w:qFormat/>
    <w:rsid w:val="00E74AE7"/>
    <w:rPr>
      <w:rFonts w:ascii="Times New Roman" w:eastAsia="Times New Roman" w:hAnsi="Times New Roman" w:cs="Times New Roman"/>
      <w:sz w:val="20"/>
      <w:szCs w:val="20"/>
      <w:lang w:val="en-GB"/>
    </w:rPr>
  </w:style>
  <w:style w:type="paragraph" w:styleId="Caption">
    <w:name w:val="caption"/>
    <w:basedOn w:val="Normal"/>
    <w:next w:val="Normal"/>
    <w:unhideWhenUsed/>
    <w:qFormat/>
    <w:rsid w:val="00E74AE7"/>
    <w:pPr>
      <w:spacing w:after="200" w:line="240" w:lineRule="auto"/>
    </w:pPr>
    <w:rPr>
      <w:rFonts w:ascii="Times New Roman" w:eastAsia="Times New Roman" w:hAnsi="Times New Roman"/>
      <w:i/>
      <w:iCs/>
      <w:color w:val="44546A" w:themeColor="text2"/>
      <w:sz w:val="18"/>
      <w:szCs w:val="18"/>
      <w:lang w:val="en-GB"/>
    </w:rPr>
  </w:style>
  <w:style w:type="paragraph" w:customStyle="1" w:styleId="Reference">
    <w:name w:val="Reference"/>
    <w:basedOn w:val="BodyText"/>
    <w:rsid w:val="00926DA9"/>
    <w:pPr>
      <w:spacing w:line="256" w:lineRule="auto"/>
    </w:pPr>
    <w:rPr>
      <w:rFonts w:ascii="Arial" w:eastAsiaTheme="minorHAnsi" w:hAnsi="Arial" w:cstheme="minorBidi"/>
      <w:sz w:val="22"/>
      <w:szCs w:val="22"/>
      <w:lang w:val="sv-SE" w:eastAsia="zh-CN"/>
    </w:rPr>
  </w:style>
  <w:style w:type="character" w:customStyle="1" w:styleId="CRCoverPageChar">
    <w:name w:val="CR Cover Page Char"/>
    <w:link w:val="CRCoverPage"/>
    <w:locked/>
    <w:rsid w:val="00A25323"/>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886B10"/>
    <w:rPr>
      <w:sz w:val="16"/>
      <w:szCs w:val="16"/>
    </w:rPr>
  </w:style>
  <w:style w:type="paragraph" w:styleId="CommentText">
    <w:name w:val="annotation text"/>
    <w:basedOn w:val="Normal"/>
    <w:link w:val="CommentTextChar"/>
    <w:uiPriority w:val="99"/>
    <w:semiHidden/>
    <w:unhideWhenUsed/>
    <w:rsid w:val="00886B10"/>
    <w:pPr>
      <w:spacing w:line="240" w:lineRule="auto"/>
    </w:pPr>
    <w:rPr>
      <w:sz w:val="20"/>
      <w:szCs w:val="20"/>
    </w:rPr>
  </w:style>
  <w:style w:type="character" w:customStyle="1" w:styleId="CommentTextChar">
    <w:name w:val="Comment Text Char"/>
    <w:basedOn w:val="DefaultParagraphFont"/>
    <w:link w:val="CommentText"/>
    <w:uiPriority w:val="99"/>
    <w:semiHidden/>
    <w:rsid w:val="00886B10"/>
    <w:rPr>
      <w:rFonts w:ascii="Calibri" w:eastAsia="Calibri" w:hAnsi="Calibri"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886B10"/>
    <w:rPr>
      <w:b/>
      <w:bCs/>
    </w:rPr>
  </w:style>
  <w:style w:type="character" w:customStyle="1" w:styleId="CommentSubjectChar">
    <w:name w:val="Comment Subject Char"/>
    <w:basedOn w:val="CommentTextChar"/>
    <w:link w:val="CommentSubject"/>
    <w:uiPriority w:val="99"/>
    <w:semiHidden/>
    <w:rsid w:val="00886B10"/>
    <w:rPr>
      <w:rFonts w:ascii="Calibri" w:eastAsia="Calibri" w:hAnsi="Calibri" w:cs="Times New Roman"/>
      <w:b/>
      <w:bCs/>
      <w:sz w:val="20"/>
      <w:szCs w:val="20"/>
      <w:lang w:val="en-CA"/>
    </w:rPr>
  </w:style>
  <w:style w:type="paragraph" w:customStyle="1" w:styleId="TAL">
    <w:name w:val="TAL"/>
    <w:basedOn w:val="Normal"/>
    <w:link w:val="TALCar"/>
    <w:rsid w:val="00A95D9D"/>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eastAsia="ja-JP"/>
    </w:rPr>
  </w:style>
  <w:style w:type="character" w:customStyle="1" w:styleId="TALCar">
    <w:name w:val="TAL Car"/>
    <w:link w:val="TAL"/>
    <w:qFormat/>
    <w:rsid w:val="00A95D9D"/>
    <w:rPr>
      <w:rFonts w:ascii="Arial" w:eastAsia="Times New Roman" w:hAnsi="Arial" w:cs="Times New Roman"/>
      <w:sz w:val="18"/>
      <w:szCs w:val="20"/>
      <w:lang w:val="en-GB" w:eastAsia="ja-JP"/>
    </w:rPr>
  </w:style>
  <w:style w:type="paragraph" w:styleId="Revision">
    <w:name w:val="Revision"/>
    <w:hidden/>
    <w:uiPriority w:val="99"/>
    <w:semiHidden/>
    <w:rsid w:val="00A95D9D"/>
    <w:pPr>
      <w:spacing w:after="0" w:line="240" w:lineRule="auto"/>
    </w:pPr>
    <w:rPr>
      <w:rFonts w:ascii="Calibri" w:eastAsia="Calibri" w:hAnsi="Calibri" w:cs="Times New Roma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607735045">
      <w:bodyDiv w:val="1"/>
      <w:marLeft w:val="0"/>
      <w:marRight w:val="0"/>
      <w:marTop w:val="0"/>
      <w:marBottom w:val="0"/>
      <w:divBdr>
        <w:top w:val="none" w:sz="0" w:space="0" w:color="auto"/>
        <w:left w:val="none" w:sz="0" w:space="0" w:color="auto"/>
        <w:bottom w:val="none" w:sz="0" w:space="0" w:color="auto"/>
        <w:right w:val="none" w:sz="0" w:space="0" w:color="auto"/>
      </w:divBdr>
    </w:div>
    <w:div w:id="617687581">
      <w:bodyDiv w:val="1"/>
      <w:marLeft w:val="0"/>
      <w:marRight w:val="0"/>
      <w:marTop w:val="0"/>
      <w:marBottom w:val="0"/>
      <w:divBdr>
        <w:top w:val="none" w:sz="0" w:space="0" w:color="auto"/>
        <w:left w:val="none" w:sz="0" w:space="0" w:color="auto"/>
        <w:bottom w:val="none" w:sz="0" w:space="0" w:color="auto"/>
        <w:right w:val="none" w:sz="0" w:space="0" w:color="auto"/>
      </w:divBdr>
    </w:div>
    <w:div w:id="668169640">
      <w:bodyDiv w:val="1"/>
      <w:marLeft w:val="0"/>
      <w:marRight w:val="0"/>
      <w:marTop w:val="0"/>
      <w:marBottom w:val="0"/>
      <w:divBdr>
        <w:top w:val="none" w:sz="0" w:space="0" w:color="auto"/>
        <w:left w:val="none" w:sz="0" w:space="0" w:color="auto"/>
        <w:bottom w:val="none" w:sz="0" w:space="0" w:color="auto"/>
        <w:right w:val="none" w:sz="0" w:space="0" w:color="auto"/>
      </w:divBdr>
    </w:div>
    <w:div w:id="700325891">
      <w:bodyDiv w:val="1"/>
      <w:marLeft w:val="0"/>
      <w:marRight w:val="0"/>
      <w:marTop w:val="0"/>
      <w:marBottom w:val="0"/>
      <w:divBdr>
        <w:top w:val="none" w:sz="0" w:space="0" w:color="auto"/>
        <w:left w:val="none" w:sz="0" w:space="0" w:color="auto"/>
        <w:bottom w:val="none" w:sz="0" w:space="0" w:color="auto"/>
        <w:right w:val="none" w:sz="0" w:space="0" w:color="auto"/>
      </w:divBdr>
    </w:div>
    <w:div w:id="851652437">
      <w:bodyDiv w:val="1"/>
      <w:marLeft w:val="0"/>
      <w:marRight w:val="0"/>
      <w:marTop w:val="0"/>
      <w:marBottom w:val="0"/>
      <w:divBdr>
        <w:top w:val="none" w:sz="0" w:space="0" w:color="auto"/>
        <w:left w:val="none" w:sz="0" w:space="0" w:color="auto"/>
        <w:bottom w:val="none" w:sz="0" w:space="0" w:color="auto"/>
        <w:right w:val="none" w:sz="0" w:space="0" w:color="auto"/>
      </w:divBdr>
    </w:div>
    <w:div w:id="861281752">
      <w:bodyDiv w:val="1"/>
      <w:marLeft w:val="0"/>
      <w:marRight w:val="0"/>
      <w:marTop w:val="0"/>
      <w:marBottom w:val="0"/>
      <w:divBdr>
        <w:top w:val="none" w:sz="0" w:space="0" w:color="auto"/>
        <w:left w:val="none" w:sz="0" w:space="0" w:color="auto"/>
        <w:bottom w:val="none" w:sz="0" w:space="0" w:color="auto"/>
        <w:right w:val="none" w:sz="0" w:space="0" w:color="auto"/>
      </w:divBdr>
    </w:div>
    <w:div w:id="969868201">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171718646">
      <w:bodyDiv w:val="1"/>
      <w:marLeft w:val="0"/>
      <w:marRight w:val="0"/>
      <w:marTop w:val="0"/>
      <w:marBottom w:val="0"/>
      <w:divBdr>
        <w:top w:val="none" w:sz="0" w:space="0" w:color="auto"/>
        <w:left w:val="none" w:sz="0" w:space="0" w:color="auto"/>
        <w:bottom w:val="none" w:sz="0" w:space="0" w:color="auto"/>
        <w:right w:val="none" w:sz="0" w:space="0" w:color="auto"/>
      </w:divBdr>
    </w:div>
    <w:div w:id="1339043316">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668050011">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1947927805">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2.png@01D73843.69DCA0B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73843.6A35480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51988DE-9D00-491F-8609-8AE15BD27327}">
  <ds:schemaRefs>
    <ds:schemaRef ds:uri="http://schemas.microsoft.com/sharepoint/v3/contenttype/forms"/>
  </ds:schemaRefs>
</ds:datastoreItem>
</file>

<file path=customXml/itemProps2.xml><?xml version="1.0" encoding="utf-8"?>
<ds:datastoreItem xmlns:ds="http://schemas.openxmlformats.org/officeDocument/2006/customXml" ds:itemID="{EA3DC612-678B-427B-83FC-A670257CF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AB2605-19E3-443D-935D-60D3DB2F0C72}">
  <ds:schemaRefs>
    <ds:schemaRef ds:uri="http://schemas.openxmlformats.org/officeDocument/2006/bibliography"/>
  </ds:schemaRefs>
</ds:datastoreItem>
</file>

<file path=customXml/itemProps4.xml><?xml version="1.0" encoding="utf-8"?>
<ds:datastoreItem xmlns:ds="http://schemas.openxmlformats.org/officeDocument/2006/customXml" ds:itemID="{9495AB17-659B-4C37-B38B-EDF0C009A2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1315</Words>
  <Characters>7499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2021-05-11T14:32:00Z</dcterms:created>
  <dcterms:modified xsi:type="dcterms:W3CDTF">2021-05-11T14:32:00Z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