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8527B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9E1D1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5D01E7" w:rsidP="00F035A6">
            <w:pPr>
              <w:spacing w:after="0"/>
              <w:jc w:val="center"/>
              <w:rPr>
                <w:rFonts w:ascii="Arial" w:eastAsia="Times New Roman" w:hAnsi="Arial" w:cs="Arial"/>
                <w:sz w:val="16"/>
                <w:szCs w:val="16"/>
                <w:lang w:val="en-US" w:eastAsia="zh-CN"/>
              </w:rPr>
            </w:pPr>
            <w:hyperlink r:id="rId9" w:history="1">
              <w:r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5D01E7" w:rsidP="00F035A6">
            <w:pPr>
              <w:spacing w:after="0"/>
              <w:jc w:val="center"/>
              <w:rPr>
                <w:rFonts w:ascii="Arial" w:eastAsia="Times New Roman" w:hAnsi="Arial" w:cs="Arial"/>
                <w:sz w:val="16"/>
                <w:szCs w:val="16"/>
                <w:lang w:val="en-US" w:eastAsia="zh-CN"/>
              </w:rPr>
            </w:pPr>
            <w:hyperlink r:id="rId10" w:history="1">
              <w:r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5D01E7" w:rsidP="00F035A6">
            <w:pPr>
              <w:spacing w:after="0"/>
              <w:jc w:val="center"/>
              <w:rPr>
                <w:rFonts w:ascii="Arial" w:eastAsia="Times New Roman" w:hAnsi="Arial" w:cs="Arial"/>
                <w:sz w:val="16"/>
                <w:szCs w:val="16"/>
                <w:lang w:val="en-US" w:eastAsia="zh-CN"/>
              </w:rPr>
            </w:pPr>
            <w:hyperlink r:id="rId11" w:history="1">
              <w:r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5D01E7" w:rsidP="00F035A6">
            <w:pPr>
              <w:spacing w:after="0"/>
              <w:jc w:val="center"/>
              <w:rPr>
                <w:rFonts w:ascii="Arial" w:eastAsia="Times New Roman" w:hAnsi="Arial" w:cs="Arial"/>
                <w:sz w:val="16"/>
                <w:szCs w:val="16"/>
                <w:lang w:val="en-US" w:eastAsia="zh-CN"/>
              </w:rPr>
            </w:pPr>
            <w:hyperlink r:id="rId12" w:history="1">
              <w:r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5D01E7" w:rsidP="00F035A6">
            <w:pPr>
              <w:spacing w:after="0"/>
              <w:jc w:val="center"/>
              <w:rPr>
                <w:rFonts w:ascii="Arial" w:eastAsia="Times New Roman" w:hAnsi="Arial" w:cs="Arial"/>
                <w:sz w:val="16"/>
                <w:szCs w:val="16"/>
                <w:lang w:val="en-US" w:eastAsia="zh-CN"/>
              </w:rPr>
            </w:pPr>
            <w:hyperlink r:id="rId13" w:history="1">
              <w:r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5D01E7" w:rsidP="00F035A6">
            <w:pPr>
              <w:spacing w:after="0"/>
              <w:jc w:val="center"/>
              <w:rPr>
                <w:rFonts w:ascii="Arial" w:eastAsia="Times New Roman" w:hAnsi="Arial" w:cs="Arial"/>
                <w:sz w:val="16"/>
                <w:szCs w:val="16"/>
                <w:lang w:val="en-US" w:eastAsia="zh-CN"/>
              </w:rPr>
            </w:pPr>
            <w:hyperlink r:id="rId14" w:history="1">
              <w:r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5D01E7" w:rsidP="00F035A6">
            <w:pPr>
              <w:spacing w:after="0"/>
              <w:jc w:val="center"/>
              <w:rPr>
                <w:rFonts w:ascii="Arial" w:eastAsia="Times New Roman" w:hAnsi="Arial" w:cs="Arial"/>
                <w:sz w:val="16"/>
                <w:szCs w:val="16"/>
                <w:lang w:val="en-US" w:eastAsia="zh-CN"/>
              </w:rPr>
            </w:pPr>
            <w:hyperlink r:id="rId15" w:history="1">
              <w:r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5D01E7" w:rsidP="00F035A6">
            <w:pPr>
              <w:spacing w:after="0"/>
              <w:jc w:val="center"/>
              <w:rPr>
                <w:rFonts w:ascii="Arial" w:eastAsia="Times New Roman" w:hAnsi="Arial" w:cs="Arial"/>
                <w:sz w:val="16"/>
                <w:szCs w:val="16"/>
                <w:lang w:val="en-US" w:eastAsia="zh-CN"/>
              </w:rPr>
            </w:pPr>
            <w:hyperlink r:id="rId16" w:history="1">
              <w:r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5D01E7" w:rsidP="00F035A6">
            <w:pPr>
              <w:spacing w:after="0"/>
              <w:jc w:val="center"/>
              <w:rPr>
                <w:rFonts w:ascii="Arial" w:eastAsia="Times New Roman" w:hAnsi="Arial" w:cs="Arial"/>
                <w:sz w:val="16"/>
                <w:szCs w:val="16"/>
                <w:lang w:val="en-US" w:eastAsia="zh-CN"/>
              </w:rPr>
            </w:pPr>
            <w:hyperlink r:id="rId17" w:history="1">
              <w:r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5D01E7" w:rsidP="00F035A6">
            <w:pPr>
              <w:spacing w:after="0"/>
              <w:jc w:val="center"/>
              <w:rPr>
                <w:rFonts w:ascii="Arial" w:eastAsia="Times New Roman" w:hAnsi="Arial" w:cs="Arial"/>
                <w:sz w:val="16"/>
                <w:szCs w:val="16"/>
                <w:lang w:val="en-US" w:eastAsia="zh-CN"/>
              </w:rPr>
            </w:pPr>
            <w:hyperlink r:id="rId18" w:history="1">
              <w:r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2D198243"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5D01E7" w:rsidRDefault="005D01E7" w:rsidP="00F035A6">
            <w:pPr>
              <w:spacing w:after="0"/>
              <w:jc w:val="center"/>
              <w:rPr>
                <w:rFonts w:ascii="Arial" w:eastAsia="Times New Roman" w:hAnsi="Arial" w:cs="Arial"/>
                <w:sz w:val="16"/>
                <w:szCs w:val="16"/>
                <w:lang w:val="en-US" w:eastAsia="zh-CN"/>
              </w:rPr>
            </w:pPr>
            <w:hyperlink r:id="rId19" w:history="1">
              <w:r w:rsidRPr="005D01E7">
                <w:rPr>
                  <w:rFonts w:ascii="Arial" w:eastAsia="Times New Roman" w:hAnsi="Arial" w:cs="Arial"/>
                  <w:sz w:val="16"/>
                  <w:szCs w:val="16"/>
                  <w:lang w:val="en-US" w:eastAsia="zh-CN"/>
                </w:rPr>
                <w:t>R4-2100994</w:t>
              </w:r>
            </w:hyperlink>
          </w:p>
        </w:tc>
        <w:tc>
          <w:tcPr>
            <w:tcW w:w="1440" w:type="dxa"/>
            <w:shd w:val="clear" w:color="auto" w:fill="auto"/>
            <w:vAlign w:val="center"/>
            <w:hideMark/>
          </w:tcPr>
          <w:p w14:paraId="3BDA13F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2AB1021" w14:textId="41E47082"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Pr="00D254AF">
              <w:rPr>
                <w:rFonts w:ascii="Arial" w:eastAsia="Times New Roman" w:hAnsi="Arial" w:cs="Arial"/>
                <w:sz w:val="16"/>
                <w:szCs w:val="16"/>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5D01E7" w:rsidP="00F035A6">
            <w:pPr>
              <w:spacing w:after="0"/>
              <w:jc w:val="center"/>
              <w:rPr>
                <w:rFonts w:ascii="Arial" w:eastAsia="Times New Roman" w:hAnsi="Arial" w:cs="Arial"/>
                <w:sz w:val="16"/>
                <w:szCs w:val="16"/>
                <w:lang w:val="en-US" w:eastAsia="zh-CN"/>
              </w:rPr>
            </w:pPr>
            <w:hyperlink r:id="rId20" w:history="1">
              <w:r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5D01E7" w:rsidP="00F035A6">
            <w:pPr>
              <w:spacing w:after="0"/>
              <w:jc w:val="center"/>
              <w:rPr>
                <w:rFonts w:ascii="Arial" w:eastAsia="Times New Roman" w:hAnsi="Arial" w:cs="Arial"/>
                <w:sz w:val="16"/>
                <w:szCs w:val="16"/>
                <w:lang w:val="en-US" w:eastAsia="zh-CN"/>
              </w:rPr>
            </w:pPr>
            <w:hyperlink r:id="rId21" w:history="1">
              <w:r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5D01E7" w:rsidP="00F035A6">
            <w:pPr>
              <w:spacing w:after="0"/>
              <w:jc w:val="center"/>
              <w:rPr>
                <w:rFonts w:ascii="Arial" w:eastAsia="Times New Roman" w:hAnsi="Arial" w:cs="Arial"/>
                <w:sz w:val="16"/>
                <w:szCs w:val="16"/>
                <w:lang w:val="en-US" w:eastAsia="zh-CN"/>
              </w:rPr>
            </w:pPr>
            <w:hyperlink r:id="rId22" w:history="1">
              <w:r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5D01E7" w:rsidP="00F035A6">
            <w:pPr>
              <w:spacing w:after="0"/>
              <w:jc w:val="center"/>
              <w:rPr>
                <w:rFonts w:ascii="Arial" w:eastAsia="Times New Roman" w:hAnsi="Arial" w:cs="Arial"/>
                <w:sz w:val="16"/>
                <w:szCs w:val="16"/>
                <w:lang w:val="en-US" w:eastAsia="zh-CN"/>
              </w:rPr>
            </w:pPr>
            <w:hyperlink r:id="rId23" w:history="1">
              <w:r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5D01E7" w:rsidP="00F035A6">
            <w:pPr>
              <w:spacing w:after="0"/>
              <w:jc w:val="center"/>
              <w:rPr>
                <w:rFonts w:ascii="Arial" w:eastAsia="Times New Roman" w:hAnsi="Arial" w:cs="Arial"/>
                <w:sz w:val="16"/>
                <w:szCs w:val="16"/>
                <w:lang w:val="en-US" w:eastAsia="zh-CN"/>
              </w:rPr>
            </w:pPr>
            <w:hyperlink r:id="rId24" w:history="1">
              <w:r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5D01E7" w:rsidP="00F035A6">
            <w:pPr>
              <w:spacing w:after="0"/>
              <w:jc w:val="center"/>
              <w:rPr>
                <w:rFonts w:ascii="Arial" w:eastAsia="Times New Roman" w:hAnsi="Arial" w:cs="Arial"/>
                <w:sz w:val="16"/>
                <w:szCs w:val="16"/>
                <w:lang w:val="en-US" w:eastAsia="zh-CN"/>
              </w:rPr>
            </w:pPr>
            <w:hyperlink r:id="rId25" w:history="1">
              <w:r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5D01E7" w:rsidP="00F035A6">
            <w:pPr>
              <w:spacing w:after="0"/>
              <w:jc w:val="center"/>
              <w:rPr>
                <w:rFonts w:ascii="Arial" w:eastAsia="Times New Roman" w:hAnsi="Arial" w:cs="Arial"/>
                <w:sz w:val="16"/>
                <w:szCs w:val="16"/>
                <w:lang w:val="en-US" w:eastAsia="zh-CN"/>
              </w:rPr>
            </w:pPr>
            <w:hyperlink r:id="rId26" w:history="1">
              <w:r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w:t>
      </w:r>
      <w:r>
        <w:rPr>
          <w:b/>
          <w:color w:val="0070C0"/>
          <w:u w:val="single"/>
          <w:lang w:eastAsia="ko-KR"/>
        </w:rPr>
        <w:t>UE</w:t>
      </w:r>
      <w:r>
        <w:rPr>
          <w:b/>
          <w:color w:val="0070C0"/>
          <w:u w:val="single"/>
          <w:lang w:eastAsia="ko-KR"/>
        </w:rPr>
        <w:t xml:space="preserv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w:t>
      </w:r>
      <w:r>
        <w:rPr>
          <w:b/>
          <w:color w:val="0070C0"/>
          <w:u w:val="single"/>
          <w:lang w:eastAsia="ko-KR"/>
        </w:rPr>
        <w:t>1-</w:t>
      </w:r>
      <w:r>
        <w:rPr>
          <w:b/>
          <w:color w:val="0070C0"/>
          <w:u w:val="single"/>
          <w:lang w:eastAsia="ko-KR"/>
        </w:rPr>
        <w:t>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w:t>
      </w:r>
      <w:r w:rsidR="00A32E88">
        <w:rPr>
          <w:b/>
          <w:color w:val="0070C0"/>
          <w:u w:val="single"/>
          <w:lang w:eastAsia="ko-KR"/>
        </w:rPr>
        <w:t>BS</w:t>
      </w:r>
      <w:r w:rsidR="00A32E88">
        <w:rPr>
          <w:b/>
          <w:color w:val="0070C0"/>
          <w:u w:val="single"/>
          <w:lang w:eastAsia="ko-KR"/>
        </w:rPr>
        <w:t xml:space="preserve">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467A8A09"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60E6118" w14:textId="36947604" w:rsidR="003275D7"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1-1:</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48968E2" w14:textId="77777777" w:rsid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1-2-1:</w:t>
            </w:r>
          </w:p>
          <w:p w14:paraId="22642761" w14:textId="7FC51318" w:rsidR="003275D7" w:rsidRP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DE4C7D" w:rsidP="00805BE8">
            <w:pPr>
              <w:spacing w:after="120"/>
              <w:rPr>
                <w:rFonts w:eastAsiaTheme="minorEastAsia"/>
                <w:color w:val="0070C0"/>
                <w:lang w:val="en-US" w:eastAsia="zh-CN"/>
              </w:rPr>
            </w:pPr>
            <w:hyperlink r:id="rId27" w:history="1">
              <w:r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hint="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hint="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hint="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6D6532" w:rsidP="006D6532">
            <w:pPr>
              <w:spacing w:after="120"/>
              <w:rPr>
                <w:rFonts w:eastAsiaTheme="minorEastAsia"/>
                <w:color w:val="0070C0"/>
                <w:lang w:val="en-US" w:eastAsia="zh-CN"/>
              </w:rPr>
            </w:pPr>
            <w:hyperlink r:id="rId28" w:history="1">
              <w:r w:rsidRPr="005D01E7">
                <w:rPr>
                  <w:rFonts w:ascii="Arial" w:eastAsia="Times New Roman" w:hAnsi="Arial" w:cs="Arial"/>
                  <w:sz w:val="16"/>
                  <w:szCs w:val="16"/>
                  <w:lang w:val="en-US" w:eastAsia="zh-CN"/>
                </w:rPr>
                <w:t>R4-2100</w:t>
              </w:r>
              <w:r>
                <w:rPr>
                  <w:rFonts w:ascii="Arial" w:eastAsia="Times New Roman" w:hAnsi="Arial" w:cs="Arial"/>
                  <w:sz w:val="16"/>
                  <w:szCs w:val="16"/>
                  <w:lang w:val="en-US" w:eastAsia="zh-CN"/>
                </w:rPr>
                <w:t>55</w:t>
              </w:r>
              <w:r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hint="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69EB3CA6" w14:textId="45AD3A21"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hint="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hint="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hint="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w:t>
            </w:r>
            <w:r>
              <w:rPr>
                <w:rFonts w:ascii="Arial" w:eastAsia="Times New Roman" w:hAnsi="Arial" w:cs="Arial"/>
                <w:sz w:val="16"/>
                <w:szCs w:val="16"/>
                <w:lang w:val="en-US" w:eastAsia="zh-CN"/>
              </w:rPr>
              <w:t>319</w:t>
            </w:r>
          </w:p>
        </w:tc>
        <w:tc>
          <w:tcPr>
            <w:tcW w:w="8399" w:type="dxa"/>
          </w:tcPr>
          <w:p w14:paraId="1C42B83B" w14:textId="6214CFA5"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hint="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w:t>
            </w:r>
            <w:r>
              <w:rPr>
                <w:rFonts w:ascii="Arial" w:eastAsia="Times New Roman" w:hAnsi="Arial" w:cs="Arial"/>
                <w:sz w:val="16"/>
                <w:szCs w:val="16"/>
                <w:lang w:val="en-US" w:eastAsia="zh-CN"/>
              </w:rPr>
              <w:t>20/21</w:t>
            </w:r>
          </w:p>
        </w:tc>
        <w:tc>
          <w:tcPr>
            <w:tcW w:w="8399" w:type="dxa"/>
          </w:tcPr>
          <w:p w14:paraId="079D8BA3" w14:textId="47EBB868"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hint="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w:t>
            </w:r>
            <w:r>
              <w:rPr>
                <w:rFonts w:ascii="Arial" w:eastAsia="Times New Roman" w:hAnsi="Arial" w:cs="Arial"/>
                <w:sz w:val="16"/>
                <w:szCs w:val="16"/>
                <w:lang w:val="en-US" w:eastAsia="zh-CN"/>
              </w:rPr>
              <w:t>849</w:t>
            </w:r>
          </w:p>
        </w:tc>
        <w:tc>
          <w:tcPr>
            <w:tcW w:w="8399" w:type="dxa"/>
          </w:tcPr>
          <w:p w14:paraId="50406751" w14:textId="6C547E4C"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hint="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0B2265" w:rsidP="00F14911">
            <w:pPr>
              <w:spacing w:after="0"/>
              <w:jc w:val="center"/>
              <w:rPr>
                <w:rFonts w:ascii="Arial" w:eastAsia="Times New Roman" w:hAnsi="Arial" w:cs="Arial"/>
                <w:sz w:val="16"/>
                <w:szCs w:val="16"/>
                <w:lang w:val="en-US" w:eastAsia="zh-CN"/>
              </w:rPr>
            </w:pPr>
            <w:hyperlink r:id="rId29" w:history="1">
              <w:r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0B2265" w:rsidP="00F14911">
            <w:pPr>
              <w:spacing w:after="0"/>
              <w:jc w:val="center"/>
              <w:rPr>
                <w:rFonts w:ascii="Arial" w:eastAsia="Times New Roman" w:hAnsi="Arial" w:cs="Arial"/>
                <w:sz w:val="16"/>
                <w:szCs w:val="16"/>
                <w:lang w:val="en-US" w:eastAsia="zh-CN"/>
              </w:rPr>
            </w:pPr>
            <w:hyperlink r:id="rId30" w:history="1">
              <w:r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0B2265" w:rsidP="00F14911">
            <w:pPr>
              <w:spacing w:after="0"/>
              <w:jc w:val="center"/>
              <w:rPr>
                <w:rFonts w:ascii="Arial" w:eastAsia="Times New Roman" w:hAnsi="Arial" w:cs="Arial"/>
                <w:sz w:val="16"/>
                <w:szCs w:val="16"/>
                <w:lang w:val="en-US" w:eastAsia="zh-CN"/>
              </w:rPr>
            </w:pPr>
            <w:hyperlink r:id="rId31" w:history="1">
              <w:r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0B2265" w:rsidP="00F14911">
            <w:pPr>
              <w:spacing w:after="0"/>
              <w:jc w:val="center"/>
              <w:rPr>
                <w:rFonts w:ascii="Arial" w:eastAsia="Times New Roman" w:hAnsi="Arial" w:cs="Arial"/>
                <w:sz w:val="16"/>
                <w:szCs w:val="16"/>
                <w:lang w:val="en-US" w:eastAsia="zh-CN"/>
              </w:rPr>
            </w:pPr>
            <w:hyperlink r:id="rId32" w:history="1">
              <w:r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0B2265" w:rsidP="00F14911">
            <w:pPr>
              <w:spacing w:after="0"/>
              <w:jc w:val="center"/>
              <w:rPr>
                <w:rFonts w:ascii="Arial" w:eastAsia="Times New Roman" w:hAnsi="Arial" w:cs="Arial"/>
                <w:sz w:val="16"/>
                <w:szCs w:val="16"/>
                <w:lang w:val="en-US" w:eastAsia="zh-CN"/>
              </w:rPr>
            </w:pPr>
            <w:hyperlink r:id="rId33" w:history="1">
              <w:r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0B2265" w:rsidP="00F14911">
            <w:pPr>
              <w:spacing w:after="0"/>
              <w:jc w:val="center"/>
              <w:rPr>
                <w:rFonts w:ascii="Arial" w:eastAsia="Times New Roman" w:hAnsi="Arial" w:cs="Arial"/>
                <w:sz w:val="16"/>
                <w:szCs w:val="16"/>
                <w:lang w:val="en-US" w:eastAsia="zh-CN"/>
              </w:rPr>
            </w:pPr>
            <w:hyperlink r:id="rId34" w:history="1">
              <w:r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0B2265" w:rsidP="00F14911">
            <w:pPr>
              <w:spacing w:after="0"/>
              <w:jc w:val="center"/>
              <w:rPr>
                <w:rFonts w:ascii="Arial" w:eastAsia="Times New Roman" w:hAnsi="Arial" w:cs="Arial"/>
                <w:sz w:val="16"/>
                <w:szCs w:val="16"/>
                <w:lang w:val="en-US" w:eastAsia="zh-CN"/>
              </w:rPr>
            </w:pPr>
            <w:hyperlink r:id="rId35" w:history="1">
              <w:r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A36935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No, keep as it is agreed now, i.e., 10MHz for SCS 15kHz, 40MHz for SCS 30kHz, 50MHz for SCS 60kHz, 100MHz for SCS 120kHz</w:t>
      </w:r>
    </w:p>
    <w:p w14:paraId="50947007" w14:textId="5F9AADD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 10MHz for SCS 30kHz, 50MHz for 60kHz, 50MHz for SCS 120kHz</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lastRenderedPageBreak/>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45638F" w:rsidP="009353C5">
            <w:pPr>
              <w:spacing w:after="120"/>
              <w:jc w:val="center"/>
              <w:rPr>
                <w:rFonts w:eastAsiaTheme="minorEastAsia"/>
                <w:color w:val="0070C0"/>
                <w:lang w:val="en-US" w:eastAsia="zh-CN"/>
              </w:rPr>
            </w:pPr>
            <w:hyperlink r:id="rId36" w:history="1">
              <w:r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4B14E8" w:rsidP="009353C5">
            <w:pPr>
              <w:spacing w:after="120"/>
              <w:jc w:val="center"/>
              <w:rPr>
                <w:rFonts w:eastAsiaTheme="minorEastAsia"/>
                <w:color w:val="0070C0"/>
                <w:lang w:val="en-US" w:eastAsia="zh-CN"/>
              </w:rPr>
            </w:pPr>
            <w:hyperlink r:id="rId37" w:history="1">
              <w:r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4B14E8" w:rsidP="009353C5">
            <w:pPr>
              <w:spacing w:after="120"/>
              <w:jc w:val="center"/>
              <w:rPr>
                <w:rFonts w:eastAsiaTheme="minorEastAsia"/>
                <w:color w:val="0070C0"/>
                <w:lang w:val="en-US" w:eastAsia="zh-CN"/>
              </w:rPr>
            </w:pPr>
            <w:hyperlink r:id="rId38" w:history="1">
              <w:r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hint="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4B14E8" w:rsidP="009353C5">
            <w:pPr>
              <w:spacing w:after="120"/>
              <w:jc w:val="center"/>
              <w:rPr>
                <w:rFonts w:eastAsiaTheme="minorEastAsia"/>
                <w:color w:val="0070C0"/>
                <w:lang w:val="en-US" w:eastAsia="zh-CN"/>
              </w:rPr>
            </w:pPr>
            <w:hyperlink r:id="rId39" w:history="1">
              <w:r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hint="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4B14E8" w:rsidP="009353C5">
            <w:pPr>
              <w:spacing w:after="120"/>
              <w:jc w:val="center"/>
              <w:rPr>
                <w:rFonts w:eastAsiaTheme="minorEastAsia"/>
                <w:color w:val="0070C0"/>
                <w:lang w:val="en-US" w:eastAsia="zh-CN"/>
              </w:rPr>
            </w:pPr>
            <w:hyperlink r:id="rId40" w:history="1">
              <w:r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hint="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hint="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hint="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8986" w14:textId="77777777" w:rsidR="004A7217" w:rsidRDefault="004A7217">
      <w:r>
        <w:separator/>
      </w:r>
    </w:p>
  </w:endnote>
  <w:endnote w:type="continuationSeparator" w:id="0">
    <w:p w14:paraId="755E49C3" w14:textId="77777777" w:rsidR="004A7217" w:rsidRDefault="004A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AF77" w14:textId="77777777" w:rsidR="004A7217" w:rsidRDefault="004A7217">
      <w:r>
        <w:separator/>
      </w:r>
    </w:p>
  </w:footnote>
  <w:footnote w:type="continuationSeparator" w:id="0">
    <w:p w14:paraId="083A05F9" w14:textId="77777777" w:rsidR="004A7217" w:rsidRDefault="004A7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E0A28"/>
    <w:rsid w:val="001E4218"/>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576F"/>
    <w:rsid w:val="00D8677F"/>
    <w:rsid w:val="00D943E8"/>
    <w:rsid w:val="00D97F0C"/>
    <w:rsid w:val="00DA3A86"/>
    <w:rsid w:val="00DA42F0"/>
    <w:rsid w:val="00DB7E20"/>
    <w:rsid w:val="00DC2500"/>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18EF"/>
    <w:rsid w:val="00F65582"/>
    <w:rsid w:val="00F66E75"/>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130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130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openxmlformats.org/officeDocument/2006/relationships/hyperlink" Target="https://www.3gpp.org/ftp/TSG_RAN/WG4_Radio/TSGR4_98_e/Docs/R4-2100931.zip" TargetMode="External"/><Relationship Id="rId40" Type="http://schemas.openxmlformats.org/officeDocument/2006/relationships/hyperlink" Target="https://www.3gpp.org/ftp/TSG_RAN/WG4_Radio/TSGR4_98_e/Docs/R4-2101306.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hyperlink" Target="https://www.3gpp.org/ftp/TSG_RAN/WG4_Radio/TSGR4_98_e/Docs/R4-2100582.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1170</TotalTime>
  <Pages>9</Pages>
  <Words>2226</Words>
  <Characters>12689</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cp:lastModifiedBy>
  <cp:revision>98</cp:revision>
  <cp:lastPrinted>2019-04-25T01:09:00Z</cp:lastPrinted>
  <dcterms:created xsi:type="dcterms:W3CDTF">2021-01-18T14:15:00Z</dcterms:created>
  <dcterms:modified xsi:type="dcterms:W3CDTF">2021-01-21T11:34:00Z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