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Arial" w:hAnsi="Arial" w:eastAsia="宋体" w:cs="Times New Roman"/>
          <w:b/>
          <w:bCs/>
          <w:sz w:val="24"/>
          <w:szCs w:val="24"/>
          <w:lang w:val="en-US" w:eastAsia="zh-CN"/>
        </w:rPr>
      </w:pPr>
      <w:bookmarkStart w:id="0" w:name="Title"/>
      <w:bookmarkEnd w:id="0"/>
      <w:bookmarkStart w:id="1" w:name="DocumentFor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ab/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>R4-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Meeting, Jan. 25-Feb. 5, 2021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hint="default"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7.4.4, 7.4.5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[9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8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209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NR_IAB_RRM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rFonts w:eastAsia="MS Mincho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Th</w:t>
      </w:r>
      <w:r>
        <w:rPr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e scope of this email</w:t>
      </w:r>
      <w:r>
        <w:rPr>
          <w:rFonts w:hint="eastAsia" w:eastAsia="MS Mincho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 xml:space="preserve"> discussion summary covers following agenda items.</w:t>
      </w:r>
    </w:p>
    <w:p>
      <w:pPr>
        <w:pStyle w:val="149"/>
        <w:ind w:firstLine="0" w:firstLineChars="0"/>
        <w:rPr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7.4.4</w:t>
      </w:r>
      <w:r>
        <w:rPr>
          <w:rFonts w:hint="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 xml:space="preserve"> RRM core requirements maintenance</w:t>
      </w:r>
    </w:p>
    <w:p>
      <w:pPr>
        <w:numPr>
          <w:ilvl w:val="0"/>
          <w:numId w:val="0"/>
        </w:numPr>
        <w:tabs>
          <w:tab w:val="left" w:pos="1560"/>
          <w:tab w:val="right" w:pos="10206"/>
        </w:tabs>
        <w:spacing w:before="60" w:after="60"/>
        <w:outlineLvl w:val="0"/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GB" w:eastAsia="ja-JP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7.4.5 </w:t>
      </w: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GB" w:eastAsia="ja-JP" w:bidi="ar-SA"/>
          <w14:textFill>
            <w14:solidFill>
              <w14:schemeClr w14:val="tx1"/>
            </w14:solidFill>
          </w14:textFill>
        </w:rPr>
        <w:t>RRM perf. requirements</w:t>
      </w:r>
    </w:p>
    <w:p>
      <w:pPr>
        <w:numPr>
          <w:ilvl w:val="0"/>
          <w:numId w:val="0"/>
        </w:numPr>
        <w:tabs>
          <w:tab w:val="left" w:pos="540"/>
          <w:tab w:val="left" w:pos="1985"/>
          <w:tab w:val="right" w:pos="10206"/>
        </w:tabs>
        <w:spacing w:before="60" w:after="60"/>
        <w:outlineLvl w:val="0"/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GB" w:eastAsia="ja-JP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7.4.5.1 </w:t>
      </w: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GB" w:eastAsia="ja-JP" w:bidi="ar-SA"/>
          <w14:textFill>
            <w14:solidFill>
              <w14:schemeClr w14:val="tx1"/>
            </w14:solidFill>
          </w14:textFill>
        </w:rPr>
        <w:t>General</w:t>
      </w: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GB" w:eastAsia="ja-JP" w:bidi="ar-SA"/>
          <w14:textFill>
            <w14:solidFill>
              <w14:schemeClr w14:val="tx1"/>
            </w14:solidFill>
          </w14:textFill>
        </w:rPr>
        <w:tab/>
      </w:r>
    </w:p>
    <w:p>
      <w:pPr>
        <w:pStyle w:val="149"/>
        <w:numPr>
          <w:ilvl w:val="0"/>
          <w:numId w:val="0"/>
        </w:numPr>
        <w:ind w:firstLine="528" w:firstLineChars="240"/>
        <w:rPr>
          <w:color w:val="0070C0"/>
          <w:lang w:eastAsia="zh-CN"/>
        </w:rPr>
      </w:pP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7.4.5.2 </w:t>
      </w:r>
      <w:r>
        <w:rPr>
          <w:rFonts w:hint="eastAsia" w:ascii="Times New Roman" w:hAnsi="Times New Roman" w:eastAsia="MS Mincho" w:cs="Times New Roman"/>
          <w:color w:val="000000" w:themeColor="text1"/>
          <w:sz w:val="22"/>
          <w:szCs w:val="22"/>
          <w:lang w:val="en-GB" w:eastAsia="ja-JP" w:bidi="ar-SA"/>
          <w14:textFill>
            <w14:solidFill>
              <w14:schemeClr w14:val="tx1"/>
            </w14:solidFill>
          </w14:textFill>
        </w:rPr>
        <w:t>Test cases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Core requirements maintenance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709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"https://www.3gpp.org/ftp/TSG_RAN/WG4_Radio/TSGR4_98_e/Docs/R4-2100041.zip"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R4-2100041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Observation 1: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 xml:space="preserve"> It was not the intention to add gap based requirements rather a mistake when preparing the TP.</w:t>
            </w:r>
          </w:p>
          <w:p>
            <w:pPr>
              <w:rPr>
                <w:rFonts w:ascii="Times New Roman" w:hAnsi="Times New Roman" w:eastAsia="Yu Mincho" w:cs="Times New Roma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Remove gap aspects from requirements in TS 38.174</w:t>
            </w: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"https://www.3gpp.org/ftp/TSG_RAN/WG4_Radio/TSGR4_98_e/Docs/R4-2100042.zip"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R4-2100042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[CR] IAB Core Maintenance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"https://www.3gpp.org/ftp/TSG_RAN/WG4_Radio/TSGR4_98_e/Docs/R4-2101626.zip"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R4-2101626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  <w:vAlign w:val="top"/>
          </w:tcPr>
          <w:p>
            <w:pPr>
              <w:rPr>
                <w:rFonts w:ascii="Times New Roman" w:hAnsi="Times New Roman" w:eastAsia="Yu Mincho" w:cs="Times New Roman"/>
              </w:rPr>
            </w:pPr>
            <w:r>
              <w:rPr>
                <w:rFonts w:cs="v4.2.0" w:eastAsiaTheme="minorEastAsia"/>
                <w:b/>
                <w:lang w:val="en-US" w:eastAsia="zh-CN"/>
              </w:rPr>
              <w:t>Proposal 1: Remove the gap aspects from the requirements and clarify that the evaluation period could be longer when MG is configured.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"https://www.3gpp.org/ftp/TSG_RAN/WG4_Radio/TSGR4_98_e/Docs/R4-2101627.zip"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R4-2101627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 on RRM core requirements maintenance for MG for IAB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"https://www.3gpp.org/ftp/TSG_RAN/WG4_Radio/TSGR4_98_e/Docs/R4-2102487.zip"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R4-2102487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cs="v4.2.0" w:eastAsiaTheme="minorEastAsia"/>
                <w:b/>
                <w:lang w:val="en-US" w:eastAsia="zh-CN"/>
              </w:rPr>
              <w:t xml:space="preserve">Proposal 1: </w:t>
            </w:r>
            <w:r>
              <w:rPr>
                <w:rFonts w:eastAsiaTheme="minorHAnsi"/>
                <w:b/>
                <w:bCs/>
                <w:iCs/>
                <w:szCs w:val="18"/>
                <w:lang w:val="en-US"/>
              </w:rPr>
              <w:t>Remove measurement gap aspects from requirements in 38.174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"https://www.3gpp.org/ftp/TSG_RAN/WG4_Radio/TSGR4_98_e/Docs/R4-2102488.zip"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R4-2102488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 on removing gap aspects from IAB-MT RRM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"https://www.3gpp.org/ftp/TSG_RAN/WG4_Radio/TSGR4_98_e/Docs/R4-2102635.zip"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R4-2102635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pStyle w:val="149"/>
              <w:numPr>
                <w:ilvl w:val="0"/>
                <w:numId w:val="4"/>
              </w:numPr>
              <w:spacing w:before="240"/>
              <w:ind w:left="357" w:hanging="357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Observation 1:</w:t>
            </w:r>
            <w:r>
              <w:rPr>
                <w:rFonts w:ascii="Times New Roman" w:hAnsi="Times New Roman"/>
                <w:szCs w:val="22"/>
              </w:rPr>
              <w:t xml:space="preserve"> IAB-MT RLM and link recovery requirements are impacted by the measurement gap configuration. But applicable measurement gaps for local area IAB-MT for meeting RLM and link recovery requirements are missing in TS 38.174.</w:t>
            </w:r>
          </w:p>
          <w:p>
            <w:pPr>
              <w:pStyle w:val="14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Proposal 1:</w:t>
            </w:r>
            <w:r>
              <w:rPr>
                <w:rFonts w:ascii="Times New Roman" w:hAnsi="Times New Roman"/>
                <w:szCs w:val="22"/>
              </w:rPr>
              <w:t xml:space="preserve"> Specify one applicable measurement gap configuration for local area IAB-MT for meeting RLM and link recovery requirements in TS 38.174 as shown in table 1.</w:t>
            </w:r>
          </w:p>
          <w:p>
            <w:pPr>
              <w:pStyle w:val="149"/>
              <w:keepNext/>
              <w:keepLines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Table 1: Measurement Gap Pattern Configurations</w:t>
            </w:r>
          </w:p>
          <w:tbl>
            <w:tblPr>
              <w:tblStyle w:val="49"/>
              <w:tblW w:w="4856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2313"/>
              <w:gridCol w:w="29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83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spacing w:before="120" w:after="120"/>
                    <w:jc w:val="center"/>
                    <w:rPr>
                      <w:rFonts w:ascii="Arial" w:hAnsi="Arial" w:eastAsia="宋体"/>
                      <w:b/>
                      <w:sz w:val="18"/>
                    </w:rPr>
                  </w:pPr>
                  <w:r>
                    <w:rPr>
                      <w:rFonts w:ascii="Arial" w:hAnsi="Arial" w:eastAsia="宋体"/>
                      <w:b/>
                      <w:sz w:val="18"/>
                    </w:rPr>
                    <w:t>Gap Pattern Id</w:t>
                  </w:r>
                </w:p>
              </w:tc>
              <w:tc>
                <w:tcPr>
                  <w:tcW w:w="18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spacing w:before="120" w:after="120"/>
                    <w:jc w:val="center"/>
                    <w:rPr>
                      <w:rFonts w:ascii="Arial" w:hAnsi="Arial" w:eastAsia="宋体"/>
                      <w:b/>
                      <w:sz w:val="18"/>
                    </w:rPr>
                  </w:pPr>
                  <w:r>
                    <w:rPr>
                      <w:rFonts w:ascii="Arial" w:hAnsi="Arial" w:eastAsia="宋体"/>
                      <w:b/>
                      <w:sz w:val="18"/>
                      <w:lang w:eastAsia="zh-CN"/>
                    </w:rPr>
                    <w:t xml:space="preserve">Measurement </w:t>
                  </w:r>
                  <w:r>
                    <w:rPr>
                      <w:rFonts w:ascii="Arial" w:hAnsi="Arial" w:eastAsia="宋体"/>
                      <w:b/>
                      <w:sz w:val="18"/>
                    </w:rPr>
                    <w:t>Gap Length (MGL, ms)</w:t>
                  </w:r>
                </w:p>
              </w:tc>
              <w:tc>
                <w:tcPr>
                  <w:tcW w:w="23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spacing w:before="120" w:after="120"/>
                    <w:jc w:val="center"/>
                    <w:rPr>
                      <w:rFonts w:ascii="Arial" w:hAnsi="Arial" w:eastAsia="宋体"/>
                      <w:b/>
                      <w:sz w:val="18"/>
                    </w:rPr>
                  </w:pPr>
                  <w:r>
                    <w:rPr>
                      <w:rFonts w:ascii="Arial" w:hAnsi="Arial" w:eastAsia="宋体"/>
                      <w:b/>
                      <w:sz w:val="18"/>
                      <w:lang w:eastAsia="zh-CN"/>
                    </w:rPr>
                    <w:t>Measurement</w:t>
                  </w:r>
                  <w:r>
                    <w:rPr>
                      <w:rFonts w:ascii="Arial" w:hAnsi="Arial" w:eastAsia="宋体"/>
                      <w:b/>
                      <w:sz w:val="18"/>
                    </w:rPr>
                    <w:t xml:space="preserve"> Gap Repetition Period (MGRP, 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83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eastAsia="宋体"/>
                      <w:snapToGrid w:val="0"/>
                      <w:sz w:val="18"/>
                    </w:rPr>
                  </w:pPr>
                  <w:r>
                    <w:rPr>
                      <w:rFonts w:ascii="Arial" w:hAnsi="Arial" w:eastAsia="宋体"/>
                      <w:snapToGrid w:val="0"/>
                      <w:sz w:val="18"/>
                    </w:rPr>
                    <w:t>0</w:t>
                  </w:r>
                </w:p>
              </w:tc>
              <w:tc>
                <w:tcPr>
                  <w:tcW w:w="18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eastAsia="宋体"/>
                      <w:snapToGrid w:val="0"/>
                      <w:sz w:val="18"/>
                    </w:rPr>
                  </w:pPr>
                  <w:r>
                    <w:rPr>
                      <w:rFonts w:ascii="Arial" w:hAnsi="Arial" w:eastAsia="宋体"/>
                      <w:snapToGrid w:val="0"/>
                      <w:sz w:val="18"/>
                    </w:rPr>
                    <w:t>6</w:t>
                  </w:r>
                </w:p>
              </w:tc>
              <w:tc>
                <w:tcPr>
                  <w:tcW w:w="234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eastAsia="宋体"/>
                      <w:snapToGrid w:val="0"/>
                      <w:sz w:val="18"/>
                    </w:rPr>
                  </w:pPr>
                  <w:r>
                    <w:rPr>
                      <w:rFonts w:ascii="Arial" w:hAnsi="Arial" w:eastAsia="宋体"/>
                      <w:snapToGrid w:val="0"/>
                      <w:sz w:val="18"/>
                    </w:rPr>
                    <w:t>40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Measurement gaps for Local Area IAB-MT</w:t>
            </w:r>
          </w:p>
        </w:tc>
      </w:tr>
    </w:tbl>
    <w:p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eastAsia="Yu Mincho" w:cs="Times New Roman"/>
        </w:rPr>
      </w:pPr>
    </w:p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Whether to remove gap patterns for IAB-MTs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szCs w:val="22"/>
          <w:lang w:val="en-US" w:eastAsia="zh-CN"/>
        </w:rPr>
        <w:t>Yes</w:t>
      </w:r>
      <w:r>
        <w:rPr>
          <w:rFonts w:hint="eastAsia" w:ascii="Times New Roman" w:hAnsi="Times New Roman" w:eastAsia="宋体"/>
          <w:szCs w:val="22"/>
          <w:lang w:val="en-US" w:eastAsia="zh-CN"/>
        </w:rPr>
        <w:t xml:space="preserve"> (</w:t>
      </w:r>
      <w:r>
        <w:rPr>
          <w:rFonts w:hint="eastAsia" w:eastAsia="宋体"/>
          <w:szCs w:val="22"/>
          <w:lang w:val="en-US" w:eastAsia="zh-CN"/>
        </w:rPr>
        <w:t>ZTE, Huawei, Nokia</w:t>
      </w:r>
      <w:r>
        <w:rPr>
          <w:rFonts w:hint="eastAsia" w:ascii="Times New Roman" w:hAnsi="Times New Roman" w:eastAsia="宋体"/>
          <w:szCs w:val="22"/>
          <w:lang w:val="en-US" w:eastAsia="zh-CN"/>
        </w:rPr>
        <w:t>)</w:t>
      </w:r>
    </w:p>
    <w:p>
      <w:pPr>
        <w:pStyle w:val="149"/>
        <w:numPr>
          <w:ilvl w:val="2"/>
          <w:numId w:val="5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/>
        </w:rPr>
        <w:t>Option 1a:</w:t>
      </w:r>
      <w:r>
        <w:rPr>
          <w:rFonts w:hint="eastAsia" w:eastAsia="宋体"/>
          <w:szCs w:val="22"/>
          <w:lang w:val="en-US" w:eastAsia="zh-CN"/>
        </w:rPr>
        <w:t xml:space="preserve"> Yes, and clarify that the evaluation period could be longer when MG is configured (Huawei)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</w:t>
      </w:r>
      <w:r>
        <w:rPr>
          <w:rFonts w:hint="eastAsia" w:eastAsia="宋体"/>
          <w:color w:val="0070C0"/>
          <w:szCs w:val="24"/>
          <w:lang w:val="en-US" w:eastAsia="zh-CN"/>
        </w:rPr>
        <w:t>2</w:t>
      </w:r>
      <w:r>
        <w:rPr>
          <w:rFonts w:eastAsia="宋体"/>
          <w:color w:val="0070C0"/>
          <w:szCs w:val="24"/>
          <w:lang w:eastAsia="zh-CN"/>
        </w:rPr>
        <w:t xml:space="preserve">: </w:t>
      </w:r>
      <w:r>
        <w:rPr>
          <w:rFonts w:hint="eastAsia" w:eastAsia="宋体"/>
          <w:szCs w:val="22"/>
          <w:lang w:val="en-US" w:eastAsia="zh-CN"/>
        </w:rPr>
        <w:t xml:space="preserve">No, specify that gap pattern 0 applies </w:t>
      </w:r>
      <w:r>
        <w:rPr>
          <w:rFonts w:hint="eastAsia" w:ascii="Times New Roman" w:hAnsi="Times New Roman" w:eastAsia="宋体"/>
          <w:szCs w:val="22"/>
          <w:lang w:val="en-US" w:eastAsia="zh-CN"/>
        </w:rPr>
        <w:t>(</w:t>
      </w:r>
      <w:r>
        <w:rPr>
          <w:rFonts w:hint="eastAsia" w:eastAsia="宋体"/>
          <w:szCs w:val="22"/>
          <w:lang w:val="en-US" w:eastAsia="zh-CN"/>
        </w:rPr>
        <w:t>Ericsson</w:t>
      </w:r>
      <w:r>
        <w:rPr>
          <w:rFonts w:hint="eastAsia" w:ascii="Times New Roman" w:hAnsi="Times New Roman" w:eastAsia="宋体"/>
          <w:szCs w:val="22"/>
          <w:lang w:val="en-US" w:eastAsia="zh-CN"/>
        </w:rPr>
        <w:t>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Can Option 1 be agreed?</w:t>
      </w:r>
    </w:p>
    <w:p>
      <w:pPr>
        <w:rPr>
          <w:i/>
          <w:color w:val="0070C0"/>
          <w:lang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"https://www.3gpp.org/ftp/TSG_RAN/WG4_Radio/TSGR4_98_e/Docs/R4-2100042.zip"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R4-2100042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"https://www.3gpp.org/ftp/TSG_RAN/WG4_Radio/TSGR4_98_e/Docs/R4-2101627.zip"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R4-2101627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"https://www.3gpp.org/ftp/TSG_RAN/WG4_Radio/TSGR4_98_e/Docs/R4-2102488.zip"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R4-2102488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val="en-US" w:eastAsia="zh-CN"/>
        </w:rPr>
        <w:t>General aspects of Perf. requirements and test cases for IAB-MTs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698"/>
        <w:gridCol w:w="6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6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6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"https://www.3gpp.org/ftp/TSG_RAN/WG4_Radio/TSGR4_98_e/Docs/R4-2100253.zip"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R4-2100253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6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Yu Mincho" w:asciiTheme="minorHAnsi" w:hAnsiTheme="minorHAnsi" w:cstheme="minorHAns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</w:t>
            </w:r>
          </w:p>
        </w:tc>
        <w:tc>
          <w:tcPr>
            <w:tcW w:w="6681" w:type="dxa"/>
            <w:vAlign w:val="top"/>
          </w:tcPr>
          <w:p>
            <w:pPr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Proposal 1: Discuss and finalize the above work split. Also discuss and finalize on the skeleton of the test cases in the specification.</w:t>
            </w:r>
          </w:p>
          <w:tbl>
            <w:tblPr>
              <w:tblStyle w:val="50"/>
              <w:tblW w:w="98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26"/>
              <w:gridCol w:w="32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6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lang w:val="en-US" w:eastAsia="zh-CN"/>
                    </w:rPr>
                    <w:t>Draft CRs / Big CRs</w:t>
                  </w:r>
                </w:p>
              </w:tc>
              <w:tc>
                <w:tcPr>
                  <w:tcW w:w="3217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  <w:t>Source Company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6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>RRC_CONNECTED state mobility for IAB-MTs</w:t>
                  </w:r>
                </w:p>
              </w:tc>
              <w:tc>
                <w:tcPr>
                  <w:tcW w:w="3217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6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  <w:t>Timing</w:t>
                  </w:r>
                </w:p>
              </w:tc>
              <w:tc>
                <w:tcPr>
                  <w:tcW w:w="3217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6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lang w:val="en-US" w:eastAsia="zh-CN"/>
                    </w:rPr>
                    <w:t>RLM</w:t>
                  </w:r>
                </w:p>
              </w:tc>
              <w:tc>
                <w:tcPr>
                  <w:tcW w:w="3217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6" w:type="dxa"/>
                </w:tcPr>
                <w:p>
                  <w:pPr>
                    <w:rPr>
                      <w:rFonts w:hint="default" w:eastAsia="宋体"/>
                      <w:b/>
                      <w:bCs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lang w:val="en-US" w:eastAsia="zh-CN"/>
                    </w:rPr>
                    <w:t>Link recovery</w:t>
                  </w:r>
                </w:p>
              </w:tc>
              <w:tc>
                <w:tcPr>
                  <w:tcW w:w="3217" w:type="dxa"/>
                </w:tcPr>
                <w:p>
                  <w:pP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6" w:type="dxa"/>
                </w:tcPr>
                <w:p>
                  <w:pP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sz w:val="20"/>
                      <w:szCs w:val="20"/>
                      <w:lang w:val="en-US" w:eastAsia="zh-CN"/>
                    </w:rPr>
                    <w:t>Test configurations</w:t>
                  </w:r>
                </w:p>
              </w:tc>
              <w:tc>
                <w:tcPr>
                  <w:tcW w:w="3217" w:type="dxa"/>
                </w:tcPr>
                <w:p>
                  <w:pPr>
                    <w:rPr>
                      <w:rFonts w:hint="eastAsia" w:eastAsia="宋体"/>
                      <w:b/>
                      <w:bCs w:val="0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Proposal 2: Discuss and settle down on the test configurations first.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Proposal 3: Test configurations for IAB-MTs shall take that of R16 UEs as baseline. IAB-MTs are to be tested under same test configurations which are specified for R16 UEs.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"https://www.3gpp.org/ftp/TSG_RAN/WG4_Radio/TSGR4_98_e/Docs/R4-2101628.zip"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R4-2101628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6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Yu Mincho" w:asciiTheme="minorHAnsi" w:hAnsiTheme="minorHAnsi" w:cstheme="minorHAns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681" w:type="dxa"/>
            <w:vAlign w:val="top"/>
          </w:tcPr>
          <w:p>
            <w:pPr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Proposal 1: The test cases and configurations related to the DRX should be removed.</w:t>
            </w:r>
          </w:p>
          <w:p>
            <w:pPr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 xml:space="preserve">Proposal 2:  The test cases and configurations related to DC and CA shall be removed. </w:t>
            </w:r>
          </w:p>
          <w:p>
            <w:pPr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Observation 1: It is preferred to follow the BS manner that the performance could be evaluated using one supported TDD patterns.</w:t>
            </w:r>
          </w:p>
          <w:p>
            <w:pPr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Proposal 4: It is suggested that the TDD pattern and related configurations shall be configurable and left for implementation including:</w:t>
            </w:r>
          </w:p>
          <w:p>
            <w:pPr>
              <w:pStyle w:val="149"/>
              <w:numPr>
                <w:ilvl w:val="0"/>
                <w:numId w:val="6"/>
              </w:numPr>
              <w:ind w:firstLineChars="0"/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DL/UL scheduling related configuration</w:t>
            </w:r>
          </w:p>
          <w:p>
            <w:pPr>
              <w:pStyle w:val="149"/>
              <w:numPr>
                <w:ilvl w:val="0"/>
                <w:numId w:val="6"/>
              </w:numPr>
              <w:ind w:firstLineChars="0"/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PRACH and SRS configuration</w:t>
            </w:r>
          </w:p>
          <w:p>
            <w:pPr>
              <w:pStyle w:val="149"/>
              <w:numPr>
                <w:ilvl w:val="0"/>
                <w:numId w:val="6"/>
              </w:numPr>
              <w:ind w:firstLineChars="0"/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SSB/CSI-RS offset</w:t>
            </w:r>
          </w:p>
          <w:p>
            <w:pPr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Proposal 5: The performance requirements for IAB RRM are independent with the UE conformance testing spec and the corresponding part shall be removed when taking the TS 38.133 annex as the baseline.</w:t>
            </w:r>
          </w:p>
          <w:p>
            <w:pPr>
              <w:rPr>
                <w:b/>
                <w:highlight w:val="none"/>
                <w:lang w:val="en-US"/>
              </w:rPr>
            </w:pPr>
            <w:r>
              <w:rPr>
                <w:b/>
                <w:highlight w:val="none"/>
                <w:lang w:val="en-US"/>
              </w:rPr>
              <w:t xml:space="preserve">Proposal 6: AoA related configurations are based on declaration. Only indicate the number of AoAs in the test cases. </w:t>
            </w:r>
          </w:p>
          <w:p>
            <w:pPr>
              <w:rPr>
                <w:rFonts w:cs="v4.2.0" w:eastAsiaTheme="minorEastAsia"/>
                <w:b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Proposal 7: It is suggested not to have separate test cases for timing advance for both type of IAB-MT.</w:t>
            </w:r>
          </w:p>
          <w:p>
            <w:pPr>
              <w:rPr>
                <w:rFonts w:cs="v4.2.0" w:eastAsiaTheme="minorEastAsia"/>
                <w:b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Proposal 8: Only define performance test cases for LA IAB-MT.</w:t>
            </w:r>
          </w:p>
          <w:tbl>
            <w:tblPr>
              <w:tblStyle w:val="49"/>
              <w:tblW w:w="841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9"/>
              <w:gridCol w:w="2211"/>
              <w:gridCol w:w="1138"/>
              <w:gridCol w:w="31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60"/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  <w:t>RRM Test cases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60"/>
                    <w:jc w:val="center"/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  <w:t xml:space="preserve">Related RRM Requirements 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60"/>
                    <w:jc w:val="center"/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  <w:t>Applicability</w:t>
                  </w:r>
                </w:p>
              </w:tc>
              <w:tc>
                <w:tcPr>
                  <w:tcW w:w="31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60"/>
                    <w:jc w:val="center"/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 w:eastAsia="zh-CN"/>
                    </w:rPr>
                    <w:t>Companies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RRC Re-establishment in FR1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12.1.1.1 SA: RRC Re-establishment</w:t>
                  </w:r>
                </w:p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RRC Re-establishment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RRC Connection Release with Redirection to NR in FR1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12.1.1.3 SA: RRC Connection Release with Redirection to NR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Huawei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RRC Connection Release with Redirection to NR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IAB-MT transmit timing in FR1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12.2.1 IAB-MT transmit timing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IAB-MT transmit timing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OOS with SSB in FR1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050"/>
                    </w:tabs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12.3.1.2 Requirements for SSB based radio link monitoring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OOS with SSB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IS with SSB in FR1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IS with SSB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OOS with CSI-RS in FR1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050"/>
                    </w:tabs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12.3.1.3 Requirements for CSI-RS based radio link monitoring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OOS with CSI-RS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IS with CSI-RS in FR1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RLM IS with CSI-RS in FR2</w:t>
                  </w:r>
                </w:p>
              </w:tc>
              <w:tc>
                <w:tcPr>
                  <w:tcW w:w="22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Beam Failure Detection and Link Recovery with SSB in FR1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050"/>
                    </w:tabs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12.3.2.2 Requirements for SSB based beam failure detection</w:t>
                  </w:r>
                </w:p>
                <w:p>
                  <w:pPr>
                    <w:tabs>
                      <w:tab w:val="left" w:pos="1050"/>
                    </w:tabs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12.3.2.5 Requirements for SSB based candidate beam detection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Beam Failure Detection and Link Recovery with CSI-RS in FR1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050"/>
                    </w:tabs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12.3.2.3 Requirements for CSI-RS based beam failure detection</w:t>
                  </w:r>
                </w:p>
                <w:p>
                  <w:pPr>
                    <w:tabs>
                      <w:tab w:val="left" w:pos="1050"/>
                    </w:tabs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12.3.2.6 Requirements for CSI-RS based candidate beam detection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1-H LA</w:t>
                  </w:r>
                </w:p>
              </w:tc>
              <w:tc>
                <w:tcPr>
                  <w:tcW w:w="31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Beam Failure Detection and Link Recovery with SSB in FR2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050"/>
                    </w:tabs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12.3.2.2 Requirements for SSB based beam failure detection</w:t>
                  </w:r>
                </w:p>
                <w:p>
                  <w:pPr>
                    <w:tabs>
                      <w:tab w:val="left" w:pos="1050"/>
                    </w:tabs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12.3.2.5 Requirements for SSB based candidate beam detection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ind w:hanging="22"/>
                    <w:jc w:val="both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Beam Failure Detection and Link Recovery with CSI-RS in FR2</w:t>
                  </w:r>
                </w:p>
              </w:tc>
              <w:tc>
                <w:tcPr>
                  <w:tcW w:w="22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050"/>
                    </w:tabs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12.3.2.3 Requirements for CSI-RS based beam failure detection</w:t>
                  </w:r>
                </w:p>
                <w:p>
                  <w:pPr>
                    <w:tabs>
                      <w:tab w:val="left" w:pos="1050"/>
                    </w:tabs>
                    <w:spacing w:after="0"/>
                    <w:rPr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sz w:val="16"/>
                      <w:szCs w:val="16"/>
                      <w:lang w:val="en-US" w:eastAsia="zh-CN"/>
                    </w:rPr>
                    <w:t>12.3.2.6 Requirements for CSI-RS based candidate beam detection</w:t>
                  </w:r>
                </w:p>
              </w:tc>
              <w:tc>
                <w:tcPr>
                  <w:tcW w:w="11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  <w:t xml:space="preserve">2-O </w:t>
                  </w:r>
                  <w:r>
                    <w:rPr>
                      <w:sz w:val="16"/>
                      <w:szCs w:val="16"/>
                      <w:lang w:val="en-US" w:eastAsia="zh-CN"/>
                    </w:rPr>
                    <w:t>LA</w:t>
                  </w:r>
                </w:p>
              </w:tc>
              <w:tc>
                <w:tcPr>
                  <w:tcW w:w="31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eastAsia="宋体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Yu Mincho" w:asciiTheme="minorHAnsi" w:hAnsiTheme="minorHAnsi" w:cstheme="minorHAnsi"/>
                <w:highlight w:val="none"/>
                <w:lang w:val="en-US" w:eastAsia="zh-CN"/>
              </w:rPr>
            </w:pPr>
            <w:r>
              <w:rPr>
                <w:rFonts w:cs="v4.2.0" w:eastAsiaTheme="minorEastAsia"/>
                <w:b/>
                <w:highlight w:val="none"/>
                <w:lang w:val="en-US" w:eastAsia="zh-CN"/>
              </w:rPr>
              <w:t>Proposal 9: Define the test cases in the above Table I for IAB.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"https://www.3gpp.org/ftp/TSG_RAN/WG4_Radio/TSGR4_98_e/Docs/R4-2101629.zip"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R4-2101629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6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Yu Mincho" w:asciiTheme="minorHAnsi" w:hAnsiTheme="minorHAnsi" w:cstheme="minorHAns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68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v4.2.0" w:eastAsiaTheme="minorEastAsia"/>
                <w:b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draftCR to introduce test configurations for IAB-MT RRM performance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"https://www.3gpp.org/ftp/TSG_RAN/WG4_Radio/TSGR4_98_e/Docs/R4-2102489.zip"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R4-2102489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6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Yu Mincho" w:asciiTheme="minorHAnsi" w:hAnsiTheme="minorHAnsi" w:cstheme="minorHAns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6681" w:type="dxa"/>
            <w:vAlign w:val="top"/>
          </w:tcPr>
          <w:p>
            <w:pPr>
              <w:pStyle w:val="154"/>
              <w:numPr>
                <w:numId w:val="0"/>
              </w:numPr>
              <w:spacing w:after="200" w:line="240" w:lineRule="auto"/>
              <w:rPr>
                <w:rFonts w:eastAsiaTheme="minorHAnsi"/>
                <w:iCs/>
                <w:szCs w:val="18"/>
              </w:rPr>
            </w:pPr>
            <w:r>
              <w:rPr>
                <w:rFonts w:cs="v4.2.0" w:eastAsiaTheme="minorEastAsia"/>
                <w:b/>
                <w:lang w:val="en-US" w:eastAsia="zh-CN"/>
              </w:rPr>
              <w:t xml:space="preserve">Proposal </w:t>
            </w:r>
            <w:r>
              <w:rPr>
                <w:rFonts w:hint="eastAsia" w:cs="v4.2.0" w:eastAsiaTheme="minorEastAsia"/>
                <w:b/>
                <w:lang w:val="en-US" w:eastAsia="zh-CN"/>
              </w:rPr>
              <w:t>1</w:t>
            </w:r>
            <w:r>
              <w:rPr>
                <w:rFonts w:cs="v4.2.0" w:eastAsiaTheme="minorEastAsia"/>
                <w:b/>
                <w:lang w:val="en-US" w:eastAsia="zh-CN"/>
              </w:rPr>
              <w:t xml:space="preserve">: </w:t>
            </w:r>
            <w:r>
              <w:rPr>
                <w:rFonts w:eastAsiaTheme="minorHAnsi"/>
                <w:iCs/>
                <w:szCs w:val="18"/>
              </w:rPr>
              <w:t>High level split for RRM IAB-MT test cases could be defined as below:</w:t>
            </w:r>
          </w:p>
          <w:tbl>
            <w:tblPr>
              <w:tblStyle w:val="50"/>
              <w:tblW w:w="864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6"/>
              <w:gridCol w:w="2574"/>
              <w:gridCol w:w="2074"/>
              <w:gridCol w:w="22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rFonts w:eastAsia="Yu Mincho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>Draft CRs / Big CRs for the test cases</w:t>
                  </w:r>
                </w:p>
              </w:tc>
              <w:tc>
                <w:tcPr>
                  <w:tcW w:w="25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>Related RRM core requirements</w:t>
                  </w: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>Applicable Rule</w:t>
                  </w:r>
                </w:p>
              </w:tc>
              <w:tc>
                <w:tcPr>
                  <w:tcW w:w="22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zh-CN"/>
                    </w:rPr>
                    <w:t xml:space="preserve">Volunteer </w:t>
                  </w:r>
                  <w:r>
                    <w:rPr>
                      <w:b/>
                      <w:sz w:val="18"/>
                      <w:szCs w:val="18"/>
                      <w:lang w:eastAsia="zh-CN"/>
                    </w:rPr>
                    <w:t>Company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5"/>
                      <w:szCs w:val="15"/>
                    </w:rPr>
                    <w:t>RRC_CONNECTED state mobility for IAB-MTs</w:t>
                  </w:r>
                </w:p>
              </w:tc>
              <w:tc>
                <w:tcPr>
                  <w:tcW w:w="25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12.1.1.1</w:t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ab/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>SA: RRC Re-establishment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12.1.1.3</w:t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ab/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>SA: RRC Connection Release with Redirection</w:t>
                  </w: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Use 38.133 RLM test cases as baseline and extend the evaluation period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>Timing</w:t>
                  </w:r>
                </w:p>
              </w:tc>
              <w:tc>
                <w:tcPr>
                  <w:tcW w:w="25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12.2.1</w:t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ab/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>IAB-MT transmit timing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12.2.3</w:t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ab/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>IAB-MT timing advance</w:t>
                  </w: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Refer to 38.133 link recovery test cases in SA</w:t>
                  </w:r>
                </w:p>
              </w:tc>
              <w:tc>
                <w:tcPr>
                  <w:tcW w:w="22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>RLM</w:t>
                  </w:r>
                </w:p>
              </w:tc>
              <w:tc>
                <w:tcPr>
                  <w:tcW w:w="25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12.3.1</w:t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ab/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>Radio Link Monitoring</w:t>
                  </w: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Use 38.133 RLM test cases as baseline and extend the evaluation period</w:t>
                  </w:r>
                </w:p>
              </w:tc>
              <w:tc>
                <w:tcPr>
                  <w:tcW w:w="22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Nokia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sz w:val="18"/>
                      <w:szCs w:val="18"/>
                      <w:lang w:eastAsia="zh-CN"/>
                    </w:rPr>
                    <w:t>Link recovery</w:t>
                  </w:r>
                </w:p>
              </w:tc>
              <w:tc>
                <w:tcPr>
                  <w:tcW w:w="25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12.3.2</w:t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ab/>
                  </w:r>
                  <w:r>
                    <w:rPr>
                      <w:bCs/>
                      <w:sz w:val="18"/>
                      <w:szCs w:val="18"/>
                      <w:lang w:eastAsia="zh-CN"/>
                    </w:rPr>
                    <w:t>Link Recovery Procedure</w:t>
                  </w: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Refer to 38.133 link recovery test cases in SA</w:t>
                  </w:r>
                </w:p>
              </w:tc>
              <w:tc>
                <w:tcPr>
                  <w:tcW w:w="22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zh-CN"/>
                    </w:rPr>
                    <w:t>Test configurations</w:t>
                  </w:r>
                </w:p>
              </w:tc>
              <w:tc>
                <w:tcPr>
                  <w:tcW w:w="25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bCs/>
                      <w:sz w:val="18"/>
                      <w:szCs w:val="18"/>
                      <w:lang w:eastAsia="zh-CN"/>
                    </w:rPr>
                    <w:t>Use 38.133 test configuration as baseline, define the IAB-MT’s specific test configurations in 38.174, others can refer to 38.133 directly.</w:t>
                  </w:r>
                </w:p>
              </w:tc>
              <w:tc>
                <w:tcPr>
                  <w:tcW w:w="22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hint="default" w:eastAsia="Yu Mincho" w:asciiTheme="minorHAnsi" w:hAnsiTheme="minorHAnsi" w:cstheme="minorHAnsi"/>
                <w:lang w:val="en-US" w:eastAsia="zh-CN"/>
              </w:rPr>
            </w:pPr>
            <w:r>
              <w:rPr>
                <w:rFonts w:cs="v4.2.0" w:eastAsiaTheme="minorEastAsia"/>
                <w:b/>
                <w:lang w:val="en-US" w:eastAsia="zh-CN"/>
              </w:rPr>
              <w:t xml:space="preserve">Proposal </w:t>
            </w:r>
            <w:r>
              <w:rPr>
                <w:rFonts w:hint="eastAsia" w:cs="v4.2.0" w:eastAsiaTheme="minorEastAsia"/>
                <w:b/>
                <w:lang w:val="en-US" w:eastAsia="zh-CN"/>
              </w:rPr>
              <w:t>2</w:t>
            </w:r>
            <w:r>
              <w:rPr>
                <w:rFonts w:cs="v4.2.0" w:eastAsiaTheme="minorEastAsia"/>
                <w:b/>
                <w:lang w:val="en-US" w:eastAsia="zh-CN"/>
              </w:rPr>
              <w:t xml:space="preserve">: </w:t>
            </w:r>
            <w:r>
              <w:rPr>
                <w:b/>
                <w:bCs/>
              </w:rPr>
              <w:t>Use UE test configurations as baseline and define the specific and simplified test configurations for IAB-MT.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"https://www.3gpp.org/ftp/TSG_RAN/WG4_Radio/TSGR4_98_e/Docs/R4-2102640.zip"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R4-2102640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6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681" w:type="dxa"/>
            <w:vAlign w:val="top"/>
          </w:tcPr>
          <w:p>
            <w:pPr>
              <w:pStyle w:val="14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rPr>
                <w:rFonts w:ascii="Times New Roman" w:hAnsi="Times New Roman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Cs w:val="22"/>
                <w:highlight w:val="none"/>
              </w:rPr>
              <w:t>Proposal 1: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In IAB-MT RRM test requirements are derived using the corresponding configuration parameters as example. </w:t>
            </w:r>
          </w:p>
          <w:p>
            <w:pPr>
              <w:pStyle w:val="14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rPr>
                <w:rFonts w:ascii="Times New Roman" w:hAnsi="Times New Roman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Cs w:val="22"/>
                <w:highlight w:val="none"/>
              </w:rPr>
              <w:t>Proposal 2: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 The actual IAB-MT RRM test can be conducted by any set of configuration parameters and corresponding test requirements shall be based on the actual configuration parameters used in the test. </w:t>
            </w:r>
          </w:p>
          <w:p>
            <w:pPr>
              <w:pStyle w:val="149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rPr>
                <w:rFonts w:eastAsia="Yu Mincho" w:asciiTheme="minorHAnsi" w:hAnsiTheme="minorHAnsi" w:cstheme="minorHAnsi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Cs w:val="22"/>
                <w:highlight w:val="none"/>
              </w:rPr>
              <w:t>Proposal 3:</w:t>
            </w:r>
            <w:r>
              <w:rPr>
                <w:rFonts w:ascii="Times New Roman" w:hAnsi="Times New Roman"/>
                <w:szCs w:val="22"/>
                <w:highlight w:val="none"/>
              </w:rPr>
              <w:t xml:space="preserve"> In IAB-MT RRM tests only one serving cell shall be considered.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"https://www.3gpp.org/ftp/TSG_RAN/WG4_Radio/TSGR4_98_e/Docs/R4-2102936.zip"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R4-2102936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6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Qualcomm CDMA Technologies</w:t>
            </w:r>
          </w:p>
        </w:tc>
        <w:tc>
          <w:tcPr>
            <w:tcW w:w="668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 w:asciiTheme="minorHAnsi" w:hAnsiTheme="minorHAnsi" w:cstheme="minorHAnsi"/>
                <w:highlight w:val="none"/>
              </w:rPr>
            </w:pPr>
            <w:r>
              <w:rPr>
                <w:rFonts w:hint="eastAsia"/>
                <w:b/>
                <w:bCs/>
                <w:lang w:eastAsia="ja-JP"/>
              </w:rPr>
              <w:t>O</w:t>
            </w:r>
            <w:r>
              <w:rPr>
                <w:b/>
                <w:bCs/>
                <w:lang w:eastAsia="ja-JP"/>
              </w:rPr>
              <w:t>bservation: more study is needed to find a compromise between fulfilling the IAB-RRM performance requirement  and the time it takes to publish the performance specification.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  <w:lang w:val="en-US" w:eastAsia="zh-CN"/>
        </w:rPr>
        <w:t>1 Test configurations</w:t>
      </w: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2-1</w:t>
      </w:r>
      <w:r>
        <w:rPr>
          <w:rFonts w:hint="eastAsia"/>
          <w:b/>
          <w:color w:val="0070C0"/>
          <w:u w:val="single"/>
          <w:lang w:val="en-US" w:eastAsia="zh-CN"/>
        </w:rPr>
        <w:t>-1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Principles for test configurations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/>
          <w:b w:val="0"/>
          <w:bCs/>
          <w:sz w:val="20"/>
          <w:szCs w:val="20"/>
          <w:lang w:val="en-US" w:eastAsia="zh-CN"/>
        </w:rPr>
        <w:t>Test configurations for IAB-MTs shall take that of R16 UEs as baseline. IAB-MTs are to be tested under specific and simplified test configurations which are specified for R16 UEs.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(ZTE, Nokia)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Is Option 1 agreeable as a general principle?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</w:t>
      </w:r>
      <w:r>
        <w:rPr>
          <w:rFonts w:hint="eastAsia"/>
          <w:b/>
          <w:color w:val="0070C0"/>
          <w:u w:val="single"/>
          <w:lang w:val="en-US" w:eastAsia="zh-CN"/>
        </w:rPr>
        <w:t>-1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TDD configuration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(Huawei, Ericsso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/>
        </w:rPr>
        <w:t>n)</w:t>
      </w:r>
      <w:r>
        <w:rPr>
          <w:rFonts w:hint="eastAsia" w:ascii="Times New Roman" w:hAnsi="Times New Roman" w:eastAsia="宋体" w:cs="Times New Roman"/>
          <w:color w:val="0070C0"/>
          <w:szCs w:val="24"/>
          <w:lang w:eastAsia="zh-CN"/>
        </w:rPr>
        <w:t xml:space="preserve">: 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color w:val="0070C0"/>
          <w:szCs w:val="24"/>
          <w:lang w:eastAsia="zh-CN"/>
        </w:rPr>
        <w:t>est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color w:val="0070C0"/>
          <w:szCs w:val="24"/>
          <w:lang w:eastAsia="zh-CN"/>
        </w:rPr>
        <w:t xml:space="preserve"> can be done for any TDD configuration.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70C0"/>
          <w:szCs w:val="24"/>
          <w:lang w:eastAsia="zh-CN"/>
        </w:rPr>
        <w:t>TD</w:t>
      </w:r>
      <w:r>
        <w:rPr>
          <w:rFonts w:hint="eastAsia" w:eastAsia="宋体"/>
          <w:color w:val="0070C0"/>
          <w:szCs w:val="24"/>
          <w:lang w:eastAsia="zh-CN"/>
        </w:rPr>
        <w:t>D pattern and related configurations shall be configurable and left for implementation including</w:t>
      </w:r>
    </w:p>
    <w:p>
      <w:pPr>
        <w:pStyle w:val="149"/>
        <w:numPr>
          <w:ilvl w:val="2"/>
          <w:numId w:val="5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DL/UL scheduling related configuration</w:t>
      </w:r>
    </w:p>
    <w:p>
      <w:pPr>
        <w:pStyle w:val="149"/>
        <w:numPr>
          <w:ilvl w:val="2"/>
          <w:numId w:val="5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PRACH and SRS configuration</w:t>
      </w:r>
    </w:p>
    <w:p>
      <w:pPr>
        <w:pStyle w:val="149"/>
        <w:numPr>
          <w:ilvl w:val="2"/>
          <w:numId w:val="5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SSB/CSI-RS offset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</w:t>
      </w:r>
    </w:p>
    <w:p>
      <w:pPr>
        <w:rPr>
          <w:i/>
          <w:color w:val="0070C0"/>
          <w:lang w:eastAsia="zh-CN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</w:t>
      </w:r>
      <w:r>
        <w:rPr>
          <w:rFonts w:hint="eastAsia"/>
          <w:b/>
          <w:color w:val="0070C0"/>
          <w:u w:val="single"/>
          <w:lang w:val="en-US" w:eastAsia="zh-CN"/>
        </w:rPr>
        <w:t>-1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Number of serving cells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eastAsia="zh-CN"/>
        </w:rPr>
        <w:t>In IAB-MT RRM tests only one serving cell shall be considered</w:t>
      </w:r>
      <w:r>
        <w:rPr>
          <w:rFonts w:hint="eastAsia" w:eastAsia="宋体"/>
          <w:color w:val="0070C0"/>
          <w:szCs w:val="24"/>
          <w:lang w:val="en-US" w:eastAsia="zh-CN"/>
        </w:rPr>
        <w:t>. However, there can be more than one cell in some tests to account for a target cell e.g. RRC re-establishment and RRC release with redirection. (Ericsson)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</w:t>
      </w:r>
      <w:r>
        <w:rPr>
          <w:rFonts w:hint="eastAsia"/>
          <w:b/>
          <w:color w:val="0070C0"/>
          <w:u w:val="single"/>
          <w:lang w:val="en-US" w:eastAsia="zh-CN"/>
        </w:rPr>
        <w:t>-1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Requirements in test cases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 w:eastAsia="宋体"/>
          <w:color w:val="0070C0"/>
          <w:szCs w:val="24"/>
          <w:lang w:eastAsia="zh-CN"/>
        </w:rPr>
        <w:t>In IAB-MT RRM test requirements are derived using the corresponding configuration parameters as example. The actual IAB-MT RRM test can be conducted by any set of configuration parameters and corresponding test requirements shall be based on the actual configuration parameters used in the test.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(Huawei, Ericsson)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Can Option 1 be agreed?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</w:t>
      </w:r>
      <w:r>
        <w:rPr>
          <w:rFonts w:hint="eastAsia"/>
          <w:b/>
          <w:color w:val="0070C0"/>
          <w:u w:val="single"/>
          <w:lang w:val="en-US" w:eastAsia="zh-CN"/>
        </w:rPr>
        <w:t>-1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AoA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eastAsia="zh-CN"/>
        </w:rPr>
        <w:t>AoA related configurations are based on declaration. Only indicate the number of AoAs in the test cases.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  <w:lang w:val="en-US" w:eastAsia="zh-CN"/>
        </w:rPr>
        <w:t>2 Scope and Work split</w:t>
      </w: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2-1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DRX, CA and DC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No</w:t>
      </w:r>
      <w:r>
        <w:rPr>
          <w:rFonts w:hint="eastAsia" w:eastAsia="宋体"/>
          <w:color w:val="0070C0"/>
          <w:szCs w:val="24"/>
          <w:lang w:eastAsia="zh-CN"/>
        </w:rPr>
        <w:t xml:space="preserve"> test cases and configurations </w:t>
      </w:r>
      <w:r>
        <w:rPr>
          <w:rFonts w:hint="eastAsia" w:eastAsia="宋体"/>
          <w:color w:val="0070C0"/>
          <w:szCs w:val="24"/>
          <w:lang w:val="en-US" w:eastAsia="zh-CN"/>
        </w:rPr>
        <w:t>defined with</w:t>
      </w:r>
      <w:r>
        <w:rPr>
          <w:rFonts w:hint="eastAsia" w:eastAsia="宋体"/>
          <w:color w:val="0070C0"/>
          <w:szCs w:val="24"/>
          <w:lang w:eastAsia="zh-CN"/>
        </w:rPr>
        <w:t xml:space="preserve"> DRX</w:t>
      </w:r>
      <w:r>
        <w:rPr>
          <w:rFonts w:hint="eastAsia" w:eastAsia="宋体"/>
          <w:color w:val="0070C0"/>
          <w:szCs w:val="24"/>
          <w:lang w:val="en-US" w:eastAsia="zh-CN"/>
        </w:rPr>
        <w:t>, CA or DC</w:t>
      </w:r>
      <w:r>
        <w:rPr>
          <w:rFonts w:hint="eastAsia" w:eastAsia="宋体"/>
          <w:color w:val="0070C0"/>
          <w:szCs w:val="24"/>
          <w:lang w:eastAsia="zh-CN"/>
        </w:rPr>
        <w:t>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Can Option 1 be agreed?</w:t>
      </w:r>
    </w:p>
    <w:p>
      <w:pPr>
        <w:pStyle w:val="149"/>
        <w:numPr>
          <w:numId w:val="0"/>
        </w:numPr>
        <w:overflowPunct/>
        <w:autoSpaceDE/>
        <w:autoSpaceDN/>
        <w:adjustRightInd/>
        <w:spacing w:after="120"/>
        <w:ind w:left="1080" w:left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Conformance tests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eastAsia="zh-CN"/>
        </w:rPr>
        <w:t>The performance requirements for IAB RRM are independent with the UE conformance testing spec and the corresponding part shall be removed when taking the TS 38.133 annex as the baseline.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As previously agreed, no conformance tests are specified for IAB-MTs. If that</w:t>
      </w:r>
      <w:r>
        <w:rPr>
          <w:rFonts w:hint="default" w:eastAsia="宋体"/>
          <w:color w:val="0070C0"/>
          <w:szCs w:val="24"/>
          <w:lang w:val="en-US" w:eastAsia="zh-CN"/>
        </w:rPr>
        <w:t>’</w:t>
      </w:r>
      <w:r>
        <w:rPr>
          <w:rFonts w:hint="eastAsia" w:eastAsia="宋体"/>
          <w:color w:val="0070C0"/>
          <w:szCs w:val="24"/>
          <w:lang w:val="en-US" w:eastAsia="zh-CN"/>
        </w:rPr>
        <w:t>s what Option 1 is proposing then no need to further discuss.</w:t>
      </w:r>
    </w:p>
    <w:p>
      <w:pPr>
        <w:pStyle w:val="149"/>
        <w:numPr>
          <w:numId w:val="0"/>
        </w:numPr>
        <w:overflowPunct/>
        <w:autoSpaceDE/>
        <w:autoSpaceDN/>
        <w:adjustRightInd/>
        <w:spacing w:after="120"/>
        <w:ind w:left="1080" w:left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pStyle w:val="149"/>
        <w:numPr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2-3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Timing advance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N</w:t>
      </w:r>
      <w:r>
        <w:rPr>
          <w:rFonts w:hint="eastAsia" w:eastAsia="宋体"/>
          <w:color w:val="0070C0"/>
          <w:szCs w:val="24"/>
          <w:lang w:eastAsia="zh-CN"/>
        </w:rPr>
        <w:t>ot to have separate test cases for timing advance for both type of IAB-MT.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</w:t>
      </w:r>
    </w:p>
    <w:p/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2-4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Applicability of test cases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eastAsia="zh-CN"/>
        </w:rPr>
        <w:t>Only define performance test cases for LA IAB-MT.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(Huawei)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</w:t>
      </w:r>
    </w:p>
    <w:p>
      <w:pPr>
        <w:rPr>
          <w:b/>
          <w:color w:val="0070C0"/>
          <w:u w:val="single"/>
          <w:lang w:eastAsia="ko-KR"/>
        </w:rPr>
      </w:pP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2-5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Scope and work split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Only split for different features (ZTE)</w:t>
      </w:r>
    </w:p>
    <w:tbl>
      <w:tblPr>
        <w:tblStyle w:val="50"/>
        <w:tblW w:w="5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18"/>
                <w:szCs w:val="18"/>
                <w:lang w:val="en-US" w:eastAsia="zh-CN"/>
              </w:rPr>
              <w:t>Draft CRs / Big CRs</w:t>
            </w:r>
          </w:p>
        </w:tc>
        <w:tc>
          <w:tcPr>
            <w:tcW w:w="168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Source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b/>
                <w:bCs w:val="0"/>
                <w:sz w:val="15"/>
                <w:szCs w:val="15"/>
              </w:rPr>
              <w:t>RRC_CONNECTED state mobility for IAB-MTs</w:t>
            </w:r>
          </w:p>
        </w:tc>
        <w:tc>
          <w:tcPr>
            <w:tcW w:w="168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Timing</w:t>
            </w:r>
          </w:p>
        </w:tc>
        <w:tc>
          <w:tcPr>
            <w:tcW w:w="168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18"/>
                <w:szCs w:val="18"/>
                <w:lang w:val="en-US" w:eastAsia="zh-CN"/>
              </w:rPr>
              <w:t>RLM</w:t>
            </w:r>
          </w:p>
        </w:tc>
        <w:tc>
          <w:tcPr>
            <w:tcW w:w="168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18"/>
                <w:szCs w:val="18"/>
                <w:lang w:val="en-US" w:eastAsia="zh-CN"/>
              </w:rPr>
              <w:t>Link recovery</w:t>
            </w:r>
          </w:p>
        </w:tc>
        <w:tc>
          <w:tcPr>
            <w:tcW w:w="168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Test configurations</w:t>
            </w:r>
          </w:p>
        </w:tc>
        <w:tc>
          <w:tcPr>
            <w:tcW w:w="168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宋体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hint="eastAsia" w:eastAsia="宋体"/>
          <w:color w:val="0070C0"/>
          <w:szCs w:val="24"/>
          <w:lang w:val="en-US" w:eastAsia="zh-CN"/>
        </w:rPr>
        <w:t>(Huawei)</w:t>
      </w:r>
    </w:p>
    <w:tbl>
      <w:tblPr>
        <w:tblStyle w:val="49"/>
        <w:tblW w:w="6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795"/>
        <w:gridCol w:w="1138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RRM Test cases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 xml:space="preserve">Related RRM Requirements 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Applicability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Companies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RRC Re-establishment in FR1</w:t>
            </w: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12.1.1.1 SA: RRC Re-establishment</w:t>
            </w:r>
          </w:p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RRC Re-establishment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RRC Connection Release with Redirection to NR in FR1</w:t>
            </w: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12.1.1.3 SA: RRC Connection Release with Redirection to NR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RRC Connection Release with Redirection to NR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IAB-MT transmit timing in FR1</w:t>
            </w: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12.2.1 IAB-MT transmit timing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IAB-MT transmit timing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OOS with SSB in FR1</w:t>
            </w: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0"/>
              </w:tabs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12.3.1.2 Requirements for SSB based radio link monitoring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OOS with SSB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IS with SSB in FR1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IS with SSB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OOS with CSI-RS in FR1</w:t>
            </w: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0"/>
              </w:tabs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12.3.1.3 Requirements for CSI-RS based radio link monitoring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OOS with CSI-RS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IS with CSI-RS in FR1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RLM IS with CSI-RS in FR2</w:t>
            </w: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Beam Failure Detection and Link Recovery with SSB in FR1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0"/>
              </w:tabs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12.3.2.2 Requirements for SSB based beam failure detection</w:t>
            </w:r>
          </w:p>
          <w:p>
            <w:pPr>
              <w:tabs>
                <w:tab w:val="left" w:pos="1050"/>
              </w:tabs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12.3.2.5 Requirements for SSB based candidate beam detection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Beam Failure Detection and Link Recovery with CSI-RS in FR1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0"/>
              </w:tabs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12.3.2.3 Requirements for CSI-RS based beam failure detection</w:t>
            </w:r>
          </w:p>
          <w:p>
            <w:pPr>
              <w:tabs>
                <w:tab w:val="left" w:pos="1050"/>
              </w:tabs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12.3.2.6 Requirements for CSI-RS based candidate beam detection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1-H LA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Beam Failure Detection and Link Recovery with SSB in FR2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0"/>
              </w:tabs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12.3.2.2 Requirements for SSB based beam failure detection</w:t>
            </w:r>
          </w:p>
          <w:p>
            <w:pPr>
              <w:tabs>
                <w:tab w:val="left" w:pos="1050"/>
              </w:tabs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12.3.2.5 Requirements for SSB based candidate beam detection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hanging="22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Beam Failure Detection and Link Recovery with CSI-RS in FR2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0"/>
              </w:tabs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12.3.2.3 Requirements for CSI-RS based beam failure detection</w:t>
            </w:r>
          </w:p>
          <w:p>
            <w:pPr>
              <w:tabs>
                <w:tab w:val="left" w:pos="1050"/>
              </w:tabs>
              <w:spacing w:after="0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12.3.2.6 Requirements for CSI-RS based candidate beam detection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2-O </w:t>
            </w:r>
            <w:r>
              <w:rPr>
                <w:sz w:val="16"/>
                <w:szCs w:val="16"/>
                <w:lang w:val="en-US" w:eastAsia="zh-CN"/>
              </w:rPr>
              <w:t>LA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3 (Nokia)</w:t>
      </w:r>
    </w:p>
    <w:tbl>
      <w:tblPr>
        <w:tblStyle w:val="50"/>
        <w:tblW w:w="7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74"/>
        <w:gridCol w:w="207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eastAsia="Yu Mincho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Draft CRs / Big CRs for the test cases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Related RRM core requirements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Applicable Rule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Volunteer </w:t>
            </w:r>
            <w:r>
              <w:rPr>
                <w:b/>
                <w:sz w:val="18"/>
                <w:szCs w:val="18"/>
                <w:lang w:eastAsia="zh-CN"/>
              </w:rPr>
              <w:t>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5"/>
                <w:szCs w:val="15"/>
              </w:rPr>
              <w:t>RRC_CONNECTED state mobility for IAB-MTs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12.1.1.1</w:t>
            </w:r>
            <w:r>
              <w:rPr>
                <w:bCs/>
                <w:sz w:val="18"/>
                <w:szCs w:val="18"/>
                <w:lang w:eastAsia="zh-CN"/>
              </w:rPr>
              <w:tab/>
            </w:r>
            <w:r>
              <w:rPr>
                <w:bCs/>
                <w:sz w:val="18"/>
                <w:szCs w:val="18"/>
                <w:lang w:eastAsia="zh-CN"/>
              </w:rPr>
              <w:t>SA: RRC Re-establishment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12.1.1.3</w:t>
            </w:r>
            <w:r>
              <w:rPr>
                <w:bCs/>
                <w:sz w:val="18"/>
                <w:szCs w:val="18"/>
                <w:lang w:eastAsia="zh-CN"/>
              </w:rPr>
              <w:tab/>
            </w:r>
            <w:r>
              <w:rPr>
                <w:bCs/>
                <w:sz w:val="18"/>
                <w:szCs w:val="18"/>
                <w:lang w:eastAsia="zh-CN"/>
              </w:rPr>
              <w:t>SA: RRC Connection Release with Redirection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Use 38.133 RLM test cases as baseline and extend the evaluation period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Timing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12.2.1</w:t>
            </w:r>
            <w:r>
              <w:rPr>
                <w:bCs/>
                <w:sz w:val="18"/>
                <w:szCs w:val="18"/>
                <w:lang w:eastAsia="zh-CN"/>
              </w:rPr>
              <w:tab/>
            </w:r>
            <w:r>
              <w:rPr>
                <w:bCs/>
                <w:sz w:val="18"/>
                <w:szCs w:val="18"/>
                <w:lang w:eastAsia="zh-CN"/>
              </w:rPr>
              <w:t>IAB-MT transmit timing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12.2.3</w:t>
            </w:r>
            <w:r>
              <w:rPr>
                <w:bCs/>
                <w:sz w:val="18"/>
                <w:szCs w:val="18"/>
                <w:lang w:eastAsia="zh-CN"/>
              </w:rPr>
              <w:tab/>
            </w:r>
            <w:r>
              <w:rPr>
                <w:bCs/>
                <w:sz w:val="18"/>
                <w:szCs w:val="18"/>
                <w:lang w:eastAsia="zh-CN"/>
              </w:rPr>
              <w:t>IAB-MT timing advance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Refer to 38.133 link recovery test cases in SA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RLM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12.3.1</w:t>
            </w:r>
            <w:r>
              <w:rPr>
                <w:bCs/>
                <w:sz w:val="18"/>
                <w:szCs w:val="18"/>
                <w:lang w:eastAsia="zh-CN"/>
              </w:rPr>
              <w:tab/>
            </w:r>
            <w:r>
              <w:rPr>
                <w:bCs/>
                <w:sz w:val="18"/>
                <w:szCs w:val="18"/>
                <w:lang w:eastAsia="zh-CN"/>
              </w:rPr>
              <w:t>Radio Link Monitoring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Use 38.133 RLM test cases as baseline and extend the evaluation period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Link recovery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12.3.2</w:t>
            </w:r>
            <w:r>
              <w:rPr>
                <w:bCs/>
                <w:sz w:val="18"/>
                <w:szCs w:val="18"/>
                <w:lang w:eastAsia="zh-CN"/>
              </w:rPr>
              <w:tab/>
            </w:r>
            <w:r>
              <w:rPr>
                <w:bCs/>
                <w:sz w:val="18"/>
                <w:szCs w:val="18"/>
                <w:lang w:eastAsia="zh-CN"/>
              </w:rPr>
              <w:t>Link Recovery Procedure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Refer to 38.133 link recovery test cases in SA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Test configurations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Use 38.133 test configuration as baseline, define the IAB-MT’s specific test configurations in 38.174, others can refer to 38.133 directly.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  <w:lang w:eastAsia="zh-CN"/>
              </w:rPr>
            </w:pPr>
          </w:p>
        </w:tc>
      </w:tr>
    </w:tbl>
    <w:p>
      <w:pPr>
        <w:pStyle w:val="149"/>
        <w:numPr>
          <w:numId w:val="0"/>
        </w:numPr>
        <w:overflowPunct/>
        <w:autoSpaceDE/>
        <w:autoSpaceDN/>
        <w:adjustRightInd/>
        <w:spacing w:after="120"/>
        <w:ind w:left="1080" w:left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2-1-1: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2-1-2: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2-1-3: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2-1-4: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2-1-5: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2-2-1: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2-2-2: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2-2-3: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2-2-4: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2-2-5: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R4-2101629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R4-2101629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rFonts w:ascii="Arial" w:hAnsi="Arial"/>
          <w:lang w:val="sv-SE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val="en-US" w:eastAsia="zh-CN"/>
        </w:rPr>
        <w:t>3</w:t>
      </w:r>
      <w:r>
        <w:rPr>
          <w:lang w:eastAsia="ja-JP"/>
        </w:rPr>
        <w:t xml:space="preserve">: </w:t>
      </w:r>
      <w:r>
        <w:rPr>
          <w:rFonts w:hint="eastAsia"/>
          <w:lang w:val="en-US" w:eastAsia="zh-CN"/>
        </w:rPr>
        <w:t>Specifying test cases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709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"https://www.3gpp.org/ftp/TSG_RAN/WG4_Radio/TSGR4_98_e/Docs/R4-2100046.zip"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R4-2100046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[draft CR] Test cases for timing for IAB-MT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"https://www.3gpp.org/ftp/TSG_RAN/WG4_Radio/TSGR4_98_e/Docs/R4-2101630.zip"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R4-2101630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draftCR to introduce test cases for RRC release with redirection for IAB-MT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"https://www.3gpp.org/ftp/TSG_RAN/WG4_Radio/TSGR4_98_e/Docs/R4-2102490.zip"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R4-2102490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draftCR on IAB RLM test cases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Big CR: IAB-MT RRM test cases in 38.174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"https://www.3gpp.org/ftp/TSG_RAN/WG4_Radio/TSGR4_98_e/Docs/R4-2102638.zip"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R4-2102638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pStyle w:val="149"/>
              <w:numPr>
                <w:ilvl w:val="0"/>
                <w:numId w:val="4"/>
              </w:numPr>
              <w:spacing w:before="240"/>
              <w:ind w:left="357" w:hanging="357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Proposal 1:</w:t>
            </w:r>
            <w:r>
              <w:rPr>
                <w:rFonts w:ascii="Times New Roman" w:hAnsi="Times New Roman"/>
                <w:szCs w:val="22"/>
              </w:rPr>
              <w:t xml:space="preserve"> Following test cases are defined to verify RRC re-establishment requirements in clause 12.1.1.1, TS 38.174:</w:t>
            </w:r>
          </w:p>
          <w:p>
            <w:pPr>
              <w:pStyle w:val="149"/>
              <w:numPr>
                <w:ilvl w:val="1"/>
                <w:numId w:val="7"/>
              </w:numPr>
              <w:spacing w:before="12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TC1: Inter-frequency RRC Re-establishment in FR1 for LA IAB-MT and IAB type 1-H</w:t>
            </w:r>
          </w:p>
          <w:p>
            <w:pPr>
              <w:pStyle w:val="149"/>
              <w:numPr>
                <w:ilvl w:val="1"/>
                <w:numId w:val="7"/>
              </w:numPr>
              <w:spacing w:before="12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TC2: Intra-frequency RRC Re-establishment in FR1 without serving cell timing for LA IAB-MT and IAB type 1-H</w:t>
            </w:r>
          </w:p>
          <w:p>
            <w:pPr>
              <w:pStyle w:val="149"/>
              <w:numPr>
                <w:ilvl w:val="1"/>
                <w:numId w:val="7"/>
              </w:numPr>
              <w:spacing w:before="120"/>
              <w:contextualSpacing w:val="0"/>
              <w:rPr>
                <w:rFonts w:ascii="Times New Roman" w:hAnsi="Times New Roman" w:eastAsia="Yu Mincho" w:cs="Times New Roman"/>
              </w:rPr>
            </w:pPr>
            <w:r>
              <w:rPr>
                <w:rFonts w:ascii="Times New Roman" w:hAnsi="Times New Roman"/>
                <w:szCs w:val="22"/>
              </w:rPr>
              <w:t>TC3: Inter-frequency RRC Re-establishment in FR2 for LA IAB-MT and IAB type 1-O</w:t>
            </w:r>
          </w:p>
          <w:p>
            <w:pPr>
              <w:pStyle w:val="149"/>
              <w:numPr>
                <w:ilvl w:val="1"/>
                <w:numId w:val="7"/>
              </w:numPr>
              <w:spacing w:before="120"/>
              <w:contextualSpacing w:val="0"/>
              <w:rPr>
                <w:rFonts w:ascii="Times New Roman" w:hAnsi="Times New Roman" w:eastAsia="Yu Mincho" w:cs="Times New Roman"/>
              </w:rPr>
            </w:pPr>
            <w:r>
              <w:rPr>
                <w:rFonts w:ascii="Times New Roman" w:hAnsi="Times New Roman"/>
                <w:szCs w:val="22"/>
              </w:rPr>
              <w:t>TC4: Intra-frequency RRC Re-establishment in FR2 without serving cell timing for LA IAB-MT and IAB type 1-O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Yu Mincho" w:cs="Times New Roma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RRC re-establishment tests for LA IAB-MT</w:t>
            </w:r>
          </w:p>
        </w:tc>
      </w:tr>
    </w:tbl>
    <w:p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eastAsia="Yu Mincho" w:cs="Times New Roman"/>
        </w:rPr>
      </w:pPr>
    </w:p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 w:eastAsia="zh-CN"/>
        </w:rPr>
        <w:t>3</w:t>
      </w:r>
      <w:r>
        <w:rPr>
          <w:sz w:val="24"/>
          <w:szCs w:val="16"/>
        </w:rPr>
        <w:t>-1</w:t>
      </w: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b/>
          <w:color w:val="0070C0"/>
          <w:u w:val="single"/>
          <w:lang w:val="en-US" w:eastAsia="zh-CN"/>
        </w:rPr>
        <w:t>TCs for RRC re-establishment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ascii="Times New Roman" w:hAnsi="Times New Roman" w:eastAsia="宋体"/>
          <w:szCs w:val="22"/>
          <w:lang w:val="en-US" w:eastAsia="zh-CN"/>
        </w:rPr>
        <w:t>(</w:t>
      </w:r>
      <w:r>
        <w:rPr>
          <w:rFonts w:hint="eastAsia" w:eastAsia="宋体"/>
          <w:szCs w:val="22"/>
          <w:lang w:val="en-US" w:eastAsia="zh-CN"/>
        </w:rPr>
        <w:t>Ericsson</w:t>
      </w:r>
      <w:r>
        <w:rPr>
          <w:rFonts w:hint="eastAsia" w:ascii="Times New Roman" w:hAnsi="Times New Roman" w:eastAsia="宋体"/>
          <w:szCs w:val="22"/>
          <w:lang w:val="en-US" w:eastAsia="zh-CN"/>
        </w:rPr>
        <w:t>)</w:t>
      </w:r>
      <w:r>
        <w:rPr>
          <w:rFonts w:hint="eastAsia" w:eastAsia="宋体"/>
          <w:color w:val="0070C0"/>
          <w:szCs w:val="24"/>
          <w:lang w:eastAsia="zh-CN"/>
        </w:rPr>
        <w:t>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Following test cases are defined to verify RRC re-establishment requirements in clause 12.1.1.1, TS 38.174: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TC1: Inter-frequency RRC Re-establishment in FR1 for LA IAB-MT and IAB type 1-H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TC2: Intra-frequency RRC Re-establishment in FR1 without serving cell timing for LA IAB-MT and IAB type 1-H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TC3: Inter-frequency RRC Re-establishment in FR2 for LA IAB-MT and IAB type 1-O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eastAsia="zh-CN"/>
        </w:rPr>
        <w:t>TC4: Intra-frequency RRC Re-establishment in FR2 without serving cell timing for LA IAB-MT and IAB type 1-O</w:t>
      </w:r>
      <w:r>
        <w:rPr>
          <w:rFonts w:hint="eastAsia" w:eastAsia="宋体"/>
          <w:szCs w:val="22"/>
          <w:lang w:val="en-US" w:eastAsia="zh-CN"/>
        </w:rPr>
        <w:t xml:space="preserve"> </w:t>
      </w:r>
    </w:p>
    <w:p>
      <w:pPr>
        <w:pStyle w:val="149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Can Option 1 be agreed?</w:t>
      </w:r>
    </w:p>
    <w:p>
      <w:pPr>
        <w:rPr>
          <w:i/>
          <w:color w:val="0070C0"/>
          <w:lang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Issue 3-1: 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bookmarkStart w:id="2" w:name="_GoBack" w:colFirst="0" w:colLast="0"/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"https://www.3gpp.org/ftp/TSG_RAN/WG4_Radio/TSGR4_98_e/Docs/R4-2100046.zip"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R4-2100046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"https://www.3gpp.org/ftp/TSG_RAN/WG4_Radio/TSGR4_98_e/Docs/R4-2101630.zip"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R4-2101630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"https://www.3gpp.org/ftp/TSG_RAN/WG4_Radio/TSGR4_98_e/Docs/R4-2102490.zip"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R4-2102490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"https://www.3gpp.org/ftp/TSG_RAN/WG4_Radio/TSGR4_98_e/Docs/R4-2102639.zip"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R4-2102639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rPr>
          <w:rFonts w:ascii="Arial" w:hAnsi="Arial"/>
          <w:lang w:val="sv-SE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Arial"/>
    <w:panose1 w:val="020B0604020202020204"/>
    <w:charset w:val="81"/>
    <w:family w:val="modern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153"/>
    <w:multiLevelType w:val="multilevel"/>
    <w:tmpl w:val="323C7153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3401490C"/>
    <w:multiLevelType w:val="multilevel"/>
    <w:tmpl w:val="3401490C"/>
    <w:lvl w:ilvl="0" w:tentative="0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BA278F4"/>
    <w:multiLevelType w:val="multilevel"/>
    <w:tmpl w:val="3BA278F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4D6E3167"/>
    <w:multiLevelType w:val="multilevel"/>
    <w:tmpl w:val="4D6E3167"/>
    <w:lvl w:ilvl="0" w:tentative="0">
      <w:start w:val="1"/>
      <w:numFmt w:val="decimal"/>
      <w:pStyle w:val="153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44281"/>
    <w:multiLevelType w:val="multilevel"/>
    <w:tmpl w:val="4DA44281"/>
    <w:lvl w:ilvl="0" w:tentative="0">
      <w:start w:val="1"/>
      <w:numFmt w:val="decimal"/>
      <w:pStyle w:val="154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4B6E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1702714"/>
    <w:rsid w:val="01C961F9"/>
    <w:rsid w:val="03A158D8"/>
    <w:rsid w:val="04C069D8"/>
    <w:rsid w:val="0A7920B4"/>
    <w:rsid w:val="0ACE7887"/>
    <w:rsid w:val="0B18142D"/>
    <w:rsid w:val="0CEC44D2"/>
    <w:rsid w:val="0D013626"/>
    <w:rsid w:val="0D1E4032"/>
    <w:rsid w:val="0DC71FC3"/>
    <w:rsid w:val="0E3D0C60"/>
    <w:rsid w:val="0F05545D"/>
    <w:rsid w:val="15FB2A6F"/>
    <w:rsid w:val="16AA3E0E"/>
    <w:rsid w:val="18561D56"/>
    <w:rsid w:val="18A9005D"/>
    <w:rsid w:val="19F21CA3"/>
    <w:rsid w:val="1B0330D3"/>
    <w:rsid w:val="1B286E14"/>
    <w:rsid w:val="1BB443B1"/>
    <w:rsid w:val="1D0C40A0"/>
    <w:rsid w:val="1FAE3FE8"/>
    <w:rsid w:val="1FE652D3"/>
    <w:rsid w:val="201B45E0"/>
    <w:rsid w:val="21887D91"/>
    <w:rsid w:val="2268492A"/>
    <w:rsid w:val="249E3FE7"/>
    <w:rsid w:val="25364CB0"/>
    <w:rsid w:val="25754BC1"/>
    <w:rsid w:val="25ED1F2E"/>
    <w:rsid w:val="275329DE"/>
    <w:rsid w:val="28342BAE"/>
    <w:rsid w:val="28C022B1"/>
    <w:rsid w:val="2B0C77AA"/>
    <w:rsid w:val="2C0544F6"/>
    <w:rsid w:val="2C7465A9"/>
    <w:rsid w:val="2FD467FB"/>
    <w:rsid w:val="30A71F81"/>
    <w:rsid w:val="31157852"/>
    <w:rsid w:val="31984985"/>
    <w:rsid w:val="32FC1CCF"/>
    <w:rsid w:val="33393FC0"/>
    <w:rsid w:val="355804B1"/>
    <w:rsid w:val="36623D70"/>
    <w:rsid w:val="37DA653F"/>
    <w:rsid w:val="398E221E"/>
    <w:rsid w:val="3AB01693"/>
    <w:rsid w:val="3B5E6E2C"/>
    <w:rsid w:val="3D8B2D6D"/>
    <w:rsid w:val="3EAF4921"/>
    <w:rsid w:val="3F2B596B"/>
    <w:rsid w:val="3FF4325B"/>
    <w:rsid w:val="403117CC"/>
    <w:rsid w:val="40B648D4"/>
    <w:rsid w:val="423927A5"/>
    <w:rsid w:val="42F10241"/>
    <w:rsid w:val="4325190D"/>
    <w:rsid w:val="43C938EB"/>
    <w:rsid w:val="44820332"/>
    <w:rsid w:val="44974737"/>
    <w:rsid w:val="45612A73"/>
    <w:rsid w:val="45C03BA9"/>
    <w:rsid w:val="466E73ED"/>
    <w:rsid w:val="478335F6"/>
    <w:rsid w:val="48BF523A"/>
    <w:rsid w:val="48DD1A45"/>
    <w:rsid w:val="49550964"/>
    <w:rsid w:val="496516DC"/>
    <w:rsid w:val="4CEA0C85"/>
    <w:rsid w:val="4D31072C"/>
    <w:rsid w:val="4D9D5874"/>
    <w:rsid w:val="4E3406D7"/>
    <w:rsid w:val="4F917A00"/>
    <w:rsid w:val="53DE5622"/>
    <w:rsid w:val="542264D1"/>
    <w:rsid w:val="572A426C"/>
    <w:rsid w:val="5B410830"/>
    <w:rsid w:val="5B8A4238"/>
    <w:rsid w:val="5C3A2FC1"/>
    <w:rsid w:val="5DEB38EB"/>
    <w:rsid w:val="5ED20211"/>
    <w:rsid w:val="5F104A1F"/>
    <w:rsid w:val="603276EB"/>
    <w:rsid w:val="604940EF"/>
    <w:rsid w:val="61B10D1A"/>
    <w:rsid w:val="62072B42"/>
    <w:rsid w:val="62F26A6D"/>
    <w:rsid w:val="6363151E"/>
    <w:rsid w:val="63A02316"/>
    <w:rsid w:val="649B0D85"/>
    <w:rsid w:val="66D25CD7"/>
    <w:rsid w:val="676F4948"/>
    <w:rsid w:val="6A731CEC"/>
    <w:rsid w:val="6AEE01A3"/>
    <w:rsid w:val="6BA80287"/>
    <w:rsid w:val="6C38392D"/>
    <w:rsid w:val="6ED333A3"/>
    <w:rsid w:val="6EDC31BC"/>
    <w:rsid w:val="6F7E43D9"/>
    <w:rsid w:val="6FED11E8"/>
    <w:rsid w:val="708C1A33"/>
    <w:rsid w:val="7161049B"/>
    <w:rsid w:val="72193B57"/>
    <w:rsid w:val="729960C2"/>
    <w:rsid w:val="72AE321C"/>
    <w:rsid w:val="73C76B36"/>
    <w:rsid w:val="742B4ACD"/>
    <w:rsid w:val="74CB2A0C"/>
    <w:rsid w:val="74D05969"/>
    <w:rsid w:val="77514D59"/>
    <w:rsid w:val="797D0C7B"/>
    <w:rsid w:val="7A223492"/>
    <w:rsid w:val="7EA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uiPriority w:val="0"/>
  </w:style>
  <w:style w:type="paragraph" w:customStyle="1" w:styleId="86">
    <w:name w:val="B3"/>
    <w:basedOn w:val="12"/>
    <w:uiPriority w:val="0"/>
  </w:style>
  <w:style w:type="paragraph" w:customStyle="1" w:styleId="87">
    <w:name w:val="B4"/>
    <w:basedOn w:val="43"/>
    <w:uiPriority w:val="0"/>
  </w:style>
  <w:style w:type="paragraph" w:customStyle="1" w:styleId="88">
    <w:name w:val="B5"/>
    <w:basedOn w:val="42"/>
    <w:uiPriority w:val="0"/>
  </w:style>
  <w:style w:type="paragraph" w:customStyle="1" w:styleId="89">
    <w:name w:val="ZTD"/>
    <w:basedOn w:val="78"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uiPriority w:val="0"/>
    <w:pPr>
      <w:framePr w:y="16161"/>
    </w:pPr>
  </w:style>
  <w:style w:type="paragraph" w:customStyle="1" w:styleId="91">
    <w:name w:val="INDENT1"/>
    <w:basedOn w:val="1"/>
    <w:uiPriority w:val="0"/>
    <w:pPr>
      <w:ind w:left="851"/>
    </w:pPr>
  </w:style>
  <w:style w:type="paragraph" w:customStyle="1" w:styleId="92">
    <w:name w:val="INDENT2"/>
    <w:basedOn w:val="1"/>
    <w:uiPriority w:val="0"/>
    <w:pPr>
      <w:ind w:left="1135" w:hanging="284"/>
    </w:pPr>
  </w:style>
  <w:style w:type="paragraph" w:customStyle="1" w:styleId="93">
    <w:name w:val="INDENT3"/>
    <w:basedOn w:val="1"/>
    <w:uiPriority w:val="0"/>
    <w:pPr>
      <w:ind w:left="1701" w:hanging="567"/>
    </w:pPr>
  </w:style>
  <w:style w:type="paragraph" w:customStyle="1" w:styleId="94">
    <w:name w:val="Figure_Title"/>
    <w:basedOn w:val="1"/>
    <w:next w:val="1"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uiPriority w:val="0"/>
    <w:pPr>
      <w:keepNext/>
      <w:keepLines/>
    </w:pPr>
    <w:rPr>
      <w:b/>
    </w:rPr>
  </w:style>
  <w:style w:type="paragraph" w:customStyle="1" w:styleId="96">
    <w:name w:val="enumlev2"/>
    <w:basedOn w:val="1"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uiPriority w:val="0"/>
  </w:style>
  <w:style w:type="paragraph" w:customStyle="1" w:styleId="99">
    <w:name w:val="Guidance"/>
    <w:basedOn w:val="1"/>
    <w:link w:val="105"/>
    <w:uiPriority w:val="0"/>
    <w:rPr>
      <w:i/>
      <w:color w:val="0000FF"/>
      <w:lang w:val="zh-CN"/>
    </w:rPr>
  </w:style>
  <w:style w:type="character" w:customStyle="1" w:styleId="100">
    <w:name w:val="TAL Char"/>
    <w:link w:val="66"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uiPriority w:val="99"/>
    <w:rPr>
      <w:lang w:val="en-GB" w:eastAsia="en-US"/>
    </w:rPr>
  </w:style>
  <w:style w:type="character" w:customStyle="1" w:styleId="109">
    <w:name w:val="批注主题 Char"/>
    <w:basedOn w:val="108"/>
    <w:uiPriority w:val="0"/>
    <w:rPr>
      <w:lang w:val="en-GB" w:eastAsia="en-US"/>
    </w:rPr>
  </w:style>
  <w:style w:type="paragraph" w:customStyle="1" w:styleId="110">
    <w:name w:val="Revision"/>
    <w:hidden/>
    <w:semiHidden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uiPriority w:val="0"/>
    <w:rPr>
      <w:lang w:val="en-GB"/>
    </w:rPr>
  </w:style>
  <w:style w:type="character" w:customStyle="1" w:styleId="121">
    <w:name w:val="Caption Char2"/>
    <w:link w:val="28"/>
    <w:uiPriority w:val="0"/>
    <w:rPr>
      <w:b/>
      <w:lang w:val="en-GB"/>
    </w:rPr>
  </w:style>
  <w:style w:type="character" w:customStyle="1" w:styleId="122">
    <w:name w:val="Heading 3 Char"/>
    <w:link w:val="4"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AN4 proposal"/>
    <w:basedOn w:val="28"/>
    <w:next w:val="1"/>
    <w:qFormat/>
    <w:uiPriority w:val="0"/>
    <w:pPr>
      <w:numPr>
        <w:ilvl w:val="0"/>
        <w:numId w:val="2"/>
      </w:numPr>
      <w:ind w:left="0" w:firstLine="0"/>
      <w:jc w:val="left"/>
    </w:pPr>
    <w:rPr>
      <w:rFonts w:ascii="Times New Roman" w:hAnsi="Times New Roman"/>
      <w:sz w:val="20"/>
    </w:rPr>
  </w:style>
  <w:style w:type="paragraph" w:customStyle="1" w:styleId="154">
    <w:name w:val="RAN4 Proposal"/>
    <w:basedOn w:val="149"/>
    <w:next w:val="1"/>
    <w:uiPriority w:val="0"/>
    <w:pPr>
      <w:numPr>
        <w:ilvl w:val="0"/>
        <w:numId w:val="3"/>
      </w:numPr>
    </w:pPr>
    <w:rPr>
      <w:rFonts w:eastAsia="Calibri" w:cs="Times New Roman"/>
      <w:b/>
      <w:szCs w:val="20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3B8A0-DBD2-410F-AE79-B6A7569DD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6</Pages>
  <Words>755</Words>
  <Characters>4309</Characters>
  <Lines>35</Lines>
  <Paragraphs>10</Paragraphs>
  <TotalTime>0</TotalTime>
  <ScaleCrop>false</ScaleCrop>
  <LinksUpToDate>false</LinksUpToDate>
  <CharactersWithSpaces>5054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2020-02-17T08:40:00Z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2021-01-21T05:17:55Z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