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1C25B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7D4">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D907D4">
        <w:rPr>
          <w:rFonts w:ascii="Arial" w:eastAsiaTheme="minorEastAsia" w:hAnsi="Arial" w:cs="Arial"/>
          <w:b/>
          <w:sz w:val="24"/>
          <w:szCs w:val="24"/>
          <w:lang w:eastAsia="zh-CN"/>
        </w:rPr>
        <w:tab/>
      </w:r>
      <w:r w:rsidR="00D907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D907D4">
        <w:rPr>
          <w:rFonts w:ascii="Arial" w:eastAsiaTheme="minorEastAsia" w:hAnsi="Arial" w:cs="Arial"/>
          <w:b/>
          <w:sz w:val="24"/>
          <w:szCs w:val="24"/>
          <w:lang w:eastAsia="zh-CN"/>
        </w:rPr>
        <w:t>10</w:t>
      </w:r>
      <w:r w:rsidRPr="001E0A28">
        <w:rPr>
          <w:rFonts w:ascii="Arial" w:eastAsiaTheme="minorEastAsia" w:hAnsi="Arial" w:cs="Arial"/>
          <w:b/>
          <w:sz w:val="24"/>
          <w:szCs w:val="24"/>
          <w:lang w:eastAsia="zh-CN"/>
        </w:rPr>
        <w:t>XXXX</w:t>
      </w:r>
    </w:p>
    <w:p w14:paraId="0E0F466F" w14:textId="53FE91B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January</w:t>
      </w:r>
      <w:r w:rsidRPr="001E0A28">
        <w:rPr>
          <w:rFonts w:ascii="Arial" w:eastAsiaTheme="minorEastAsia" w:hAnsi="Arial" w:cs="Arial"/>
          <w:b/>
          <w:sz w:val="24"/>
          <w:szCs w:val="24"/>
          <w:lang w:eastAsia="zh-CN"/>
        </w:rPr>
        <w:t xml:space="preserve"> – </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February</w:t>
      </w:r>
      <w:r w:rsidRPr="001E0A28">
        <w:rPr>
          <w:rFonts w:ascii="Arial" w:eastAsiaTheme="minorEastAsia" w:hAnsi="Arial" w:cs="Arial"/>
          <w:b/>
          <w:sz w:val="24"/>
          <w:szCs w:val="24"/>
          <w:lang w:eastAsia="zh-CN"/>
        </w:rPr>
        <w:t>, 202</w:t>
      </w:r>
      <w:r w:rsidR="00D907D4">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669C18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907D4">
        <w:rPr>
          <w:rFonts w:ascii="Arial" w:eastAsiaTheme="minorEastAsia" w:hAnsi="Arial" w:cs="Arial"/>
          <w:color w:val="000000"/>
          <w:sz w:val="22"/>
          <w:lang w:eastAsia="zh-CN"/>
        </w:rPr>
        <w:t>7.1.1, 7.1.2</w:t>
      </w:r>
    </w:p>
    <w:p w14:paraId="50D5329D" w14:textId="5758DD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3128D">
        <w:rPr>
          <w:rFonts w:ascii="Arial" w:hAnsi="Arial" w:cs="Arial"/>
          <w:color w:val="000000"/>
          <w:sz w:val="22"/>
          <w:lang w:eastAsia="zh-CN"/>
        </w:rPr>
        <w:t>Moderator</w:t>
      </w:r>
      <w:r w:rsidR="00321150" w:rsidRPr="00D3128D">
        <w:rPr>
          <w:rFonts w:ascii="Arial" w:hAnsi="Arial" w:cs="Arial"/>
          <w:color w:val="000000"/>
          <w:sz w:val="22"/>
          <w:lang w:eastAsia="zh-CN"/>
        </w:rPr>
        <w:t xml:space="preserve"> </w:t>
      </w:r>
      <w:r w:rsidR="004D737D" w:rsidRPr="00D3128D">
        <w:rPr>
          <w:rFonts w:ascii="Arial" w:hAnsi="Arial" w:cs="Arial"/>
          <w:color w:val="000000"/>
          <w:sz w:val="22"/>
          <w:lang w:eastAsia="zh-CN"/>
        </w:rPr>
        <w:t>(</w:t>
      </w:r>
      <w:r w:rsidR="00D907D4" w:rsidRPr="00D3128D">
        <w:rPr>
          <w:rFonts w:ascii="Arial" w:hAnsi="Arial" w:cs="Arial"/>
          <w:color w:val="000000"/>
          <w:sz w:val="22"/>
          <w:lang w:eastAsia="zh-CN"/>
        </w:rPr>
        <w:t>Qualcomm Incorporated</w:t>
      </w:r>
      <w:r w:rsidR="004D737D" w:rsidRPr="00D3128D">
        <w:rPr>
          <w:rFonts w:ascii="Arial" w:hAnsi="Arial" w:cs="Arial"/>
          <w:color w:val="000000"/>
          <w:sz w:val="22"/>
          <w:lang w:eastAsia="zh-CN"/>
        </w:rPr>
        <w:t>)</w:t>
      </w:r>
    </w:p>
    <w:p w14:paraId="6104B222" w14:textId="77777777" w:rsidR="00D3128D"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3128D">
        <w:rPr>
          <w:rFonts w:ascii="Arial" w:eastAsiaTheme="minorEastAsia" w:hAnsi="Arial" w:cs="Arial"/>
          <w:color w:val="000000"/>
          <w:sz w:val="22"/>
          <w:lang w:eastAsia="zh-CN"/>
        </w:rPr>
        <w:t>98e</w:t>
      </w:r>
      <w:r w:rsidR="00533159" w:rsidRPr="00533159">
        <w:rPr>
          <w:rFonts w:ascii="Arial" w:eastAsiaTheme="minorEastAsia" w:hAnsi="Arial" w:cs="Arial"/>
          <w:color w:val="000000"/>
          <w:sz w:val="22"/>
          <w:lang w:eastAsia="zh-CN"/>
        </w:rPr>
        <w:t>][</w:t>
      </w:r>
      <w:r w:rsidR="00D3128D">
        <w:rPr>
          <w:rFonts w:ascii="Arial" w:eastAsiaTheme="minorEastAsia" w:hAnsi="Arial" w:cs="Arial"/>
          <w:color w:val="000000"/>
          <w:sz w:val="22"/>
          <w:lang w:eastAsia="zh-CN"/>
        </w:rPr>
        <w:t>106] NR_unlic_Maintenance</w:t>
      </w:r>
    </w:p>
    <w:p w14:paraId="67B0962B" w14:textId="3BB670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528C35A" w14:textId="77777777" w:rsidR="001D7159" w:rsidRDefault="004B41B7" w:rsidP="00642BC6">
      <w:pPr>
        <w:rPr>
          <w:iCs/>
          <w:lang w:eastAsia="zh-CN"/>
        </w:rPr>
      </w:pPr>
      <w:r>
        <w:rPr>
          <w:iCs/>
          <w:lang w:eastAsia="zh-CN"/>
        </w:rPr>
        <w:t>This document summarizes the email discussion on topics related to NR-U maintenance in Agenda 7.1.1 and 7.1.2.  The list of topics include</w:t>
      </w:r>
      <w:r w:rsidR="001D7159">
        <w:rPr>
          <w:iCs/>
          <w:lang w:eastAsia="zh-CN"/>
        </w:rPr>
        <w:t xml:space="preserve"> </w:t>
      </w:r>
    </w:p>
    <w:p w14:paraId="614EB69D" w14:textId="77777777" w:rsidR="001D7159" w:rsidRDefault="001D7159" w:rsidP="00642BC6">
      <w:pPr>
        <w:rPr>
          <w:iCs/>
          <w:lang w:eastAsia="zh-CN"/>
        </w:rPr>
      </w:pPr>
      <w:r>
        <w:rPr>
          <w:iCs/>
          <w:lang w:eastAsia="zh-CN"/>
        </w:rPr>
        <w:t xml:space="preserve">Topic #1:  Wideband operation and aspects related to </w:t>
      </w:r>
      <w:r w:rsidR="004B41B7">
        <w:rPr>
          <w:iCs/>
          <w:lang w:eastAsia="zh-CN"/>
        </w:rPr>
        <w:t xml:space="preserve">intra-cell guard bands </w:t>
      </w:r>
      <w:r>
        <w:rPr>
          <w:iCs/>
          <w:lang w:eastAsia="zh-CN"/>
        </w:rPr>
        <w:t>and a</w:t>
      </w:r>
      <w:r w:rsidR="004B41B7">
        <w:rPr>
          <w:iCs/>
          <w:lang w:eastAsia="zh-CN"/>
        </w:rPr>
        <w:t>pplicability of requirements in the Rel-16 specifications</w:t>
      </w:r>
    </w:p>
    <w:p w14:paraId="699CA4A1" w14:textId="51D893FB" w:rsidR="004B41B7" w:rsidRDefault="001D7159" w:rsidP="00642BC6">
      <w:pPr>
        <w:rPr>
          <w:iCs/>
          <w:lang w:eastAsia="zh-CN"/>
        </w:rPr>
      </w:pPr>
      <w:r>
        <w:rPr>
          <w:iCs/>
          <w:lang w:eastAsia="zh-CN"/>
        </w:rPr>
        <w:t xml:space="preserve">Topic #2:  Specification of </w:t>
      </w:r>
      <w:r w:rsidR="004B41B7">
        <w:rPr>
          <w:iCs/>
          <w:lang w:eastAsia="zh-CN"/>
        </w:rPr>
        <w:t xml:space="preserve">channel </w:t>
      </w:r>
      <w:r>
        <w:rPr>
          <w:iCs/>
          <w:lang w:eastAsia="zh-CN"/>
        </w:rPr>
        <w:t xml:space="preserve">raster and sync raster </w:t>
      </w:r>
      <w:r w:rsidR="004B41B7">
        <w:rPr>
          <w:iCs/>
          <w:lang w:eastAsia="zh-CN"/>
        </w:rPr>
        <w:t>numbering.</w:t>
      </w:r>
    </w:p>
    <w:p w14:paraId="609286E5" w14:textId="6E4B8B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D7159">
        <w:rPr>
          <w:lang w:eastAsia="ja-JP"/>
        </w:rPr>
        <w:t>Wideband operation</w:t>
      </w:r>
    </w:p>
    <w:p w14:paraId="691D6425" w14:textId="344B6A33" w:rsidR="00035C50" w:rsidRPr="004B41B7" w:rsidRDefault="004B41B7" w:rsidP="00035C50">
      <w:pPr>
        <w:rPr>
          <w:iCs/>
          <w:lang w:eastAsia="zh-CN"/>
        </w:rPr>
      </w:pPr>
      <w:r>
        <w:rPr>
          <w:iCs/>
          <w:lang w:eastAsia="zh-CN"/>
        </w:rPr>
        <w:t xml:space="preserve">For wideband operation, nominal intra-cell guard bands have been defined in Table </w:t>
      </w:r>
      <w:r w:rsidR="00E70DE9">
        <w:rPr>
          <w:iCs/>
          <w:lang w:eastAsia="zh-CN"/>
        </w:rPr>
        <w:t>5.3.3-2 of 38.101-1</w:t>
      </w:r>
      <w:r>
        <w:rPr>
          <w:iCs/>
          <w:lang w:eastAsia="zh-CN"/>
        </w:rPr>
        <w:t xml:space="preserve">.  However, there has also been an understanding that the Rel-16 specifications </w:t>
      </w:r>
      <w:r w:rsidR="00E70DE9">
        <w:rPr>
          <w:iCs/>
          <w:lang w:eastAsia="zh-CN"/>
        </w:rPr>
        <w:t>apply in downlink Mode 1 where LBT passes on all sub-bands of the BWP or carrier and intra-cell guard bands are configured to zero.</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353"/>
        <w:gridCol w:w="5596"/>
      </w:tblGrid>
      <w:tr w:rsidR="00746C9B" w:rsidRPr="00F53FE2" w14:paraId="0411894B" w14:textId="77777777" w:rsidTr="00746C9B">
        <w:trPr>
          <w:trHeight w:val="468"/>
        </w:trPr>
        <w:tc>
          <w:tcPr>
            <w:tcW w:w="1485" w:type="dxa"/>
            <w:vAlign w:val="center"/>
          </w:tcPr>
          <w:p w14:paraId="2F14AAAF" w14:textId="0E1491F7" w:rsidR="00746C9B" w:rsidRPr="00805BE8" w:rsidRDefault="00746C9B" w:rsidP="00805BE8">
            <w:pPr>
              <w:spacing w:before="120" w:after="120"/>
              <w:rPr>
                <w:b/>
                <w:bCs/>
              </w:rPr>
            </w:pPr>
            <w:r w:rsidRPr="00805BE8">
              <w:rPr>
                <w:b/>
                <w:bCs/>
              </w:rPr>
              <w:t>T-doc number</w:t>
            </w:r>
          </w:p>
        </w:tc>
        <w:tc>
          <w:tcPr>
            <w:tcW w:w="1353" w:type="dxa"/>
            <w:vAlign w:val="center"/>
          </w:tcPr>
          <w:p w14:paraId="46E4D078" w14:textId="02D74717" w:rsidR="00746C9B" w:rsidRPr="00805BE8" w:rsidRDefault="00746C9B" w:rsidP="00805BE8">
            <w:pPr>
              <w:spacing w:before="120" w:after="120"/>
              <w:rPr>
                <w:b/>
                <w:bCs/>
              </w:rPr>
            </w:pPr>
            <w:r w:rsidRPr="00805BE8">
              <w:rPr>
                <w:b/>
                <w:bCs/>
              </w:rPr>
              <w:t>Company</w:t>
            </w:r>
          </w:p>
        </w:tc>
        <w:tc>
          <w:tcPr>
            <w:tcW w:w="5596" w:type="dxa"/>
            <w:vAlign w:val="center"/>
          </w:tcPr>
          <w:p w14:paraId="531E5DB7" w14:textId="1856A816" w:rsidR="00746C9B" w:rsidRPr="00805BE8" w:rsidRDefault="00746C9B" w:rsidP="00805BE8">
            <w:pPr>
              <w:spacing w:before="120" w:after="120"/>
              <w:rPr>
                <w:b/>
                <w:bCs/>
              </w:rPr>
            </w:pPr>
            <w:r w:rsidRPr="00805BE8">
              <w:rPr>
                <w:b/>
                <w:bCs/>
              </w:rPr>
              <w:t>Proposals</w:t>
            </w:r>
            <w:r>
              <w:rPr>
                <w:b/>
                <w:bCs/>
              </w:rPr>
              <w:t xml:space="preserve"> / Observations</w:t>
            </w:r>
          </w:p>
        </w:tc>
      </w:tr>
      <w:tr w:rsidR="00746C9B" w14:paraId="4246E76B" w14:textId="77777777" w:rsidTr="00746C9B">
        <w:trPr>
          <w:trHeight w:val="468"/>
        </w:trPr>
        <w:tc>
          <w:tcPr>
            <w:tcW w:w="1485" w:type="dxa"/>
          </w:tcPr>
          <w:p w14:paraId="51C57500" w14:textId="77777777" w:rsidR="00746C9B" w:rsidRDefault="00A20E69" w:rsidP="00746C9B">
            <w:pPr>
              <w:spacing w:before="120" w:after="0"/>
              <w:rPr>
                <w:rFonts w:ascii="Arial" w:hAnsi="Arial" w:cs="Arial"/>
                <w:b/>
                <w:bCs/>
                <w:color w:val="0000FF"/>
                <w:sz w:val="16"/>
                <w:szCs w:val="16"/>
                <w:u w:val="single"/>
                <w:lang w:val="en-US"/>
              </w:rPr>
            </w:pPr>
            <w:hyperlink r:id="rId9" w:tgtFrame="_parent" w:history="1">
              <w:r w:rsidR="00746C9B">
                <w:rPr>
                  <w:rStyle w:val="Hyperlink"/>
                  <w:rFonts w:ascii="Arial" w:hAnsi="Arial" w:cs="Arial"/>
                  <w:b/>
                  <w:bCs/>
                  <w:sz w:val="16"/>
                  <w:szCs w:val="16"/>
                </w:rPr>
                <w:t>R4-2100511</w:t>
              </w:r>
            </w:hyperlink>
          </w:p>
          <w:p w14:paraId="12FD4C09" w14:textId="2EA9A67F" w:rsidR="00746C9B" w:rsidRPr="004A7544" w:rsidRDefault="00746C9B" w:rsidP="00746C9B">
            <w:pPr>
              <w:spacing w:before="120" w:after="120"/>
            </w:pPr>
          </w:p>
        </w:tc>
        <w:tc>
          <w:tcPr>
            <w:tcW w:w="1353" w:type="dxa"/>
          </w:tcPr>
          <w:p w14:paraId="1A5AAE84" w14:textId="7B1C147A" w:rsidR="00746C9B" w:rsidRPr="004A7544" w:rsidRDefault="00746C9B" w:rsidP="00805BE8">
            <w:pPr>
              <w:spacing w:before="120" w:after="120"/>
            </w:pPr>
            <w:r>
              <w:t>Apple Inc.</w:t>
            </w:r>
          </w:p>
        </w:tc>
        <w:tc>
          <w:tcPr>
            <w:tcW w:w="5596" w:type="dxa"/>
          </w:tcPr>
          <w:p w14:paraId="42DF5C5B" w14:textId="77777777" w:rsidR="00746C9B" w:rsidRPr="001D7159" w:rsidRDefault="00746C9B" w:rsidP="00805BE8">
            <w:pPr>
              <w:spacing w:before="120" w:after="120"/>
              <w:rPr>
                <w:b/>
                <w:bCs/>
              </w:rPr>
            </w:pPr>
            <w:r w:rsidRPr="001D7159">
              <w:rPr>
                <w:b/>
                <w:bCs/>
              </w:rPr>
              <w:t>NR-U wideband operation and intra-carrier guard bands</w:t>
            </w:r>
          </w:p>
          <w:p w14:paraId="38B06B69" w14:textId="77777777" w:rsidR="00746C9B" w:rsidRDefault="00746C9B" w:rsidP="00746C9B">
            <w:pPr>
              <w:pStyle w:val="Observation"/>
            </w:pPr>
            <w:r>
              <w:t>Observation 1a:</w:t>
            </w:r>
            <w:r>
              <w:tab/>
              <w:t>From the UE perspective, baseline NR-U functionality assumes that a UE can receive data only if LBT succeeds in all the sub-bands.</w:t>
            </w:r>
          </w:p>
          <w:p w14:paraId="63157C1A" w14:textId="77777777" w:rsidR="00746C9B" w:rsidRDefault="00746C9B" w:rsidP="00746C9B">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F17010F" w14:textId="77777777" w:rsidR="00746C9B" w:rsidRDefault="00746C9B" w:rsidP="00746C9B">
            <w:pPr>
              <w:pStyle w:val="Observation"/>
            </w:pPr>
            <w:bookmarkStart w:id="0" w:name="_Toc54384642"/>
            <w:bookmarkStart w:id="1" w:name="_Toc61271680"/>
            <w:r>
              <w:t>Observation 2a:</w:t>
            </w:r>
            <w:r>
              <w:tab/>
              <w:t>There are NR-U wide-band transmission modes, in which intra-carrier guard band configuration is not needed (or logically speaking, the intra-carrier guard bands are of size zero).</w:t>
            </w:r>
            <w:bookmarkEnd w:id="0"/>
            <w:bookmarkEnd w:id="1"/>
          </w:p>
          <w:p w14:paraId="23E5CF1A" w14:textId="381D413C" w:rsidR="00746C9B" w:rsidRPr="004A7544" w:rsidRDefault="00746C9B" w:rsidP="00746C9B">
            <w:pPr>
              <w:pStyle w:val="Observation"/>
            </w:pPr>
            <w:bookmarkStart w:id="2" w:name="_Toc53323885"/>
            <w:bookmarkStart w:id="3" w:name="_Toc53324288"/>
            <w:bookmarkStart w:id="4" w:name="_Toc53326773"/>
            <w:bookmarkStart w:id="5" w:name="_Toc53692376"/>
            <w:bookmarkStart w:id="6" w:name="_Toc53692794"/>
            <w:bookmarkStart w:id="7" w:name="_Toc53693457"/>
            <w:bookmarkStart w:id="8" w:name="_Toc54179178"/>
            <w:bookmarkStart w:id="9" w:name="_Toc54180912"/>
            <w:bookmarkStart w:id="10" w:name="_Toc54284428"/>
            <w:bookmarkStart w:id="11" w:name="_Toc54383817"/>
            <w:bookmarkStart w:id="12" w:name="_Toc54384571"/>
            <w:r>
              <w:t>Observation 2b:</w:t>
            </w:r>
            <w:r>
              <w:tab/>
              <w:t xml:space="preserve">Logically speaking, the default intra-carrier guard band configuration should correspond to zero width guard bands, while non-zero guard bands can be configured when a UE 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746C9B" w14:paraId="7CEF6C04" w14:textId="77777777" w:rsidTr="00746C9B">
        <w:trPr>
          <w:trHeight w:val="468"/>
        </w:trPr>
        <w:tc>
          <w:tcPr>
            <w:tcW w:w="1485" w:type="dxa"/>
          </w:tcPr>
          <w:p w14:paraId="675549F7" w14:textId="77777777" w:rsidR="00746C9B" w:rsidRDefault="00A20E69" w:rsidP="00746C9B">
            <w:pPr>
              <w:spacing w:before="120" w:after="0"/>
              <w:rPr>
                <w:rFonts w:ascii="Arial" w:hAnsi="Arial" w:cs="Arial"/>
                <w:b/>
                <w:bCs/>
                <w:color w:val="0000FF"/>
                <w:sz w:val="16"/>
                <w:szCs w:val="16"/>
                <w:u w:val="single"/>
                <w:lang w:val="en-US"/>
              </w:rPr>
            </w:pPr>
            <w:hyperlink r:id="rId10" w:tgtFrame="_parent" w:history="1">
              <w:r w:rsidR="00746C9B">
                <w:rPr>
                  <w:rStyle w:val="Hyperlink"/>
                  <w:rFonts w:ascii="Arial" w:hAnsi="Arial" w:cs="Arial"/>
                  <w:b/>
                  <w:bCs/>
                  <w:sz w:val="16"/>
                  <w:szCs w:val="16"/>
                </w:rPr>
                <w:t>R4-2101932</w:t>
              </w:r>
            </w:hyperlink>
          </w:p>
          <w:p w14:paraId="7DB124F9" w14:textId="77777777" w:rsidR="00746C9B" w:rsidRDefault="00746C9B" w:rsidP="00746C9B">
            <w:pPr>
              <w:spacing w:before="120" w:after="0"/>
              <w:rPr>
                <w:rFonts w:ascii="Arial" w:hAnsi="Arial" w:cs="Arial"/>
                <w:b/>
                <w:bCs/>
                <w:color w:val="0000FF"/>
                <w:sz w:val="16"/>
                <w:szCs w:val="16"/>
                <w:u w:val="single"/>
              </w:rPr>
            </w:pPr>
          </w:p>
        </w:tc>
        <w:tc>
          <w:tcPr>
            <w:tcW w:w="1353" w:type="dxa"/>
          </w:tcPr>
          <w:p w14:paraId="0FE4650A" w14:textId="76E4DD27" w:rsidR="00746C9B" w:rsidRDefault="00746C9B" w:rsidP="00805BE8">
            <w:pPr>
              <w:spacing w:before="120" w:after="120"/>
            </w:pPr>
            <w:r w:rsidRPr="00746C9B">
              <w:t>Nokia, Nokia Shanghai Bell</w:t>
            </w:r>
          </w:p>
        </w:tc>
        <w:tc>
          <w:tcPr>
            <w:tcW w:w="5596" w:type="dxa"/>
          </w:tcPr>
          <w:p w14:paraId="5960F8BA" w14:textId="77777777" w:rsidR="00746C9B" w:rsidRPr="001D7159" w:rsidRDefault="00746C9B" w:rsidP="00805BE8">
            <w:pPr>
              <w:spacing w:before="120" w:after="120"/>
              <w:rPr>
                <w:b/>
                <w:bCs/>
              </w:rPr>
            </w:pPr>
            <w:r w:rsidRPr="001D7159">
              <w:rPr>
                <w:b/>
                <w:bCs/>
              </w:rPr>
              <w:t>NR-U - On Intra-cell guardbands</w:t>
            </w:r>
          </w:p>
          <w:p w14:paraId="7832ECD4" w14:textId="77777777" w:rsidR="001D7159" w:rsidRPr="001D7159" w:rsidRDefault="001D7159" w:rsidP="001D7159">
            <w:pPr>
              <w:rPr>
                <w:rFonts w:eastAsia="Batang"/>
                <w:lang w:eastAsia="ko-KR"/>
              </w:rPr>
            </w:pPr>
            <w:r w:rsidRPr="001D7159">
              <w:rPr>
                <w:rFonts w:eastAsia="Batang"/>
                <w:lang w:eastAsia="ko-KR"/>
              </w:rPr>
              <w:t>Proposal 1: Resolve the brackets in section 5.3.3 of TS 38.101-1 as given in the TP provided in section 3 of this contribution.</w:t>
            </w:r>
          </w:p>
          <w:p w14:paraId="4804D86B" w14:textId="3AA3FBF3" w:rsidR="001D7159" w:rsidRPr="001D7159" w:rsidRDefault="001D7159" w:rsidP="001D7159">
            <w:pPr>
              <w:rPr>
                <w:rFonts w:eastAsia="Batang"/>
                <w:b/>
                <w:bCs/>
                <w:lang w:eastAsia="ko-KR"/>
              </w:rPr>
            </w:pPr>
            <w:r w:rsidRPr="001D7159">
              <w:rPr>
                <w:rFonts w:eastAsia="Batang"/>
                <w:lang w:eastAsia="ko-KR"/>
              </w:rPr>
              <w:t>Proposal 2: It is proposed to align the</w:t>
            </w:r>
            <w:r w:rsidRPr="001D7159">
              <w:t xml:space="preserve"> </w:t>
            </w:r>
            <w:r w:rsidRPr="001D7159">
              <w:rPr>
                <w:rFonts w:eastAsia="Batang"/>
                <w:lang w:eastAsia="ko-KR"/>
              </w:rPr>
              <w:t>spelling of guard band either in one or two words .</w:t>
            </w:r>
          </w:p>
        </w:tc>
      </w:tr>
      <w:tr w:rsidR="001D7159" w14:paraId="3CB0FDFB" w14:textId="77777777" w:rsidTr="00746C9B">
        <w:trPr>
          <w:trHeight w:val="468"/>
        </w:trPr>
        <w:tc>
          <w:tcPr>
            <w:tcW w:w="1485" w:type="dxa"/>
          </w:tcPr>
          <w:p w14:paraId="401F97D8" w14:textId="77777777" w:rsidR="001D7159" w:rsidRDefault="00A20E69" w:rsidP="001D7159">
            <w:pPr>
              <w:spacing w:before="120" w:after="0"/>
              <w:rPr>
                <w:rFonts w:ascii="Arial" w:hAnsi="Arial" w:cs="Arial"/>
                <w:b/>
                <w:bCs/>
                <w:color w:val="0000FF"/>
                <w:sz w:val="16"/>
                <w:szCs w:val="16"/>
                <w:u w:val="single"/>
                <w:lang w:val="en-US"/>
              </w:rPr>
            </w:pPr>
            <w:hyperlink r:id="rId11" w:tgtFrame="_parent" w:history="1">
              <w:r w:rsidR="001D7159">
                <w:rPr>
                  <w:rStyle w:val="Hyperlink"/>
                  <w:rFonts w:ascii="Arial" w:hAnsi="Arial" w:cs="Arial"/>
                  <w:b/>
                  <w:bCs/>
                  <w:sz w:val="16"/>
                  <w:szCs w:val="16"/>
                </w:rPr>
                <w:t>R4-2101720</w:t>
              </w:r>
            </w:hyperlink>
          </w:p>
          <w:p w14:paraId="5225BCA4" w14:textId="77777777" w:rsidR="001D7159" w:rsidRDefault="001D7159" w:rsidP="001D7159">
            <w:pPr>
              <w:spacing w:before="120" w:after="0"/>
              <w:rPr>
                <w:rFonts w:ascii="Arial" w:hAnsi="Arial" w:cs="Arial"/>
                <w:b/>
                <w:bCs/>
                <w:color w:val="0000FF"/>
                <w:sz w:val="16"/>
                <w:szCs w:val="16"/>
                <w:u w:val="single"/>
              </w:rPr>
            </w:pPr>
          </w:p>
        </w:tc>
        <w:tc>
          <w:tcPr>
            <w:tcW w:w="1353" w:type="dxa"/>
          </w:tcPr>
          <w:p w14:paraId="0CC2B8AC" w14:textId="7DC4439B" w:rsidR="001D7159" w:rsidRPr="00746C9B" w:rsidRDefault="001D7159" w:rsidP="00805BE8">
            <w:pPr>
              <w:spacing w:before="120" w:after="120"/>
            </w:pPr>
            <w:r>
              <w:t>Ericsson</w:t>
            </w:r>
          </w:p>
        </w:tc>
        <w:tc>
          <w:tcPr>
            <w:tcW w:w="5596" w:type="dxa"/>
          </w:tcPr>
          <w:p w14:paraId="08940512" w14:textId="77777777" w:rsidR="001D7159" w:rsidRPr="001D7159" w:rsidRDefault="001D7159" w:rsidP="00805BE8">
            <w:pPr>
              <w:spacing w:before="120" w:after="120"/>
              <w:rPr>
                <w:b/>
                <w:bCs/>
              </w:rPr>
            </w:pPr>
            <w:r w:rsidRPr="001D7159">
              <w:rPr>
                <w:b/>
                <w:bCs/>
              </w:rPr>
              <w:t xml:space="preserve">Applicability of minimum requirements for shared spectrum access </w:t>
            </w:r>
          </w:p>
          <w:p w14:paraId="253350D7" w14:textId="3C7C534A" w:rsidR="001D7159" w:rsidRPr="00746C9B" w:rsidRDefault="001D7159" w:rsidP="00805BE8">
            <w:pPr>
              <w:spacing w:before="120" w:after="120"/>
            </w:pPr>
            <w:r w:rsidRPr="001D7159">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42550C6B" w14:textId="462D7212" w:rsidR="003D2543" w:rsidRDefault="003D2543" w:rsidP="005B4802">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w:t>
      </w:r>
      <w:r w:rsidR="000303FE">
        <w:rPr>
          <w:iCs/>
        </w:rPr>
        <w:t xml:space="preserve"> but without UE receiver requirements</w:t>
      </w:r>
      <w:r>
        <w:rPr>
          <w:iCs/>
        </w:rPr>
        <w:t xml:space="preserve"> and nominal intra-cell guard bands (or guardbands) are included in the specifications.  There are several proposals from companies to clarify the specification</w:t>
      </w:r>
      <w:r w:rsidR="000303FE">
        <w:rPr>
          <w:iCs/>
        </w:rPr>
        <w:t>s on exactly what is supported in the Rel-16 (and Rel-17) specifications.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4EF8892" w:rsidR="003418CB" w:rsidRPr="000303FE" w:rsidRDefault="000303FE" w:rsidP="005B4802">
      <w:pPr>
        <w:rPr>
          <w:iCs/>
          <w:lang w:val="en-US" w:eastAsia="zh-CN"/>
        </w:rPr>
      </w:pPr>
      <w:r w:rsidRPr="000303FE">
        <w:rPr>
          <w:iCs/>
          <w:lang w:val="en-US" w:eastAsia="zh-CN"/>
        </w:rPr>
        <w:t>Clarification of wideband applicabililty and intra-cell guard bands for UL and DL in Rel-16</w:t>
      </w:r>
      <w:r w:rsidR="00404831" w:rsidRPr="000303FE">
        <w:rPr>
          <w:iCs/>
          <w:lang w:val="en-US" w:eastAsia="zh-CN"/>
        </w:rPr>
        <w:t>:</w:t>
      </w: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29DDE51F" w14:textId="26E7F0AE" w:rsidR="003B40B6" w:rsidRPr="000303FE" w:rsidRDefault="000303FE" w:rsidP="003B40B6">
      <w:pPr>
        <w:rPr>
          <w:iCs/>
          <w:lang w:val="en-US" w:eastAsia="zh-CN"/>
        </w:rPr>
      </w:pPr>
      <w:r w:rsidRPr="000303FE">
        <w:rPr>
          <w:iCs/>
          <w:lang w:val="en-US" w:eastAsia="zh-CN"/>
        </w:rPr>
        <w:t>Guard band?  Or guardband?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4F8A602" w14:textId="77777777" w:rsidR="000C427D" w:rsidRDefault="00A20E69" w:rsidP="00746C9B">
            <w:pPr>
              <w:spacing w:after="0"/>
              <w:rPr>
                <w:rFonts w:ascii="Arial" w:hAnsi="Arial" w:cs="Arial"/>
                <w:b/>
                <w:bCs/>
                <w:color w:val="0000FF"/>
                <w:sz w:val="16"/>
                <w:szCs w:val="16"/>
                <w:u w:val="single"/>
                <w:lang w:val="en-US"/>
              </w:rPr>
            </w:pPr>
            <w:hyperlink r:id="rId12" w:tgtFrame="_parent" w:history="1">
              <w:r w:rsidR="00746C9B">
                <w:rPr>
                  <w:rStyle w:val="Hyperlink"/>
                  <w:rFonts w:ascii="Arial" w:hAnsi="Arial" w:cs="Arial"/>
                  <w:b/>
                  <w:bCs/>
                  <w:sz w:val="16"/>
                  <w:szCs w:val="16"/>
                </w:rPr>
                <w:t>R4-2100512</w:t>
              </w:r>
            </w:hyperlink>
            <w:r w:rsidR="000C427D">
              <w:rPr>
                <w:rFonts w:ascii="Arial" w:hAnsi="Arial" w:cs="Arial"/>
                <w:b/>
                <w:bCs/>
                <w:color w:val="0000FF"/>
                <w:sz w:val="16"/>
                <w:szCs w:val="16"/>
                <w:u w:val="single"/>
              </w:rPr>
              <w:t xml:space="preserve">, </w:t>
            </w:r>
          </w:p>
          <w:p w14:paraId="76B450B1" w14:textId="77777777" w:rsidR="000C427D" w:rsidRDefault="00A20E69" w:rsidP="000C427D">
            <w:pPr>
              <w:spacing w:after="0"/>
              <w:rPr>
                <w:rFonts w:ascii="Arial" w:hAnsi="Arial" w:cs="Arial"/>
                <w:b/>
                <w:bCs/>
                <w:color w:val="0000FF"/>
                <w:sz w:val="16"/>
                <w:szCs w:val="16"/>
                <w:u w:val="single"/>
                <w:lang w:val="en-US"/>
              </w:rPr>
            </w:pPr>
            <w:hyperlink r:id="rId13" w:tgtFrame="_parent" w:history="1">
              <w:r w:rsidR="000C427D">
                <w:rPr>
                  <w:rStyle w:val="Hyperlink"/>
                  <w:rFonts w:ascii="Arial" w:hAnsi="Arial" w:cs="Arial"/>
                  <w:b/>
                  <w:bCs/>
                  <w:sz w:val="16"/>
                  <w:szCs w:val="16"/>
                </w:rPr>
                <w:t>R4-2100513</w:t>
              </w:r>
            </w:hyperlink>
          </w:p>
          <w:p w14:paraId="41D5B081" w14:textId="607E4750" w:rsidR="00571777" w:rsidRPr="003418CB" w:rsidRDefault="00746C9B" w:rsidP="00805BE8">
            <w:pPr>
              <w:spacing w:after="120"/>
              <w:rPr>
                <w:rFonts w:eastAsiaTheme="minorEastAsia"/>
                <w:color w:val="0070C0"/>
                <w:lang w:val="en-US" w:eastAsia="zh-CN"/>
              </w:rPr>
            </w:pPr>
            <w:r w:rsidRPr="00746C9B">
              <w:rPr>
                <w:rFonts w:eastAsiaTheme="minorEastAsia"/>
                <w:lang w:val="en-US" w:eastAsia="zh-CN"/>
              </w:rPr>
              <w:t>Apple</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F39C008" w14:textId="77777777" w:rsidR="001D7159" w:rsidRDefault="00A20E69" w:rsidP="001D7159">
            <w:pPr>
              <w:spacing w:after="0"/>
              <w:rPr>
                <w:rFonts w:ascii="Arial" w:hAnsi="Arial" w:cs="Arial"/>
                <w:b/>
                <w:bCs/>
                <w:color w:val="0000FF"/>
                <w:sz w:val="16"/>
                <w:szCs w:val="16"/>
                <w:u w:val="single"/>
                <w:lang w:val="en-US"/>
              </w:rPr>
            </w:pPr>
            <w:hyperlink r:id="rId14" w:tgtFrame="_parent" w:history="1">
              <w:r w:rsidR="001D7159">
                <w:rPr>
                  <w:rStyle w:val="Hyperlink"/>
                  <w:rFonts w:ascii="Arial" w:hAnsi="Arial" w:cs="Arial"/>
                  <w:b/>
                  <w:bCs/>
                  <w:sz w:val="16"/>
                  <w:szCs w:val="16"/>
                </w:rPr>
                <w:t>R4-2101720</w:t>
              </w:r>
            </w:hyperlink>
          </w:p>
          <w:p w14:paraId="68F6E76E" w14:textId="338AEE61" w:rsidR="00571777" w:rsidRDefault="001D7159" w:rsidP="00571777">
            <w:pPr>
              <w:spacing w:after="120"/>
              <w:rPr>
                <w:rFonts w:eastAsiaTheme="minorEastAsia"/>
                <w:color w:val="0070C0"/>
                <w:lang w:val="en-US" w:eastAsia="zh-CN"/>
              </w:rPr>
            </w:pPr>
            <w:r w:rsidRPr="001D7159">
              <w:rPr>
                <w:rFonts w:eastAsiaTheme="minorEastAsia"/>
                <w:lang w:val="en-US" w:eastAsia="zh-CN"/>
              </w:rPr>
              <w:t>Ericsson</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76C70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D7159">
        <w:rPr>
          <w:lang w:eastAsia="ja-JP"/>
        </w:rPr>
        <w:t>Channel raster and sync raster</w:t>
      </w:r>
    </w:p>
    <w:p w14:paraId="41C8B3CF" w14:textId="25B4BA27" w:rsidR="00DD19DE" w:rsidRPr="000C427D" w:rsidRDefault="000C427D" w:rsidP="00DD19DE">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8"/>
        <w:gridCol w:w="6581"/>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3FD049C1" w14:textId="77777777" w:rsidR="000C427D" w:rsidRDefault="00A20E69" w:rsidP="000C427D">
            <w:pPr>
              <w:spacing w:before="120" w:after="0"/>
              <w:rPr>
                <w:rFonts w:ascii="Arial" w:hAnsi="Arial" w:cs="Arial"/>
                <w:b/>
                <w:bCs/>
                <w:color w:val="0000FF"/>
                <w:sz w:val="16"/>
                <w:szCs w:val="16"/>
                <w:u w:val="single"/>
                <w:lang w:val="en-US"/>
              </w:rPr>
            </w:pPr>
            <w:hyperlink r:id="rId15" w:tgtFrame="_parent" w:history="1">
              <w:r w:rsidR="000C427D">
                <w:rPr>
                  <w:rStyle w:val="Hyperlink"/>
                  <w:rFonts w:ascii="Arial" w:hAnsi="Arial" w:cs="Arial"/>
                  <w:b/>
                  <w:bCs/>
                  <w:sz w:val="16"/>
                  <w:szCs w:val="16"/>
                </w:rPr>
                <w:t>R4-2101968</w:t>
              </w:r>
            </w:hyperlink>
          </w:p>
          <w:p w14:paraId="2444A496" w14:textId="757A993F" w:rsidR="00DD19DE" w:rsidRPr="00805BE8" w:rsidRDefault="00DD19DE" w:rsidP="000C427D">
            <w:pPr>
              <w:spacing w:before="120" w:after="120"/>
              <w:rPr>
                <w:rFonts w:asciiTheme="minorHAnsi" w:hAnsiTheme="minorHAnsi" w:cstheme="minorHAnsi"/>
              </w:rPr>
            </w:pPr>
          </w:p>
        </w:tc>
        <w:tc>
          <w:tcPr>
            <w:tcW w:w="1437" w:type="dxa"/>
          </w:tcPr>
          <w:p w14:paraId="786ACC88" w14:textId="60133C69" w:rsidR="00DD19DE" w:rsidRPr="0073246E" w:rsidRDefault="000C427D" w:rsidP="00045592">
            <w:pPr>
              <w:spacing w:before="120" w:after="120"/>
            </w:pPr>
            <w:r w:rsidRPr="0073246E">
              <w:t>ZTE Corporation</w:t>
            </w:r>
          </w:p>
        </w:tc>
        <w:tc>
          <w:tcPr>
            <w:tcW w:w="6772" w:type="dxa"/>
          </w:tcPr>
          <w:p w14:paraId="01FEC6D2" w14:textId="77777777" w:rsidR="00DD19DE" w:rsidRPr="0073246E" w:rsidRDefault="000C427D" w:rsidP="00045592">
            <w:pPr>
              <w:spacing w:before="120" w:after="120"/>
              <w:rPr>
                <w:b/>
                <w:bCs/>
              </w:rPr>
            </w:pPr>
            <w:r w:rsidRPr="0073246E">
              <w:rPr>
                <w:b/>
                <w:bCs/>
              </w:rPr>
              <w:t>CR to TS 38.104: system parameters maintenance for NR-U</w:t>
            </w:r>
          </w:p>
          <w:p w14:paraId="72449CC1" w14:textId="77777777" w:rsidR="000C427D" w:rsidRPr="0073246E" w:rsidRDefault="000C427D" w:rsidP="000C427D">
            <w:pPr>
              <w:spacing w:after="0"/>
            </w:pPr>
            <w:r w:rsidRPr="0073246E">
              <w:t>NR-ARFCN for n46 and n96 is not defined correctly in Table 5.4.2.3-1.</w:t>
            </w:r>
          </w:p>
          <w:p w14:paraId="7FAB433F" w14:textId="4D3E7EB1" w:rsidR="000C427D" w:rsidRPr="0073246E" w:rsidRDefault="000C427D" w:rsidP="000C427D">
            <w:pPr>
              <w:spacing w:after="0"/>
            </w:pPr>
            <w:r w:rsidRPr="0073246E">
              <w:t>GSCN for n46 and n96 is not defined correctly in Table 5.4.3.3-1.</w:t>
            </w:r>
          </w:p>
        </w:tc>
      </w:tr>
      <w:tr w:rsidR="000C427D" w14:paraId="0FF6AD5D" w14:textId="77777777" w:rsidTr="00045592">
        <w:trPr>
          <w:trHeight w:val="468"/>
        </w:trPr>
        <w:tc>
          <w:tcPr>
            <w:tcW w:w="1648" w:type="dxa"/>
          </w:tcPr>
          <w:p w14:paraId="4B83A6AF" w14:textId="77777777" w:rsidR="000C427D" w:rsidRDefault="00A20E69" w:rsidP="000C427D">
            <w:pPr>
              <w:spacing w:before="120" w:after="0"/>
              <w:rPr>
                <w:rFonts w:ascii="Arial" w:hAnsi="Arial" w:cs="Arial"/>
                <w:b/>
                <w:bCs/>
                <w:color w:val="0000FF"/>
                <w:sz w:val="16"/>
                <w:szCs w:val="16"/>
                <w:u w:val="single"/>
                <w:lang w:val="en-US"/>
              </w:rPr>
            </w:pPr>
            <w:hyperlink r:id="rId16" w:tgtFrame="_parent" w:history="1">
              <w:r w:rsidR="000C427D">
                <w:rPr>
                  <w:rStyle w:val="Hyperlink"/>
                  <w:rFonts w:ascii="Arial" w:hAnsi="Arial" w:cs="Arial"/>
                  <w:b/>
                  <w:bCs/>
                  <w:sz w:val="16"/>
                  <w:szCs w:val="16"/>
                </w:rPr>
                <w:t>R4-2101970</w:t>
              </w:r>
            </w:hyperlink>
          </w:p>
          <w:p w14:paraId="7A5D641E" w14:textId="77777777" w:rsidR="000C427D" w:rsidRDefault="000C427D" w:rsidP="000C427D">
            <w:pPr>
              <w:spacing w:before="120" w:after="0"/>
              <w:rPr>
                <w:rFonts w:ascii="Arial" w:hAnsi="Arial" w:cs="Arial"/>
                <w:b/>
                <w:bCs/>
                <w:color w:val="0000FF"/>
                <w:sz w:val="16"/>
                <w:szCs w:val="16"/>
                <w:u w:val="single"/>
              </w:rPr>
            </w:pPr>
          </w:p>
        </w:tc>
        <w:tc>
          <w:tcPr>
            <w:tcW w:w="1437" w:type="dxa"/>
          </w:tcPr>
          <w:p w14:paraId="6BD6D3B3" w14:textId="5D016FB2" w:rsidR="000C427D" w:rsidRPr="0073246E" w:rsidRDefault="000C427D" w:rsidP="00045592">
            <w:pPr>
              <w:spacing w:before="120" w:after="120"/>
            </w:pPr>
            <w:r w:rsidRPr="0073246E">
              <w:t>ZTE Corporation</w:t>
            </w:r>
          </w:p>
        </w:tc>
        <w:tc>
          <w:tcPr>
            <w:tcW w:w="6772" w:type="dxa"/>
          </w:tcPr>
          <w:p w14:paraId="51FA8F2E" w14:textId="77777777" w:rsidR="000C427D" w:rsidRPr="0073246E" w:rsidRDefault="000C427D" w:rsidP="00045592">
            <w:pPr>
              <w:spacing w:before="120" w:after="120"/>
              <w:rPr>
                <w:b/>
                <w:bCs/>
              </w:rPr>
            </w:pPr>
            <w:r w:rsidRPr="0073246E">
              <w:rPr>
                <w:b/>
                <w:bCs/>
              </w:rPr>
              <w:t>CR to TS 38.101-1: system parameters maintenance for NR-U</w:t>
            </w:r>
          </w:p>
          <w:p w14:paraId="4C94B07D" w14:textId="77777777" w:rsidR="003D2543" w:rsidRPr="0073246E" w:rsidRDefault="003D2543" w:rsidP="003D2543">
            <w:pPr>
              <w:spacing w:after="0"/>
            </w:pPr>
            <w:r w:rsidRPr="0073246E">
              <w:t>NR-ARFCN for n46 and n96 is not defined correctly in Table 5.4.2.3-1.</w:t>
            </w:r>
          </w:p>
          <w:p w14:paraId="2B845D29" w14:textId="7F437702" w:rsidR="000C427D" w:rsidRPr="0073246E" w:rsidRDefault="003D2543" w:rsidP="003D2543">
            <w:pPr>
              <w:spacing w:after="0"/>
            </w:pPr>
            <w:r w:rsidRPr="0073246E">
              <w:t>GSCN for n46 and n96 is not defined correctly in Table 5.4.3.3-1.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B587D22" w14:textId="3E0DEABE" w:rsidR="000303FE" w:rsidRPr="005D0B80" w:rsidRDefault="000303FE" w:rsidP="00DD19DE">
      <w:pPr>
        <w:rPr>
          <w:iCs/>
        </w:rPr>
      </w:pPr>
      <w:r w:rsidRPr="005D0B80">
        <w:rPr>
          <w:iCs/>
        </w:rPr>
        <w:t xml:space="preserve">In 38.104 and 38.101-1 specifications, the channel raster and sync raster for Bands n46 and n96 are specified as </w:t>
      </w:r>
      <w:r w:rsidR="005D0B80" w:rsidRPr="005D0B80">
        <w:rPr>
          <w:rFonts w:eastAsia="Yu Mincho"/>
          <w:iCs/>
        </w:rPr>
        <w:t xml:space="preserve">(First – &lt;Step size&gt; – Last) and then further downsampled by enumeration with notes.  </w:t>
      </w:r>
      <w:r w:rsidR="00CD2C53">
        <w:rPr>
          <w:rFonts w:eastAsia="Yu Mincho"/>
          <w:iCs/>
        </w:rPr>
        <w:t xml:space="preserve">It is proposed to remove the </w:t>
      </w:r>
      <w:r w:rsidR="00CD2C53" w:rsidRPr="005D0B80">
        <w:rPr>
          <w:rFonts w:eastAsia="Yu Mincho"/>
          <w:iCs/>
        </w:rPr>
        <w:t>(First – &lt;Step size&gt; – Last)</w:t>
      </w:r>
      <w:r w:rsidR="00CD2C53">
        <w:rPr>
          <w:rFonts w:eastAsia="Yu Mincho"/>
          <w:iCs/>
        </w:rPr>
        <w:t xml:space="preserve"> values and simply refer to the note.  Do companies support this proposal?  Are the CR’s agreeable?</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2D80A3F5" w14:textId="77777777" w:rsidR="000C427D" w:rsidRDefault="00A20E69" w:rsidP="000C427D">
            <w:pPr>
              <w:spacing w:after="0"/>
              <w:rPr>
                <w:rFonts w:ascii="Arial" w:hAnsi="Arial" w:cs="Arial"/>
                <w:b/>
                <w:bCs/>
                <w:color w:val="0000FF"/>
                <w:sz w:val="16"/>
                <w:szCs w:val="16"/>
                <w:u w:val="single"/>
                <w:lang w:val="en-US"/>
              </w:rPr>
            </w:pPr>
            <w:hyperlink r:id="rId17" w:tgtFrame="_parent" w:history="1">
              <w:r w:rsidR="000C427D">
                <w:rPr>
                  <w:rStyle w:val="Hyperlink"/>
                  <w:rFonts w:ascii="Arial" w:hAnsi="Arial" w:cs="Arial"/>
                  <w:b/>
                  <w:bCs/>
                  <w:sz w:val="16"/>
                  <w:szCs w:val="16"/>
                </w:rPr>
                <w:t>R4-2101968</w:t>
              </w:r>
            </w:hyperlink>
            <w:r w:rsidR="000C427D">
              <w:rPr>
                <w:rFonts w:ascii="Arial" w:hAnsi="Arial" w:cs="Arial"/>
                <w:b/>
                <w:bCs/>
                <w:color w:val="0000FF"/>
                <w:sz w:val="16"/>
                <w:szCs w:val="16"/>
                <w:u w:val="single"/>
              </w:rPr>
              <w:t xml:space="preserve">, </w:t>
            </w:r>
          </w:p>
          <w:p w14:paraId="40B9FC11" w14:textId="77777777" w:rsidR="000C427D" w:rsidRDefault="00A20E69" w:rsidP="000C427D">
            <w:pPr>
              <w:spacing w:after="0"/>
              <w:rPr>
                <w:rFonts w:ascii="Arial" w:hAnsi="Arial" w:cs="Arial"/>
                <w:b/>
                <w:bCs/>
                <w:color w:val="0000FF"/>
                <w:sz w:val="16"/>
                <w:szCs w:val="16"/>
                <w:u w:val="single"/>
                <w:lang w:val="en-US"/>
              </w:rPr>
            </w:pPr>
            <w:hyperlink r:id="rId18" w:tgtFrame="_parent" w:history="1">
              <w:r w:rsidR="000C427D">
                <w:rPr>
                  <w:rStyle w:val="Hyperlink"/>
                  <w:rFonts w:ascii="Arial" w:hAnsi="Arial" w:cs="Arial"/>
                  <w:b/>
                  <w:bCs/>
                  <w:sz w:val="16"/>
                  <w:szCs w:val="16"/>
                </w:rPr>
                <w:t>R4-2101969</w:t>
              </w:r>
            </w:hyperlink>
          </w:p>
          <w:p w14:paraId="497DC71D" w14:textId="43ABA394" w:rsidR="00DD19DE" w:rsidRPr="003418CB" w:rsidRDefault="000C427D" w:rsidP="00045592">
            <w:pPr>
              <w:spacing w:after="120"/>
              <w:rPr>
                <w:rFonts w:eastAsiaTheme="minorEastAsia"/>
                <w:color w:val="0070C0"/>
                <w:lang w:val="en-US" w:eastAsia="zh-CN"/>
              </w:rPr>
            </w:pPr>
            <w:r w:rsidRPr="000C427D">
              <w:rPr>
                <w:rFonts w:eastAsiaTheme="minorEastAsia"/>
                <w:lang w:val="en-US" w:eastAsia="zh-CN"/>
              </w:rPr>
              <w:t>38.104 CR</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3FC0C728" w14:textId="77777777" w:rsidR="000C427D" w:rsidRDefault="00A20E69" w:rsidP="000C427D">
            <w:pPr>
              <w:spacing w:after="0"/>
              <w:rPr>
                <w:rFonts w:ascii="Arial" w:hAnsi="Arial" w:cs="Arial"/>
                <w:b/>
                <w:bCs/>
                <w:color w:val="0000FF"/>
                <w:sz w:val="16"/>
                <w:szCs w:val="16"/>
                <w:u w:val="single"/>
                <w:lang w:val="en-US"/>
              </w:rPr>
            </w:pPr>
            <w:hyperlink r:id="rId19" w:tgtFrame="_parent" w:history="1">
              <w:r w:rsidR="000C427D">
                <w:rPr>
                  <w:rStyle w:val="Hyperlink"/>
                  <w:rFonts w:ascii="Arial" w:hAnsi="Arial" w:cs="Arial"/>
                  <w:b/>
                  <w:bCs/>
                  <w:sz w:val="16"/>
                  <w:szCs w:val="16"/>
                </w:rPr>
                <w:t>R4-2101970</w:t>
              </w:r>
            </w:hyperlink>
            <w:r w:rsidR="000C427D">
              <w:rPr>
                <w:rFonts w:ascii="Arial" w:hAnsi="Arial" w:cs="Arial"/>
                <w:b/>
                <w:bCs/>
                <w:color w:val="0000FF"/>
                <w:sz w:val="16"/>
                <w:szCs w:val="16"/>
                <w:u w:val="single"/>
              </w:rPr>
              <w:t xml:space="preserve">, </w:t>
            </w:r>
          </w:p>
          <w:p w14:paraId="4DC8BD60" w14:textId="77777777" w:rsidR="000C427D" w:rsidRDefault="00A20E69" w:rsidP="000C427D">
            <w:pPr>
              <w:spacing w:after="0"/>
              <w:rPr>
                <w:rFonts w:ascii="Arial" w:hAnsi="Arial" w:cs="Arial"/>
                <w:b/>
                <w:bCs/>
                <w:color w:val="0000FF"/>
                <w:sz w:val="16"/>
                <w:szCs w:val="16"/>
                <w:u w:val="single"/>
                <w:lang w:val="en-US"/>
              </w:rPr>
            </w:pPr>
            <w:hyperlink r:id="rId20" w:tgtFrame="_parent" w:history="1">
              <w:r w:rsidR="000C427D">
                <w:rPr>
                  <w:rStyle w:val="Hyperlink"/>
                  <w:rFonts w:ascii="Arial" w:hAnsi="Arial" w:cs="Arial"/>
                  <w:b/>
                  <w:bCs/>
                  <w:sz w:val="16"/>
                  <w:szCs w:val="16"/>
                </w:rPr>
                <w:t>R4-2101971</w:t>
              </w:r>
            </w:hyperlink>
          </w:p>
          <w:p w14:paraId="6F47F7E8" w14:textId="76EB664E" w:rsidR="000C427D" w:rsidRDefault="000C427D" w:rsidP="000C427D">
            <w:pPr>
              <w:spacing w:after="0"/>
              <w:rPr>
                <w:rFonts w:ascii="Arial" w:hAnsi="Arial" w:cs="Arial"/>
                <w:b/>
                <w:bCs/>
                <w:color w:val="0000FF"/>
                <w:sz w:val="16"/>
                <w:szCs w:val="16"/>
                <w:u w:val="single"/>
                <w:lang w:val="en-US"/>
              </w:rPr>
            </w:pPr>
          </w:p>
          <w:p w14:paraId="20992B68" w14:textId="52F104DA" w:rsidR="00DD19DE" w:rsidRPr="000C427D" w:rsidRDefault="000C427D" w:rsidP="00045592">
            <w:pPr>
              <w:spacing w:after="120"/>
              <w:rPr>
                <w:rFonts w:eastAsiaTheme="minorEastAsia"/>
                <w:color w:val="0070C0"/>
                <w:lang w:val="en-US" w:eastAsia="zh-CN"/>
              </w:rPr>
            </w:pPr>
            <w:r w:rsidRPr="000C427D">
              <w:rPr>
                <w:rFonts w:eastAsiaTheme="minorEastAsia"/>
                <w:lang w:val="en-US" w:eastAsia="zh-CN"/>
              </w:rPr>
              <w:t>38.101-1 CR</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48E6A" w14:textId="77777777" w:rsidR="00A20E69" w:rsidRDefault="00A20E69">
      <w:r>
        <w:separator/>
      </w:r>
    </w:p>
  </w:endnote>
  <w:endnote w:type="continuationSeparator" w:id="0">
    <w:p w14:paraId="194EF116" w14:textId="77777777" w:rsidR="00A20E69" w:rsidRDefault="00A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CA85" w14:textId="77777777" w:rsidR="00A20E69" w:rsidRDefault="00A20E69">
      <w:r>
        <w:separator/>
      </w:r>
    </w:p>
  </w:footnote>
  <w:footnote w:type="continuationSeparator" w:id="0">
    <w:p w14:paraId="4902F722" w14:textId="77777777" w:rsidR="00A20E69" w:rsidRDefault="00A2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03FE"/>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27D"/>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159"/>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543"/>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1B7"/>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80"/>
    <w:rsid w:val="005D0B99"/>
    <w:rsid w:val="005D308E"/>
    <w:rsid w:val="005D3A48"/>
    <w:rsid w:val="005D7AF8"/>
    <w:rsid w:val="005E366A"/>
    <w:rsid w:val="005F2145"/>
    <w:rsid w:val="006016E1"/>
    <w:rsid w:val="00602D27"/>
    <w:rsid w:val="006144A1"/>
    <w:rsid w:val="00615EBB"/>
    <w:rsid w:val="00616096"/>
    <w:rsid w:val="006160A2"/>
    <w:rsid w:val="00620A24"/>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46E"/>
    <w:rsid w:val="0073390A"/>
    <w:rsid w:val="00734E64"/>
    <w:rsid w:val="00736B37"/>
    <w:rsid w:val="00740A35"/>
    <w:rsid w:val="00746C9B"/>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0E"/>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69"/>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C53"/>
    <w:rsid w:val="00CD307E"/>
    <w:rsid w:val="00CD6A1B"/>
    <w:rsid w:val="00CE0A7F"/>
    <w:rsid w:val="00CE1718"/>
    <w:rsid w:val="00CF4156"/>
    <w:rsid w:val="00D03D00"/>
    <w:rsid w:val="00D05C30"/>
    <w:rsid w:val="00D11359"/>
    <w:rsid w:val="00D3128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07D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746C9B"/>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948634">
      <w:bodyDiv w:val="1"/>
      <w:marLeft w:val="0"/>
      <w:marRight w:val="0"/>
      <w:marTop w:val="0"/>
      <w:marBottom w:val="0"/>
      <w:divBdr>
        <w:top w:val="none" w:sz="0" w:space="0" w:color="auto"/>
        <w:left w:val="none" w:sz="0" w:space="0" w:color="auto"/>
        <w:bottom w:val="none" w:sz="0" w:space="0" w:color="auto"/>
        <w:right w:val="none" w:sz="0" w:space="0" w:color="auto"/>
      </w:divBdr>
    </w:div>
    <w:div w:id="355896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74987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7069062">
      <w:bodyDiv w:val="1"/>
      <w:marLeft w:val="0"/>
      <w:marRight w:val="0"/>
      <w:marTop w:val="0"/>
      <w:marBottom w:val="0"/>
      <w:divBdr>
        <w:top w:val="none" w:sz="0" w:space="0" w:color="auto"/>
        <w:left w:val="none" w:sz="0" w:space="0" w:color="auto"/>
        <w:bottom w:val="none" w:sz="0" w:space="0" w:color="auto"/>
        <w:right w:val="none" w:sz="0" w:space="0" w:color="auto"/>
      </w:divBdr>
    </w:div>
    <w:div w:id="5084495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486817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71466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78274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923856">
      <w:bodyDiv w:val="1"/>
      <w:marLeft w:val="0"/>
      <w:marRight w:val="0"/>
      <w:marTop w:val="0"/>
      <w:marBottom w:val="0"/>
      <w:divBdr>
        <w:top w:val="none" w:sz="0" w:space="0" w:color="auto"/>
        <w:left w:val="none" w:sz="0" w:space="0" w:color="auto"/>
        <w:bottom w:val="none" w:sz="0" w:space="0" w:color="auto"/>
        <w:right w:val="none" w:sz="0" w:space="0" w:color="auto"/>
      </w:divBdr>
    </w:div>
    <w:div w:id="179983700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111612">
      <w:bodyDiv w:val="1"/>
      <w:marLeft w:val="0"/>
      <w:marRight w:val="0"/>
      <w:marTop w:val="0"/>
      <w:marBottom w:val="0"/>
      <w:divBdr>
        <w:top w:val="none" w:sz="0" w:space="0" w:color="auto"/>
        <w:left w:val="none" w:sz="0" w:space="0" w:color="auto"/>
        <w:bottom w:val="none" w:sz="0" w:space="0" w:color="auto"/>
        <w:right w:val="none" w:sz="0" w:space="0" w:color="auto"/>
      </w:divBdr>
    </w:div>
    <w:div w:id="204547533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tp.3gpp.org/TSG_RAN/WG4_Radio/TSGR4_98_e/Docs/R4-2100512.zip" TargetMode="External"/><Relationship Id="rId17" Type="http://schemas.openxmlformats.org/officeDocument/2006/relationships/hyperlink" Target="http://ftp.3gpp.org/TSG_RAN/WG4_Radio/TSGR4_98_e/Docs/R4-2101968.zip" TargetMode="External"/><Relationship Id="rId2" Type="http://schemas.openxmlformats.org/officeDocument/2006/relationships/customXml" Target="../customXml/item1.xml"/><Relationship Id="rId16" Type="http://schemas.openxmlformats.org/officeDocument/2006/relationships/hyperlink" Target="http://ftp.3gpp.org/TSG_RAN/WG4_Radio/TSGR4_98_e/Docs/R4-2101970.zip" TargetMode="External"/><Relationship Id="rId20" Type="http://schemas.openxmlformats.org/officeDocument/2006/relationships/hyperlink" Target="http://ftp.3gpp.org/TSG_RAN/WG4_Radio/TSGR4_98_e/Docs/R4-210197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8_e/Docs/R4-2101720.zip" TargetMode="External"/><Relationship Id="rId5" Type="http://schemas.openxmlformats.org/officeDocument/2006/relationships/settings" Target="settings.xml"/><Relationship Id="rId15" Type="http://schemas.openxmlformats.org/officeDocument/2006/relationships/hyperlink" Target="http://ftp.3gpp.org/TSG_RAN/WG4_Radio/TSGR4_98_e/Docs/R4-2101968.zip" TargetMode="External"/><Relationship Id="rId10" Type="http://schemas.openxmlformats.org/officeDocument/2006/relationships/hyperlink" Target="http://ftp.3gpp.org/TSG_RAN/WG4_Radio/TSGR4_98_e/Docs/R4-2101932.zip" TargetMode="External"/><Relationship Id="rId19" Type="http://schemas.openxmlformats.org/officeDocument/2006/relationships/hyperlink" Target="http://ftp.3gpp.org/TSG_RAN/WG4_Radio/TSGR4_98_e/Docs/R4-2101970.zip" TargetMode="External"/><Relationship Id="rId4" Type="http://schemas.openxmlformats.org/officeDocument/2006/relationships/styles" Target="styles.xml"/><Relationship Id="rId9" Type="http://schemas.openxmlformats.org/officeDocument/2006/relationships/hyperlink" Target="http://ftp.3gpp.org/TSG_RAN/WG4_Radio/TSGR4_98_e/Docs/R4-2100511.zip" TargetMode="External"/><Relationship Id="rId14" Type="http://schemas.openxmlformats.org/officeDocument/2006/relationships/hyperlink" Target="http://ftp.3gpp.org/TSG_RAN/WG4_Radio/TSGR4_98_e/Docs/R4-210172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6</Pages>
  <Words>1361</Words>
  <Characters>7759</Characters>
  <Application>Microsoft Office Word</Application>
  <DocSecurity>0</DocSecurity>
  <Lines>64</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2021-01-19T16:43:00Z</dcterms:created>
  <dcterms:modified xsi:type="dcterms:W3CDTF">2021-01-19T19:59:00Z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