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23A57A" w14:textId="1540D317" w:rsidR="00B66DD7" w:rsidRDefault="00B66DD7" w:rsidP="00B66DD7">
      <w:pPr>
        <w:pStyle w:val="CRCoverPage"/>
        <w:tabs>
          <w:tab w:val="right" w:pos="9639"/>
        </w:tabs>
        <w:spacing w:after="0"/>
        <w:rPr>
          <w:b/>
          <w:i/>
          <w:noProof/>
          <w:sz w:val="28"/>
        </w:rPr>
      </w:pPr>
      <w:bookmarkStart w:id="0" w:name="_Toc2086435"/>
      <w:r w:rsidRPr="007977C4">
        <w:rPr>
          <w:b/>
          <w:noProof/>
          <w:sz w:val="24"/>
        </w:rPr>
        <w:t>3GPP TSG-RAN WG4 Meeting #9</w:t>
      </w:r>
      <w:r>
        <w:rPr>
          <w:b/>
          <w:noProof/>
          <w:sz w:val="24"/>
        </w:rPr>
        <w:t>8</w:t>
      </w:r>
      <w:r w:rsidRPr="007977C4">
        <w:rPr>
          <w:b/>
          <w:noProof/>
          <w:sz w:val="24"/>
        </w:rPr>
        <w:t>-e</w:t>
      </w:r>
      <w:r>
        <w:rPr>
          <w:b/>
          <w:i/>
          <w:noProof/>
          <w:sz w:val="28"/>
        </w:rPr>
        <w:tab/>
      </w:r>
      <w:r w:rsidR="00A54DDF" w:rsidRPr="00A54DDF">
        <w:rPr>
          <w:b/>
          <w:i/>
          <w:noProof/>
          <w:sz w:val="28"/>
        </w:rPr>
        <w:t>R4-2101866</w:t>
      </w:r>
    </w:p>
    <w:p w14:paraId="35A2B6F2" w14:textId="6AA67B6F" w:rsidR="0044364B" w:rsidRPr="00B66DD7" w:rsidRDefault="00B66DD7" w:rsidP="00B66DD7">
      <w:pPr>
        <w:pStyle w:val="CRCoverPage"/>
        <w:outlineLvl w:val="0"/>
        <w:rPr>
          <w:b/>
          <w:noProof/>
          <w:sz w:val="24"/>
        </w:rPr>
      </w:pPr>
      <w:r>
        <w:rPr>
          <w:rFonts w:cs="Arial"/>
          <w:b/>
          <w:sz w:val="24"/>
          <w:szCs w:val="24"/>
        </w:rPr>
        <w:t>Online</w:t>
      </w:r>
      <w:r w:rsidRPr="00636003">
        <w:rPr>
          <w:rFonts w:cs="Arial"/>
          <w:b/>
          <w:sz w:val="24"/>
          <w:szCs w:val="24"/>
        </w:rPr>
        <w:t xml:space="preserve">, </w:t>
      </w:r>
      <w:r>
        <w:rPr>
          <w:rFonts w:cs="Arial"/>
          <w:b/>
          <w:sz w:val="24"/>
          <w:szCs w:val="24"/>
        </w:rPr>
        <w:t>25</w:t>
      </w:r>
      <w:r w:rsidR="00643297">
        <w:rPr>
          <w:rFonts w:cs="Arial"/>
          <w:b/>
          <w:sz w:val="24"/>
          <w:szCs w:val="24"/>
        </w:rPr>
        <w:t>-</w:t>
      </w:r>
      <w:bookmarkStart w:id="1" w:name="_GoBack"/>
      <w:bookmarkEnd w:id="1"/>
      <w:r>
        <w:rPr>
          <w:rFonts w:cs="Arial"/>
          <w:b/>
          <w:sz w:val="24"/>
          <w:szCs w:val="24"/>
        </w:rPr>
        <w:t xml:space="preserve">Jan -- </w:t>
      </w:r>
      <w:r w:rsidRPr="001C59E2">
        <w:rPr>
          <w:rFonts w:cs="Arial"/>
          <w:b/>
          <w:sz w:val="24"/>
          <w:szCs w:val="24"/>
        </w:rPr>
        <w:t xml:space="preserve"> </w:t>
      </w:r>
      <w:r w:rsidR="00643297">
        <w:rPr>
          <w:rFonts w:cs="Arial"/>
          <w:b/>
          <w:sz w:val="24"/>
          <w:szCs w:val="24"/>
        </w:rPr>
        <w:t>5</w:t>
      </w:r>
      <w:r>
        <w:rPr>
          <w:rFonts w:cs="Arial"/>
          <w:b/>
          <w:sz w:val="24"/>
          <w:szCs w:val="24"/>
        </w:rPr>
        <w:t>-Feb,</w:t>
      </w:r>
      <w:r w:rsidRPr="003938A3">
        <w:rPr>
          <w:b/>
          <w:noProof/>
          <w:sz w:val="24"/>
        </w:rPr>
        <w:t xml:space="preserve"> 202</w:t>
      </w:r>
      <w:r>
        <w:rPr>
          <w:b/>
          <w:noProof/>
          <w:sz w:val="24"/>
        </w:rPr>
        <w:t>1</w:t>
      </w:r>
    </w:p>
    <w:p w14:paraId="3E512B0B" w14:textId="77777777" w:rsidR="00D12A57" w:rsidRPr="006C1584" w:rsidRDefault="00D12A57" w:rsidP="0044364B">
      <w:pPr>
        <w:rPr>
          <w:rFonts w:ascii="Arial" w:hAnsi="Arial" w:cs="Arial"/>
          <w:b/>
          <w:bCs/>
          <w:noProof/>
          <w:sz w:val="24"/>
          <w:szCs w:val="24"/>
          <w:lang w:val="en-US"/>
        </w:rPr>
      </w:pP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338B66C5"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1A3546" w:rsidRPr="0099003D">
        <w:rPr>
          <w:rFonts w:ascii="Arial" w:hAnsi="Arial" w:cs="Arial"/>
          <w:bCs/>
          <w:lang w:val="en-US"/>
        </w:rPr>
        <w:t>RRM Measurement Requirements</w:t>
      </w:r>
    </w:p>
    <w:p w14:paraId="710B5126" w14:textId="1C85AEB3"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1A3546" w:rsidRPr="001A3546">
        <w:rPr>
          <w:rFonts w:ascii="Arial" w:hAnsi="Arial" w:cs="Arial"/>
          <w:bCs/>
          <w:lang w:val="en-US"/>
        </w:rPr>
        <w:t>11.8.4.3</w:t>
      </w:r>
    </w:p>
    <w:p w14:paraId="5A3522FA" w14:textId="74BA13B3"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r w:rsidR="0099003D">
        <w:rPr>
          <w:rFonts w:ascii="Arial" w:hAnsi="Arial" w:cs="Arial"/>
          <w:bCs/>
          <w:lang w:val="en-US"/>
        </w:rPr>
        <w:t>A</w:t>
      </w:r>
      <w:r w:rsidRPr="006C1584">
        <w:rPr>
          <w:rFonts w:ascii="Arial" w:hAnsi="Arial" w:cs="Arial"/>
          <w:bCs/>
          <w:lang w:val="en-US"/>
        </w:rPr>
        <w:t>pproval</w:t>
      </w:r>
      <w:bookmarkEnd w:id="0"/>
    </w:p>
    <w:p w14:paraId="438BBA8B" w14:textId="3909F88C" w:rsidR="00080512" w:rsidRDefault="00985F99">
      <w:pPr>
        <w:pStyle w:val="Heading1"/>
        <w:rPr>
          <w:lang w:val="en-US"/>
        </w:rPr>
      </w:pPr>
      <w:bookmarkStart w:id="2" w:name="clause4"/>
      <w:bookmarkStart w:id="3" w:name="_Toc2086441"/>
      <w:bookmarkEnd w:id="2"/>
      <w:r>
        <w:rPr>
          <w:lang w:val="en-US"/>
        </w:rPr>
        <w:t>1</w:t>
      </w:r>
      <w:r w:rsidR="00080512" w:rsidRPr="006C1584">
        <w:rPr>
          <w:lang w:val="en-US"/>
        </w:rPr>
        <w:tab/>
      </w:r>
      <w:bookmarkEnd w:id="3"/>
      <w:r w:rsidR="00B93FB3">
        <w:rPr>
          <w:lang w:val="en-US"/>
        </w:rPr>
        <w:t>Introduction</w:t>
      </w:r>
    </w:p>
    <w:p w14:paraId="4E90F384" w14:textId="75AAE3C7" w:rsidR="002B7913" w:rsidRPr="002B7913" w:rsidRDefault="002B7913" w:rsidP="002B7913">
      <w:pPr>
        <w:rPr>
          <w:lang w:val="en-US"/>
        </w:rPr>
      </w:pPr>
      <w:r>
        <w:rPr>
          <w:lang w:val="en-US"/>
        </w:rPr>
        <w:t>In RAN4#97-e a WF on NTN RRM requirements was approved [1]. In this contribution we develop some of the topics in the WF.</w:t>
      </w:r>
    </w:p>
    <w:tbl>
      <w:tblPr>
        <w:tblStyle w:val="TableGrid"/>
        <w:tblW w:w="0" w:type="auto"/>
        <w:tblLook w:val="04A0" w:firstRow="1" w:lastRow="0" w:firstColumn="1" w:lastColumn="0" w:noHBand="0" w:noVBand="1"/>
      </w:tblPr>
      <w:tblGrid>
        <w:gridCol w:w="9631"/>
      </w:tblGrid>
      <w:tr w:rsidR="002B7913" w14:paraId="77A8177B" w14:textId="77777777" w:rsidTr="002B7913">
        <w:tc>
          <w:tcPr>
            <w:tcW w:w="9631" w:type="dxa"/>
          </w:tcPr>
          <w:p w14:paraId="3F2758AD" w14:textId="5562FE2D" w:rsidR="002B7913" w:rsidRDefault="002B7913" w:rsidP="004169D7">
            <w:pPr>
              <w:rPr>
                <w:lang w:val="en-US"/>
              </w:rPr>
            </w:pPr>
            <w:r>
              <w:rPr>
                <w:lang w:val="en-US"/>
              </w:rPr>
              <w:br/>
            </w:r>
            <w:r w:rsidR="00F52F6D" w:rsidRPr="00F52F6D">
              <w:rPr>
                <w:lang w:val="en-US"/>
              </w:rPr>
              <w:t>Topic #6: NTN Measurements</w:t>
            </w:r>
          </w:p>
          <w:p w14:paraId="51BDEBAC" w14:textId="2D4D5EF7" w:rsidR="00F52F6D" w:rsidRDefault="00F52F6D" w:rsidP="004169D7">
            <w:pPr>
              <w:rPr>
                <w:lang w:val="en-US"/>
              </w:rPr>
            </w:pPr>
            <w:r>
              <w:rPr>
                <w:lang w:val="en-US"/>
              </w:rPr>
              <w:t>Agreed:</w:t>
            </w:r>
          </w:p>
          <w:p w14:paraId="24285474" w14:textId="77777777" w:rsidR="00F52F6D" w:rsidRPr="00F52F6D" w:rsidRDefault="00F52F6D" w:rsidP="00F52F6D">
            <w:pPr>
              <w:numPr>
                <w:ilvl w:val="0"/>
                <w:numId w:val="13"/>
              </w:numPr>
              <w:rPr>
                <w:lang w:val="sv-SE"/>
              </w:rPr>
            </w:pPr>
            <w:r w:rsidRPr="00F52F6D">
              <w:rPr>
                <w:lang w:val="en-US"/>
              </w:rPr>
              <w:t>At least RSRP measurement accuracy for NTN-specific operation should be considered as a candidate option.</w:t>
            </w:r>
          </w:p>
          <w:p w14:paraId="3A3CBB7C" w14:textId="77777777" w:rsidR="00F52F6D" w:rsidRPr="00F52F6D" w:rsidRDefault="00F52F6D" w:rsidP="00F52F6D">
            <w:pPr>
              <w:numPr>
                <w:ilvl w:val="1"/>
                <w:numId w:val="13"/>
              </w:numPr>
              <w:rPr>
                <w:lang w:val="sv-SE"/>
              </w:rPr>
            </w:pPr>
            <w:r w:rsidRPr="00F52F6D">
              <w:rPr>
                <w:lang w:val="en-US"/>
              </w:rPr>
              <w:t>No concern raised so far. There are also other measurements like RSRQ and SINR to consider.</w:t>
            </w:r>
          </w:p>
          <w:p w14:paraId="46F1599D" w14:textId="77777777" w:rsidR="00F52F6D" w:rsidRPr="00F52F6D" w:rsidRDefault="00F52F6D" w:rsidP="00F52F6D">
            <w:pPr>
              <w:numPr>
                <w:ilvl w:val="0"/>
                <w:numId w:val="13"/>
              </w:numPr>
              <w:rPr>
                <w:lang w:val="sv-SE"/>
              </w:rPr>
            </w:pPr>
            <w:r w:rsidRPr="00F52F6D">
              <w:rPr>
                <w:lang w:val="en-US"/>
              </w:rPr>
              <w:t>Consider new measurement type requirements for</w:t>
            </w:r>
          </w:p>
          <w:p w14:paraId="3407C682" w14:textId="77777777" w:rsidR="00F52F6D" w:rsidRPr="00F52F6D" w:rsidRDefault="00F52F6D" w:rsidP="00F52F6D">
            <w:pPr>
              <w:numPr>
                <w:ilvl w:val="1"/>
                <w:numId w:val="13"/>
              </w:numPr>
              <w:rPr>
                <w:lang w:val="sv-SE"/>
              </w:rPr>
            </w:pPr>
            <w:r w:rsidRPr="00F52F6D">
              <w:rPr>
                <w:lang w:val="en-US"/>
              </w:rPr>
              <w:t>New HO procedures defined by RAN2 if any (part of normal RAN4 working process)</w:t>
            </w:r>
          </w:p>
          <w:p w14:paraId="29574757" w14:textId="77777777" w:rsidR="00F52F6D" w:rsidRPr="00F52F6D" w:rsidRDefault="00F52F6D" w:rsidP="00F52F6D">
            <w:pPr>
              <w:numPr>
                <w:ilvl w:val="1"/>
                <w:numId w:val="13"/>
              </w:numPr>
              <w:rPr>
                <w:lang w:val="sv-SE"/>
              </w:rPr>
            </w:pPr>
            <w:r w:rsidRPr="00F52F6D">
              <w:rPr>
                <w:lang w:val="en-US"/>
              </w:rPr>
              <w:t>All scenarios NTN-to-NTN, NTN-to-TN and TN-to-NTN</w:t>
            </w:r>
          </w:p>
          <w:p w14:paraId="14588D7B" w14:textId="77777777" w:rsidR="00F52F6D" w:rsidRPr="00F52F6D" w:rsidRDefault="00F52F6D" w:rsidP="00F52F6D">
            <w:pPr>
              <w:numPr>
                <w:ilvl w:val="2"/>
                <w:numId w:val="13"/>
              </w:numPr>
              <w:rPr>
                <w:lang w:val="sv-SE"/>
              </w:rPr>
            </w:pPr>
            <w:r w:rsidRPr="00F52F6D">
              <w:rPr>
                <w:lang w:val="en-US"/>
              </w:rPr>
              <w:t>Discuss once the Intra NTN mobility has sufficiently progressed. Intra NTN mobility refers to idle and connected mode mobility between NTN cells (e.g. intra or inter satellite).</w:t>
            </w:r>
          </w:p>
          <w:p w14:paraId="243855FE" w14:textId="0C40FEB4" w:rsidR="00F52F6D" w:rsidRPr="00F52F6D" w:rsidRDefault="00F52F6D" w:rsidP="00F52F6D">
            <w:pPr>
              <w:numPr>
                <w:ilvl w:val="1"/>
                <w:numId w:val="13"/>
              </w:numPr>
              <w:rPr>
                <w:lang w:val="sv-SE"/>
              </w:rPr>
            </w:pPr>
            <w:r w:rsidRPr="00F52F6D">
              <w:rPr>
                <w:lang w:val="en-US"/>
              </w:rPr>
              <w:t>No concern raised so far</w:t>
            </w:r>
          </w:p>
          <w:p w14:paraId="3477F21E" w14:textId="5A53A7E2" w:rsidR="00F52F6D" w:rsidRPr="00F52F6D" w:rsidRDefault="00F52F6D" w:rsidP="00F52F6D">
            <w:pPr>
              <w:rPr>
                <w:lang w:val="sv-SE"/>
              </w:rPr>
            </w:pPr>
            <w:r w:rsidRPr="00F52F6D">
              <w:rPr>
                <w:lang w:val="sv-SE"/>
              </w:rPr>
              <w:t>proposals for which there is no agreement</w:t>
            </w:r>
            <w:r>
              <w:rPr>
                <w:lang w:val="sv-SE"/>
              </w:rPr>
              <w:t>:</w:t>
            </w:r>
          </w:p>
          <w:p w14:paraId="69F5119F" w14:textId="77777777" w:rsidR="00F52F6D" w:rsidRPr="00F52F6D" w:rsidRDefault="00F52F6D" w:rsidP="00F52F6D">
            <w:pPr>
              <w:numPr>
                <w:ilvl w:val="0"/>
                <w:numId w:val="13"/>
              </w:numPr>
              <w:rPr>
                <w:lang w:val="sv-SE"/>
              </w:rPr>
            </w:pPr>
            <w:r w:rsidRPr="00F52F6D">
              <w:rPr>
                <w:lang w:val="en-US"/>
              </w:rPr>
              <w:t>Select a list of (core) measurement requirements to be considered with priority.</w:t>
            </w:r>
          </w:p>
          <w:p w14:paraId="79B1DE45" w14:textId="77777777" w:rsidR="00F52F6D" w:rsidRPr="00F52F6D" w:rsidRDefault="00F52F6D" w:rsidP="00F52F6D">
            <w:pPr>
              <w:numPr>
                <w:ilvl w:val="1"/>
                <w:numId w:val="13"/>
              </w:numPr>
              <w:rPr>
                <w:lang w:val="sv-SE"/>
              </w:rPr>
            </w:pPr>
            <w:r w:rsidRPr="00F52F6D">
              <w:rPr>
                <w:lang w:val="en-US"/>
              </w:rPr>
              <w:t>After sufficient progress is made in RAN1 / RAN2.</w:t>
            </w:r>
          </w:p>
          <w:p w14:paraId="75EB010E" w14:textId="4B58D71B" w:rsidR="00F52F6D" w:rsidRPr="00F52F6D" w:rsidRDefault="00F52F6D" w:rsidP="004169D7">
            <w:pPr>
              <w:numPr>
                <w:ilvl w:val="1"/>
                <w:numId w:val="13"/>
              </w:numPr>
              <w:rPr>
                <w:lang w:val="sv-SE"/>
              </w:rPr>
            </w:pPr>
            <w:r w:rsidRPr="00F52F6D">
              <w:rPr>
                <w:lang w:val="en-US"/>
              </w:rPr>
              <w:t>However, an initial list has been already proposed.</w:t>
            </w:r>
          </w:p>
          <w:p w14:paraId="6C78F6FC" w14:textId="37F14D18" w:rsidR="002B7913" w:rsidRDefault="002B7913" w:rsidP="004169D7">
            <w:pPr>
              <w:rPr>
                <w:lang w:val="en-US"/>
              </w:rPr>
            </w:pPr>
          </w:p>
        </w:tc>
      </w:tr>
    </w:tbl>
    <w:p w14:paraId="33042A3F" w14:textId="12FBC799" w:rsidR="004169D7" w:rsidRDefault="004169D7" w:rsidP="004169D7">
      <w:pPr>
        <w:rPr>
          <w:lang w:val="en-US"/>
        </w:rPr>
      </w:pPr>
    </w:p>
    <w:p w14:paraId="41D58D2D" w14:textId="76C782F5" w:rsidR="004169D7" w:rsidRPr="00536300" w:rsidRDefault="004169D7" w:rsidP="004169D7">
      <w:pPr>
        <w:pStyle w:val="Heading1"/>
        <w:rPr>
          <w:lang w:val="en-US"/>
        </w:rPr>
      </w:pPr>
      <w:r>
        <w:rPr>
          <w:lang w:val="en-US"/>
        </w:rPr>
        <w:t>2</w:t>
      </w:r>
      <w:r>
        <w:rPr>
          <w:lang w:val="en-US"/>
        </w:rPr>
        <w:tab/>
        <w:t>Measurements</w:t>
      </w:r>
    </w:p>
    <w:p w14:paraId="3895CC78" w14:textId="14DB4AAC" w:rsidR="004169D7" w:rsidRDefault="004169D7" w:rsidP="004169D7">
      <w:pPr>
        <w:pStyle w:val="Heading2"/>
        <w:rPr>
          <w:lang w:val="en-US"/>
        </w:rPr>
      </w:pPr>
      <w:r>
        <w:rPr>
          <w:lang w:val="en-US"/>
        </w:rPr>
        <w:t>2.1</w:t>
      </w:r>
      <w:r>
        <w:rPr>
          <w:lang w:val="en-US"/>
        </w:rPr>
        <w:tab/>
        <w:t>GNSS measurements during NTN operation</w:t>
      </w:r>
    </w:p>
    <w:p w14:paraId="65D1D841" w14:textId="3EF40F11" w:rsidR="004169D7" w:rsidRDefault="003C1DD6" w:rsidP="004169D7">
      <w:pPr>
        <w:rPr>
          <w:lang w:val="en-US"/>
        </w:rPr>
      </w:pPr>
      <w:r>
        <w:rPr>
          <w:lang w:val="en-US"/>
        </w:rPr>
        <w:t xml:space="preserve">Due to </w:t>
      </w:r>
      <w:r w:rsidR="00B13CCD">
        <w:rPr>
          <w:lang w:val="en-US"/>
        </w:rPr>
        <w:t xml:space="preserve">the large Doppler Shift and Round Trip Time (RTT) and the large cell size (large </w:t>
      </w:r>
      <w:r w:rsidR="00DB1E60">
        <w:rPr>
          <w:lang w:val="en-US"/>
        </w:rPr>
        <w:t>differential delay</w:t>
      </w:r>
      <w:r w:rsidR="00B13CCD">
        <w:rPr>
          <w:lang w:val="en-US"/>
        </w:rPr>
        <w:t>)</w:t>
      </w:r>
      <w:r w:rsidR="004169D7">
        <w:rPr>
          <w:lang w:val="en-US"/>
        </w:rPr>
        <w:t>, the use of accurate UE position along with satellite ephemeris data is likely to be critical for many RRM and transmission/demodulation procedures. A few RRM related examples are that the UE may need to preform- Doppler and timing pre-compensation for UL PRACH transmission</w:t>
      </w:r>
    </w:p>
    <w:p w14:paraId="3E622C73" w14:textId="77777777" w:rsidR="004169D7" w:rsidRDefault="004169D7" w:rsidP="004169D7">
      <w:pPr>
        <w:rPr>
          <w:lang w:val="en-US"/>
        </w:rPr>
      </w:pPr>
      <w:r>
        <w:rPr>
          <w:lang w:val="en-US"/>
        </w:rPr>
        <w:t>- Possible time and frequency tracking after PRACH transmission</w:t>
      </w:r>
    </w:p>
    <w:p w14:paraId="575014C3" w14:textId="77777777" w:rsidR="004169D7" w:rsidRDefault="004169D7" w:rsidP="004169D7">
      <w:pPr>
        <w:rPr>
          <w:lang w:val="en-US"/>
        </w:rPr>
      </w:pPr>
      <w:r>
        <w:rPr>
          <w:lang w:val="en-US"/>
        </w:rPr>
        <w:lastRenderedPageBreak/>
        <w:t>- Initial timing difference estimation of a neighbor cell to determine a suitable measurement window</w:t>
      </w:r>
    </w:p>
    <w:p w14:paraId="363966A4" w14:textId="77777777" w:rsidR="004169D7" w:rsidRDefault="004169D7" w:rsidP="004169D7">
      <w:pPr>
        <w:rPr>
          <w:lang w:val="en-US"/>
        </w:rPr>
      </w:pPr>
      <w:r>
        <w:rPr>
          <w:lang w:val="en-US"/>
        </w:rPr>
        <w:t>- Possible location based beam management or mobility.</w:t>
      </w:r>
    </w:p>
    <w:p w14:paraId="53236756" w14:textId="77777777" w:rsidR="004169D7" w:rsidRDefault="004169D7" w:rsidP="004169D7">
      <w:pPr>
        <w:rPr>
          <w:lang w:val="en-US"/>
        </w:rPr>
      </w:pPr>
      <w:r>
        <w:rPr>
          <w:lang w:val="en-US"/>
        </w:rPr>
        <w:t xml:space="preserve">- Doppler and timing tracking for the downlink. </w:t>
      </w:r>
    </w:p>
    <w:p w14:paraId="10402C35" w14:textId="77777777" w:rsidR="004169D7" w:rsidRDefault="004169D7" w:rsidP="004169D7">
      <w:pPr>
        <w:rPr>
          <w:lang w:val="en-US"/>
        </w:rPr>
      </w:pPr>
      <w:r w:rsidRPr="0CB1F0A3">
        <w:rPr>
          <w:lang w:val="en-US"/>
        </w:rPr>
        <w:t>These examples are not exhaustive</w:t>
      </w:r>
      <w:r>
        <w:rPr>
          <w:lang w:val="en-US"/>
        </w:rPr>
        <w:t>, nor do we intend to give the impression that all items in the list will be part of the eventual solution</w:t>
      </w:r>
      <w:r w:rsidRPr="0CB1F0A3">
        <w:rPr>
          <w:lang w:val="en-US"/>
        </w:rPr>
        <w:t>. The main aspect to emphasize here is that unlike for TN operation, an accurate and up to date estimate of position is pivotal to NTN operation and the UE will likely need to  perform frequent GNSS positioning measurements in both idle and</w:t>
      </w:r>
      <w:r>
        <w:rPr>
          <w:lang w:val="en-US"/>
        </w:rPr>
        <w:t xml:space="preserve"> possibly </w:t>
      </w:r>
      <w:r w:rsidRPr="0CB1F0A3">
        <w:rPr>
          <w:lang w:val="en-US"/>
        </w:rPr>
        <w:t xml:space="preserve"> RRC connected state. The UE can be the aforementioned ephemeris data for the NTN satellites. Hence a natural discussion to start the work is related to the GNSS measurements and UE positioning. </w:t>
      </w:r>
    </w:p>
    <w:p w14:paraId="08EC9831" w14:textId="77777777" w:rsidR="004169D7" w:rsidRDefault="004169D7" w:rsidP="004169D7">
      <w:pPr>
        <w:rPr>
          <w:lang w:val="en-US"/>
        </w:rPr>
      </w:pPr>
      <w:r>
        <w:rPr>
          <w:lang w:val="en-US"/>
        </w:rPr>
        <w:t>GNSS receivers are implemented in many commercially available UEs and 3GPP has already specified A-GNSS assistance signaling for TN. As GNSS is a non 3GPP radio technology, it has not been specified in RAN4 specifications that the UE is allowed measurement gaps or interruptions for GNSS reception in the existing implementations, and hence we can observe</w:t>
      </w:r>
    </w:p>
    <w:p w14:paraId="77974658" w14:textId="7F49810C" w:rsidR="004169D7" w:rsidRDefault="004169D7" w:rsidP="004169D7">
      <w:pPr>
        <w:rPr>
          <w:b/>
          <w:bCs/>
          <w:lang w:val="en-US"/>
        </w:rPr>
      </w:pPr>
      <w:r>
        <w:rPr>
          <w:b/>
          <w:bCs/>
          <w:lang w:val="en-US"/>
        </w:rPr>
        <w:t xml:space="preserve">Observation </w:t>
      </w:r>
      <w:r w:rsidR="00EF61E3">
        <w:rPr>
          <w:b/>
          <w:bCs/>
          <w:lang w:val="en-US"/>
        </w:rPr>
        <w:t>1</w:t>
      </w:r>
      <w:r>
        <w:rPr>
          <w:b/>
          <w:bCs/>
          <w:lang w:val="en-US"/>
        </w:rPr>
        <w:t xml:space="preserve"> : It is practically feasible to receive GNSS positioning signals without any measurement gap or interruption in 3GPP radio reception or transmission</w:t>
      </w:r>
    </w:p>
    <w:p w14:paraId="0172A72B" w14:textId="77777777" w:rsidR="004169D7" w:rsidRDefault="004169D7" w:rsidP="004169D7">
      <w:pPr>
        <w:rPr>
          <w:lang w:val="en-US"/>
        </w:rPr>
      </w:pPr>
      <w:r>
        <w:rPr>
          <w:lang w:val="en-US"/>
        </w:rPr>
        <w:t>Due to the necessity to acquire and keep track of UE position when the UE is operating with NTN, the UE will need to make frequent positioning measurements. Based on the frequency of positioning measurement any possible measurement gap or allowed interruption would have a significant impact on NR communication and based on observation 4, should not be necessary. Hence we propose</w:t>
      </w:r>
    </w:p>
    <w:p w14:paraId="2683C037" w14:textId="77777777" w:rsidR="004169D7" w:rsidRDefault="004169D7" w:rsidP="004169D7">
      <w:pPr>
        <w:rPr>
          <w:b/>
          <w:bCs/>
          <w:lang w:val="en-US"/>
        </w:rPr>
      </w:pPr>
      <w:r>
        <w:rPr>
          <w:b/>
          <w:bCs/>
          <w:lang w:val="en-US"/>
        </w:rPr>
        <w:t>Proposal 1 : No interruptions or measurement gaps are allowed for GNSS measurements during NTN operation.</w:t>
      </w:r>
    </w:p>
    <w:p w14:paraId="2771BC2D" w14:textId="77777777" w:rsidR="004169D7" w:rsidRDefault="004169D7" w:rsidP="004169D7">
      <w:pPr>
        <w:rPr>
          <w:lang w:val="en-US"/>
        </w:rPr>
      </w:pPr>
      <w:r>
        <w:rPr>
          <w:lang w:val="en-US"/>
        </w:rPr>
        <w:t xml:space="preserve"> Further discussion of positioning measurements may be necessary in the work item. Since the accuracy of the positioning fix will have direct impact to other radio operations such as the probability of detecting a neighbor cell correctly, it will be necessary to consider whether existing A-GNSS requirements such as those in TS 38.171 are sufficient for the NTN operation use case. For example, 38.171 provides the following requirement on positioning measurement accuracy</w:t>
      </w:r>
    </w:p>
    <w:tbl>
      <w:tblPr>
        <w:tblStyle w:val="TableGrid"/>
        <w:tblW w:w="0" w:type="auto"/>
        <w:tblLook w:val="04A0" w:firstRow="1" w:lastRow="0" w:firstColumn="1" w:lastColumn="0" w:noHBand="0" w:noVBand="1"/>
      </w:tblPr>
      <w:tblGrid>
        <w:gridCol w:w="9631"/>
      </w:tblGrid>
      <w:tr w:rsidR="004169D7" w14:paraId="42824417" w14:textId="77777777" w:rsidTr="00A54DDF">
        <w:tc>
          <w:tcPr>
            <w:tcW w:w="9631" w:type="dxa"/>
          </w:tcPr>
          <w:p w14:paraId="514CC02F" w14:textId="77777777" w:rsidR="004169D7" w:rsidRPr="00510DAA" w:rsidRDefault="004169D7" w:rsidP="00A54DDF">
            <w:pPr>
              <w:rPr>
                <w:i/>
                <w:iCs/>
              </w:rPr>
            </w:pPr>
            <w:r w:rsidRPr="00510DAA">
              <w:rPr>
                <w:i/>
                <w:iCs/>
              </w:rPr>
              <w:t>The minimum performance requirements specified in clause 5 apply for UEs that support A-GPS L1 C/A only. The requirements for UEs that support other or additional A-GNSSs are specified in clause 6.</w:t>
            </w:r>
          </w:p>
          <w:p w14:paraId="0875A541" w14:textId="77777777" w:rsidR="004169D7" w:rsidRPr="00194A8D" w:rsidRDefault="004169D7" w:rsidP="00A54DDF">
            <w:pPr>
              <w:pStyle w:val="Heading3"/>
              <w:rPr>
                <w:i/>
                <w:iCs/>
              </w:rPr>
            </w:pPr>
            <w:r w:rsidRPr="00B34228">
              <w:rPr>
                <w:i/>
                <w:iCs/>
              </w:rPr>
              <w:t>…</w:t>
            </w:r>
          </w:p>
          <w:p w14:paraId="24516610" w14:textId="77777777" w:rsidR="004169D7" w:rsidRPr="00510DAA" w:rsidRDefault="004169D7" w:rsidP="00A54DDF">
            <w:pPr>
              <w:pStyle w:val="Heading3"/>
              <w:rPr>
                <w:i/>
                <w:iCs/>
              </w:rPr>
            </w:pPr>
            <w:r w:rsidRPr="00510DAA">
              <w:rPr>
                <w:i/>
                <w:iCs/>
              </w:rPr>
              <w:t>5.2.1</w:t>
            </w:r>
            <w:r w:rsidRPr="00510DAA">
              <w:rPr>
                <w:i/>
                <w:iCs/>
              </w:rPr>
              <w:tab/>
              <w:t>Minimum requirements (nominal accuracy)</w:t>
            </w:r>
          </w:p>
          <w:p w14:paraId="61C5372C" w14:textId="77777777" w:rsidR="004169D7" w:rsidRPr="00510DAA" w:rsidRDefault="004169D7" w:rsidP="00A54DDF">
            <w:pPr>
              <w:keepNext/>
              <w:keepLines/>
              <w:overflowPunct w:val="0"/>
              <w:autoSpaceDE w:val="0"/>
              <w:autoSpaceDN w:val="0"/>
              <w:adjustRightInd w:val="0"/>
              <w:textAlignment w:val="baseline"/>
              <w:rPr>
                <w:i/>
                <w:iCs/>
              </w:rPr>
            </w:pPr>
            <w:r w:rsidRPr="00510DAA">
              <w:rPr>
                <w:i/>
                <w:iCs/>
              </w:rPr>
              <w:t>The position estimates shall meet the accuracy and response time requirements in Table 5.6.</w:t>
            </w:r>
          </w:p>
          <w:p w14:paraId="65E27823" w14:textId="77777777" w:rsidR="004169D7" w:rsidRPr="00510DAA" w:rsidRDefault="004169D7" w:rsidP="00A54DDF">
            <w:pPr>
              <w:pStyle w:val="TH"/>
              <w:rPr>
                <w:i/>
                <w:iCs/>
              </w:rPr>
            </w:pPr>
            <w:r w:rsidRPr="00510DAA">
              <w:rPr>
                <w:i/>
                <w:iCs/>
              </w:rPr>
              <w:t>Table 5.6: Minimum requirements</w:t>
            </w:r>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42"/>
              <w:gridCol w:w="2161"/>
              <w:gridCol w:w="3512"/>
            </w:tblGrid>
            <w:tr w:rsidR="004169D7" w:rsidRPr="00DC4D1A" w14:paraId="1CB714AE" w14:textId="77777777" w:rsidTr="00A54DDF">
              <w:trPr>
                <w:cantSplit/>
                <w:tblHeader/>
                <w:jc w:val="center"/>
              </w:trPr>
              <w:tc>
                <w:tcPr>
                  <w:tcW w:w="2140" w:type="dxa"/>
                  <w:tcBorders>
                    <w:top w:val="single" w:sz="4" w:space="0" w:color="auto"/>
                    <w:left w:val="single" w:sz="4" w:space="0" w:color="auto"/>
                    <w:bottom w:val="single" w:sz="4" w:space="0" w:color="auto"/>
                    <w:right w:val="single" w:sz="4" w:space="0" w:color="auto"/>
                  </w:tcBorders>
                  <w:hideMark/>
                </w:tcPr>
                <w:p w14:paraId="3C27B8CC" w14:textId="77777777" w:rsidR="004169D7" w:rsidRPr="00510DAA" w:rsidRDefault="004169D7" w:rsidP="00A54DDF">
                  <w:pPr>
                    <w:pStyle w:val="TAH"/>
                    <w:rPr>
                      <w:i/>
                      <w:iCs/>
                    </w:rPr>
                  </w:pPr>
                  <w:r w:rsidRPr="00510DAA">
                    <w:rPr>
                      <w:i/>
                      <w:iCs/>
                    </w:rPr>
                    <w:t>Success rate</w:t>
                  </w:r>
                </w:p>
              </w:tc>
              <w:tc>
                <w:tcPr>
                  <w:tcW w:w="2160" w:type="dxa"/>
                  <w:tcBorders>
                    <w:top w:val="single" w:sz="4" w:space="0" w:color="auto"/>
                    <w:left w:val="single" w:sz="4" w:space="0" w:color="auto"/>
                    <w:bottom w:val="single" w:sz="4" w:space="0" w:color="auto"/>
                    <w:right w:val="single" w:sz="4" w:space="0" w:color="auto"/>
                  </w:tcBorders>
                  <w:hideMark/>
                </w:tcPr>
                <w:p w14:paraId="5AE93B08" w14:textId="77777777" w:rsidR="004169D7" w:rsidRPr="00510DAA" w:rsidRDefault="004169D7" w:rsidP="00A54DDF">
                  <w:pPr>
                    <w:pStyle w:val="TAH"/>
                    <w:rPr>
                      <w:i/>
                      <w:iCs/>
                    </w:rPr>
                  </w:pPr>
                  <w:r w:rsidRPr="00510DAA">
                    <w:rPr>
                      <w:i/>
                      <w:iCs/>
                    </w:rPr>
                    <w:t>2-D position error</w:t>
                  </w:r>
                </w:p>
              </w:tc>
              <w:tc>
                <w:tcPr>
                  <w:tcW w:w="3510" w:type="dxa"/>
                  <w:tcBorders>
                    <w:top w:val="single" w:sz="4" w:space="0" w:color="auto"/>
                    <w:left w:val="single" w:sz="4" w:space="0" w:color="auto"/>
                    <w:bottom w:val="single" w:sz="4" w:space="0" w:color="auto"/>
                    <w:right w:val="single" w:sz="4" w:space="0" w:color="auto"/>
                  </w:tcBorders>
                  <w:hideMark/>
                </w:tcPr>
                <w:p w14:paraId="408A8257" w14:textId="77777777" w:rsidR="004169D7" w:rsidRPr="00510DAA" w:rsidRDefault="004169D7" w:rsidP="00A54DDF">
                  <w:pPr>
                    <w:pStyle w:val="TAH"/>
                    <w:rPr>
                      <w:i/>
                      <w:iCs/>
                    </w:rPr>
                  </w:pPr>
                  <w:r w:rsidRPr="00510DAA">
                    <w:rPr>
                      <w:i/>
                      <w:iCs/>
                    </w:rPr>
                    <w:t>Max response time</w:t>
                  </w:r>
                </w:p>
              </w:tc>
            </w:tr>
            <w:tr w:rsidR="004169D7" w:rsidRPr="00DC4D1A" w14:paraId="4E69C898" w14:textId="77777777" w:rsidTr="00A54DDF">
              <w:trPr>
                <w:cantSplit/>
                <w:jc w:val="center"/>
              </w:trPr>
              <w:tc>
                <w:tcPr>
                  <w:tcW w:w="2140" w:type="dxa"/>
                  <w:tcBorders>
                    <w:top w:val="single" w:sz="4" w:space="0" w:color="auto"/>
                    <w:left w:val="single" w:sz="4" w:space="0" w:color="auto"/>
                    <w:bottom w:val="single" w:sz="4" w:space="0" w:color="auto"/>
                    <w:right w:val="single" w:sz="4" w:space="0" w:color="auto"/>
                  </w:tcBorders>
                  <w:hideMark/>
                </w:tcPr>
                <w:p w14:paraId="36A11F38" w14:textId="77777777" w:rsidR="004169D7" w:rsidRPr="00510DAA" w:rsidRDefault="004169D7" w:rsidP="00A54DDF">
                  <w:pPr>
                    <w:pStyle w:val="TAC"/>
                    <w:rPr>
                      <w:i/>
                      <w:iCs/>
                    </w:rPr>
                  </w:pPr>
                  <w:r w:rsidRPr="00510DAA">
                    <w:rPr>
                      <w:i/>
                      <w:iCs/>
                    </w:rPr>
                    <w:t>95 %</w:t>
                  </w:r>
                </w:p>
              </w:tc>
              <w:tc>
                <w:tcPr>
                  <w:tcW w:w="2160" w:type="dxa"/>
                  <w:tcBorders>
                    <w:top w:val="single" w:sz="4" w:space="0" w:color="auto"/>
                    <w:left w:val="single" w:sz="4" w:space="0" w:color="auto"/>
                    <w:bottom w:val="single" w:sz="4" w:space="0" w:color="auto"/>
                    <w:right w:val="single" w:sz="4" w:space="0" w:color="auto"/>
                  </w:tcBorders>
                  <w:hideMark/>
                </w:tcPr>
                <w:p w14:paraId="5E37702C" w14:textId="77777777" w:rsidR="004169D7" w:rsidRPr="00510DAA" w:rsidRDefault="004169D7" w:rsidP="00A54DDF">
                  <w:pPr>
                    <w:pStyle w:val="TAC"/>
                    <w:rPr>
                      <w:i/>
                      <w:iCs/>
                    </w:rPr>
                  </w:pPr>
                  <w:r w:rsidRPr="00510DAA">
                    <w:rPr>
                      <w:i/>
                      <w:iCs/>
                    </w:rPr>
                    <w:t>30 m</w:t>
                  </w:r>
                </w:p>
              </w:tc>
              <w:tc>
                <w:tcPr>
                  <w:tcW w:w="3510" w:type="dxa"/>
                  <w:tcBorders>
                    <w:top w:val="single" w:sz="4" w:space="0" w:color="auto"/>
                    <w:left w:val="single" w:sz="4" w:space="0" w:color="auto"/>
                    <w:bottom w:val="single" w:sz="4" w:space="0" w:color="auto"/>
                    <w:right w:val="single" w:sz="4" w:space="0" w:color="auto"/>
                  </w:tcBorders>
                  <w:hideMark/>
                </w:tcPr>
                <w:p w14:paraId="0FD7371B" w14:textId="77777777" w:rsidR="004169D7" w:rsidRPr="00510DAA" w:rsidRDefault="004169D7" w:rsidP="00A54DDF">
                  <w:pPr>
                    <w:pStyle w:val="TAC"/>
                    <w:rPr>
                      <w:i/>
                      <w:iCs/>
                    </w:rPr>
                  </w:pPr>
                  <w:r w:rsidRPr="00510DAA">
                    <w:rPr>
                      <w:i/>
                      <w:iCs/>
                    </w:rPr>
                    <w:t>20 s</w:t>
                  </w:r>
                </w:p>
              </w:tc>
            </w:tr>
          </w:tbl>
          <w:p w14:paraId="4B415B7D" w14:textId="77777777" w:rsidR="004169D7" w:rsidRDefault="004169D7" w:rsidP="00A54DDF">
            <w:pPr>
              <w:rPr>
                <w:lang w:val="en-US"/>
              </w:rPr>
            </w:pPr>
            <w:r>
              <w:rPr>
                <w:lang w:val="en-US"/>
              </w:rPr>
              <w:t>…</w:t>
            </w:r>
          </w:p>
          <w:p w14:paraId="255FB64F" w14:textId="77777777" w:rsidR="004169D7" w:rsidRDefault="004169D7" w:rsidP="00A54DDF">
            <w:pPr>
              <w:overflowPunct w:val="0"/>
              <w:autoSpaceDE w:val="0"/>
              <w:autoSpaceDN w:val="0"/>
              <w:adjustRightInd w:val="0"/>
              <w:textAlignment w:val="baseline"/>
              <w:rPr>
                <w:i/>
                <w:iCs/>
              </w:rPr>
            </w:pPr>
            <w:r w:rsidRPr="00510DAA">
              <w:rPr>
                <w:i/>
                <w:iCs/>
              </w:rPr>
              <w:t>The minimum performance requirements specified in clause 6 apply for UEs that support other A-GNSSs than GPS L1 C/A, or multiple A-GNSSs which may or may not include GPS L1 C/A. The requirements for UEs that support A-GPS L1 C/A only are specified in clause 5.</w:t>
            </w:r>
          </w:p>
          <w:p w14:paraId="63E1BDC1" w14:textId="77777777" w:rsidR="004169D7" w:rsidRPr="00510DAA" w:rsidRDefault="004169D7" w:rsidP="00A54DDF">
            <w:pPr>
              <w:overflowPunct w:val="0"/>
              <w:autoSpaceDE w:val="0"/>
              <w:autoSpaceDN w:val="0"/>
              <w:adjustRightInd w:val="0"/>
              <w:textAlignment w:val="baseline"/>
              <w:rPr>
                <w:i/>
                <w:iCs/>
              </w:rPr>
            </w:pPr>
            <w:r>
              <w:rPr>
                <w:i/>
                <w:iCs/>
              </w:rPr>
              <w:t>…</w:t>
            </w:r>
          </w:p>
          <w:p w14:paraId="663972C6" w14:textId="77777777" w:rsidR="004169D7" w:rsidRPr="00033949" w:rsidRDefault="004169D7" w:rsidP="00A54DDF">
            <w:pPr>
              <w:pStyle w:val="Heading3"/>
            </w:pPr>
            <w:bookmarkStart w:id="4" w:name="_Toc5282146"/>
            <w:bookmarkStart w:id="5" w:name="_Toc29812344"/>
            <w:bookmarkStart w:id="6" w:name="_Toc29812453"/>
            <w:bookmarkStart w:id="7" w:name="_Toc37140324"/>
            <w:bookmarkStart w:id="8" w:name="_Toc37140611"/>
            <w:bookmarkStart w:id="9" w:name="_Toc37140729"/>
            <w:bookmarkStart w:id="10" w:name="_Toc37268679"/>
            <w:bookmarkStart w:id="11" w:name="_Toc45880084"/>
            <w:r w:rsidRPr="00033949">
              <w:t>6.2.1</w:t>
            </w:r>
            <w:r w:rsidRPr="00033949">
              <w:tab/>
              <w:t>Minimum requirements (nominal accuracy)</w:t>
            </w:r>
            <w:bookmarkEnd w:id="4"/>
            <w:bookmarkEnd w:id="5"/>
            <w:bookmarkEnd w:id="6"/>
            <w:bookmarkEnd w:id="7"/>
            <w:bookmarkEnd w:id="8"/>
            <w:bookmarkEnd w:id="9"/>
            <w:bookmarkEnd w:id="10"/>
            <w:bookmarkEnd w:id="11"/>
          </w:p>
          <w:p w14:paraId="44F4F1B8" w14:textId="77777777" w:rsidR="004169D7" w:rsidRPr="00033949" w:rsidRDefault="004169D7" w:rsidP="00A54DDF">
            <w:pPr>
              <w:keepNext/>
              <w:keepLines/>
              <w:overflowPunct w:val="0"/>
              <w:autoSpaceDE w:val="0"/>
              <w:autoSpaceDN w:val="0"/>
              <w:adjustRightInd w:val="0"/>
              <w:textAlignment w:val="baseline"/>
            </w:pPr>
            <w:r w:rsidRPr="00033949">
              <w:t>The position estimates shall meet the accuracy and response time requirements in Table 6.9.</w:t>
            </w:r>
          </w:p>
          <w:p w14:paraId="03E9E6E1" w14:textId="77777777" w:rsidR="004169D7" w:rsidRPr="00033949" w:rsidRDefault="004169D7" w:rsidP="00A54DDF">
            <w:pPr>
              <w:pStyle w:val="TH"/>
            </w:pPr>
            <w:r w:rsidRPr="00033949">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50"/>
              <w:gridCol w:w="1686"/>
              <w:gridCol w:w="1984"/>
              <w:gridCol w:w="2552"/>
            </w:tblGrid>
            <w:tr w:rsidR="004169D7" w:rsidRPr="00033949" w14:paraId="7803067F" w14:textId="77777777" w:rsidTr="00A54DDF">
              <w:trPr>
                <w:cantSplit/>
                <w:tblHeader/>
                <w:jc w:val="center"/>
              </w:trPr>
              <w:tc>
                <w:tcPr>
                  <w:tcW w:w="1250" w:type="dxa"/>
                  <w:tcBorders>
                    <w:bottom w:val="single" w:sz="4" w:space="0" w:color="auto"/>
                  </w:tcBorders>
                </w:tcPr>
                <w:p w14:paraId="3F4B00B5" w14:textId="77777777" w:rsidR="004169D7" w:rsidRPr="00033949" w:rsidRDefault="004169D7" w:rsidP="00A54DDF">
                  <w:pPr>
                    <w:pStyle w:val="TAH"/>
                  </w:pPr>
                  <w:r w:rsidRPr="00033949">
                    <w:t>System</w:t>
                  </w:r>
                </w:p>
              </w:tc>
              <w:tc>
                <w:tcPr>
                  <w:tcW w:w="1686" w:type="dxa"/>
                  <w:tcBorders>
                    <w:bottom w:val="single" w:sz="4" w:space="0" w:color="auto"/>
                  </w:tcBorders>
                </w:tcPr>
                <w:p w14:paraId="3B66F7B8" w14:textId="77777777" w:rsidR="004169D7" w:rsidRPr="00033949" w:rsidRDefault="004169D7" w:rsidP="00A54DDF">
                  <w:pPr>
                    <w:pStyle w:val="TAH"/>
                  </w:pPr>
                  <w:r w:rsidRPr="00033949">
                    <w:t>Success rate</w:t>
                  </w:r>
                </w:p>
              </w:tc>
              <w:tc>
                <w:tcPr>
                  <w:tcW w:w="1984" w:type="dxa"/>
                  <w:tcBorders>
                    <w:bottom w:val="single" w:sz="4" w:space="0" w:color="auto"/>
                  </w:tcBorders>
                </w:tcPr>
                <w:p w14:paraId="783A311F" w14:textId="77777777" w:rsidR="004169D7" w:rsidRPr="00033949" w:rsidRDefault="004169D7" w:rsidP="00A54DDF">
                  <w:pPr>
                    <w:pStyle w:val="TAH"/>
                  </w:pPr>
                  <w:r w:rsidRPr="00033949">
                    <w:t>2-D position error</w:t>
                  </w:r>
                </w:p>
              </w:tc>
              <w:tc>
                <w:tcPr>
                  <w:tcW w:w="2552" w:type="dxa"/>
                  <w:tcBorders>
                    <w:bottom w:val="single" w:sz="4" w:space="0" w:color="auto"/>
                  </w:tcBorders>
                </w:tcPr>
                <w:p w14:paraId="6B7B65F3" w14:textId="77777777" w:rsidR="004169D7" w:rsidRPr="00033949" w:rsidRDefault="004169D7" w:rsidP="00A54DDF">
                  <w:pPr>
                    <w:pStyle w:val="TAH"/>
                  </w:pPr>
                  <w:r w:rsidRPr="00033949">
                    <w:t>Max response time</w:t>
                  </w:r>
                </w:p>
              </w:tc>
            </w:tr>
            <w:tr w:rsidR="004169D7" w:rsidRPr="00033949" w14:paraId="0318B3A6" w14:textId="77777777" w:rsidTr="00A54DDF">
              <w:trPr>
                <w:cantSplit/>
                <w:jc w:val="center"/>
              </w:trPr>
              <w:tc>
                <w:tcPr>
                  <w:tcW w:w="1250" w:type="dxa"/>
                </w:tcPr>
                <w:p w14:paraId="271D33A5" w14:textId="77777777" w:rsidR="004169D7" w:rsidRPr="00033949" w:rsidRDefault="004169D7" w:rsidP="00A54DDF">
                  <w:pPr>
                    <w:pStyle w:val="TAC"/>
                  </w:pPr>
                  <w:r w:rsidRPr="00033949">
                    <w:t>All</w:t>
                  </w:r>
                </w:p>
              </w:tc>
              <w:tc>
                <w:tcPr>
                  <w:tcW w:w="1686" w:type="dxa"/>
                </w:tcPr>
                <w:p w14:paraId="2652FE03" w14:textId="77777777" w:rsidR="004169D7" w:rsidRPr="00033949" w:rsidRDefault="004169D7" w:rsidP="00A54DDF">
                  <w:pPr>
                    <w:pStyle w:val="TAC"/>
                  </w:pPr>
                  <w:r w:rsidRPr="00033949">
                    <w:t>95 %</w:t>
                  </w:r>
                </w:p>
              </w:tc>
              <w:tc>
                <w:tcPr>
                  <w:tcW w:w="1984" w:type="dxa"/>
                </w:tcPr>
                <w:p w14:paraId="58E76DFD" w14:textId="77777777" w:rsidR="004169D7" w:rsidRPr="00033949" w:rsidRDefault="004169D7" w:rsidP="00A54DDF">
                  <w:pPr>
                    <w:pStyle w:val="TAC"/>
                  </w:pPr>
                  <w:r w:rsidRPr="00033949">
                    <w:t>15 m</w:t>
                  </w:r>
                </w:p>
              </w:tc>
              <w:tc>
                <w:tcPr>
                  <w:tcW w:w="2552" w:type="dxa"/>
                </w:tcPr>
                <w:p w14:paraId="417365E4" w14:textId="77777777" w:rsidR="004169D7" w:rsidRPr="00033949" w:rsidRDefault="004169D7" w:rsidP="00A54DDF">
                  <w:pPr>
                    <w:pStyle w:val="TAC"/>
                  </w:pPr>
                  <w:r w:rsidRPr="00033949">
                    <w:t>20 s</w:t>
                  </w:r>
                </w:p>
              </w:tc>
            </w:tr>
          </w:tbl>
          <w:p w14:paraId="65B09648" w14:textId="77777777" w:rsidR="004169D7" w:rsidRDefault="004169D7" w:rsidP="00A54DDF">
            <w:pPr>
              <w:rPr>
                <w:lang w:val="en-US"/>
              </w:rPr>
            </w:pPr>
          </w:p>
        </w:tc>
      </w:tr>
    </w:tbl>
    <w:p w14:paraId="6187A645" w14:textId="1848FD4B" w:rsidR="004169D7" w:rsidRDefault="00646F9F" w:rsidP="004169D7">
      <w:pPr>
        <w:rPr>
          <w:lang w:val="en-US"/>
        </w:rPr>
      </w:pPr>
      <w:r>
        <w:rPr>
          <w:lang w:val="en-US"/>
        </w:rPr>
        <w:lastRenderedPageBreak/>
        <w:br/>
      </w:r>
      <w:r w:rsidR="004169D7" w:rsidRPr="0237FC74">
        <w:rPr>
          <w:lang w:val="en-US"/>
        </w:rPr>
        <w:t xml:space="preserve">Since a 15 or 30m difference in propagation path length (depending on UE capabilities) corresponds to around 0.05uS or 0.1µS at the speed of light, this gives an order of magnitude estimate of the impact of a positioning error to a timing estimate based entirely on the estimated position, however it should be noted that a 2-D position error of 15m or 30m will not directly correspond to a 15m or 30m error in the estimated propagation path between the UE and the satellite due to the geometry of the satellite (e.g. if it is directly overhead versus low on the horizon). Of more concern might be the 20s response time, since many time critical RRM procedures such as handover could not afford a 20s delay before being actioned. </w:t>
      </w:r>
      <w:r w:rsidR="004169D7">
        <w:rPr>
          <w:lang w:val="en-US"/>
        </w:rPr>
        <w:t>On the other hand,</w:t>
      </w:r>
      <w:r w:rsidR="004169D7" w:rsidRPr="0237FC74">
        <w:rPr>
          <w:lang w:val="en-US"/>
        </w:rPr>
        <w:t xml:space="preserve"> these requirements apply when the UE does not have a valid fix and 20s is a response time for time to first fix (TTFF) which is not relevant for the case where UE already has an estimated position and is performing position tracking measurements wit</w:t>
      </w:r>
      <w:r w:rsidR="004169D7">
        <w:rPr>
          <w:lang w:val="en-US"/>
        </w:rPr>
        <w:t xml:space="preserve">h </w:t>
      </w:r>
      <w:r w:rsidR="004169D7" w:rsidRPr="0237FC74">
        <w:rPr>
          <w:lang w:val="en-US"/>
        </w:rPr>
        <w:t>GNSS</w:t>
      </w:r>
      <w:r w:rsidR="004169D7">
        <w:rPr>
          <w:lang w:val="en-US"/>
        </w:rPr>
        <w:t xml:space="preserve"> which is the likely case in most RRM requirements after initial acquisition</w:t>
      </w:r>
      <w:r w:rsidR="004169D7" w:rsidRPr="0237FC74">
        <w:rPr>
          <w:lang w:val="en-US"/>
        </w:rPr>
        <w:t>. Of more relevance in RRM would be time to subsequent fix (TTSF) and corresponding accuracy/success rate. The achievable TTSF delay and accuracy depend both on the fundamental GNSS signal characteristics and also on the UE measurement rate, which has a strong impact on UE power consumption. Naturally RAN4 needs to define requirements which</w:t>
      </w:r>
    </w:p>
    <w:p w14:paraId="2C02A02D" w14:textId="77777777" w:rsidR="004169D7" w:rsidRPr="00F7144D" w:rsidRDefault="004169D7" w:rsidP="004169D7">
      <w:pPr>
        <w:pStyle w:val="ListParagraph"/>
        <w:numPr>
          <w:ilvl w:val="0"/>
          <w:numId w:val="10"/>
        </w:numPr>
        <w:rPr>
          <w:rFonts w:ascii="Times New Roman" w:hAnsi="Times New Roman" w:cs="Times New Roman"/>
          <w:sz w:val="20"/>
          <w:szCs w:val="20"/>
          <w:lang w:val="en-US"/>
        </w:rPr>
      </w:pPr>
      <w:r w:rsidRPr="00F7144D">
        <w:rPr>
          <w:rFonts w:ascii="Times New Roman" w:hAnsi="Times New Roman" w:cs="Times New Roman"/>
          <w:sz w:val="20"/>
          <w:szCs w:val="20"/>
          <w:lang w:val="en-US"/>
        </w:rPr>
        <w:t>Ensure that the relevant system needs (e.g. PRACH timing after handover) are met if based on position derived from periodic GNSS measurements</w:t>
      </w:r>
    </w:p>
    <w:p w14:paraId="7BC7A287" w14:textId="77777777" w:rsidR="004169D7" w:rsidRDefault="004169D7" w:rsidP="004169D7">
      <w:pPr>
        <w:pStyle w:val="ListParagraph"/>
        <w:numPr>
          <w:ilvl w:val="0"/>
          <w:numId w:val="10"/>
        </w:numPr>
        <w:rPr>
          <w:rFonts w:ascii="Times New Roman" w:hAnsi="Times New Roman" w:cs="Times New Roman"/>
          <w:sz w:val="20"/>
          <w:szCs w:val="20"/>
          <w:lang w:val="en-US"/>
        </w:rPr>
      </w:pPr>
      <w:r w:rsidRPr="00F7144D">
        <w:rPr>
          <w:rFonts w:ascii="Times New Roman" w:hAnsi="Times New Roman" w:cs="Times New Roman"/>
          <w:sz w:val="20"/>
          <w:szCs w:val="20"/>
          <w:lang w:val="en-US"/>
        </w:rPr>
        <w:t xml:space="preserve">Ensures that it is possible to implement UEs with </w:t>
      </w:r>
      <w:r>
        <w:rPr>
          <w:rFonts w:ascii="Times New Roman" w:hAnsi="Times New Roman" w:cs="Times New Roman"/>
          <w:sz w:val="20"/>
          <w:szCs w:val="20"/>
          <w:lang w:val="en-US"/>
        </w:rPr>
        <w:t>good battery life</w:t>
      </w:r>
    </w:p>
    <w:p w14:paraId="34B3207C" w14:textId="77777777" w:rsidR="004169D7" w:rsidRPr="00F7144D" w:rsidRDefault="004169D7" w:rsidP="004169D7">
      <w:pPr>
        <w:rPr>
          <w:lang w:val="en-US"/>
        </w:rPr>
      </w:pPr>
      <w:r>
        <w:rPr>
          <w:lang w:val="en-US"/>
        </w:rPr>
        <w:t>In other words, the usual tradeoffs in RAN4 apply, but we need to be particularly careful about GNSS measurements, as many other RRM functionalities can be expected to be derived from GNSS position in the NTN capable UE.</w:t>
      </w:r>
    </w:p>
    <w:p w14:paraId="56F2103C" w14:textId="41E89FAC" w:rsidR="004169D7" w:rsidRDefault="004169D7" w:rsidP="004169D7">
      <w:pPr>
        <w:rPr>
          <w:b/>
          <w:bCs/>
          <w:lang w:val="en-US"/>
        </w:rPr>
      </w:pPr>
      <w:r>
        <w:rPr>
          <w:b/>
          <w:bCs/>
          <w:lang w:val="en-US"/>
        </w:rPr>
        <w:t>Proposal 2: RAN4 shall consider requirements for A-GNSS in 38.171 as a starting point when defining requirements for further RRM procedures based on UE position. RAN4 needs to verify if existing A-GNSS requirements are sufficient, considering the impact that positioning will have on the further RRM requirements which assume knowledge of UE position</w:t>
      </w:r>
    </w:p>
    <w:p w14:paraId="1F65A9D0" w14:textId="77777777" w:rsidR="004169D7" w:rsidRDefault="004169D7" w:rsidP="004169D7">
      <w:pPr>
        <w:rPr>
          <w:lang w:val="en-US"/>
        </w:rPr>
      </w:pPr>
      <w:r w:rsidRPr="00F7144D">
        <w:rPr>
          <w:lang w:val="en-US"/>
        </w:rPr>
        <w:t>In specifying the requirements</w:t>
      </w:r>
      <w:r>
        <w:rPr>
          <w:lang w:val="en-US"/>
        </w:rPr>
        <w:t xml:space="preserve"> there may be 2 options of either</w:t>
      </w:r>
    </w:p>
    <w:p w14:paraId="1A304624" w14:textId="77777777" w:rsidR="004169D7" w:rsidRDefault="004169D7" w:rsidP="004169D7">
      <w:pPr>
        <w:pStyle w:val="ListParagraph"/>
        <w:numPr>
          <w:ilvl w:val="0"/>
          <w:numId w:val="11"/>
        </w:numPr>
        <w:rPr>
          <w:rFonts w:ascii="Times New Roman" w:hAnsi="Times New Roman" w:cs="Times New Roman"/>
          <w:sz w:val="20"/>
          <w:szCs w:val="20"/>
          <w:lang w:val="en-US"/>
        </w:rPr>
      </w:pPr>
      <w:r w:rsidRPr="00F7144D">
        <w:rPr>
          <w:rFonts w:ascii="Times New Roman" w:hAnsi="Times New Roman" w:cs="Times New Roman"/>
          <w:sz w:val="20"/>
          <w:szCs w:val="20"/>
          <w:lang w:val="en-US"/>
        </w:rPr>
        <w:t>Specifying requirements</w:t>
      </w:r>
      <w:r>
        <w:rPr>
          <w:rFonts w:ascii="Times New Roman" w:hAnsi="Times New Roman" w:cs="Times New Roman"/>
          <w:sz w:val="20"/>
          <w:szCs w:val="20"/>
          <w:lang w:val="en-US"/>
        </w:rPr>
        <w:t xml:space="preserve"> (delay, accuracy etc.)</w:t>
      </w:r>
      <w:r w:rsidRPr="00F7144D">
        <w:rPr>
          <w:rFonts w:ascii="Times New Roman" w:hAnsi="Times New Roman" w:cs="Times New Roman"/>
          <w:sz w:val="20"/>
          <w:szCs w:val="20"/>
          <w:lang w:val="en-US"/>
        </w:rPr>
        <w:t xml:space="preserve"> for the</w:t>
      </w:r>
      <w:r>
        <w:rPr>
          <w:rFonts w:ascii="Times New Roman" w:hAnsi="Times New Roman" w:cs="Times New Roman"/>
          <w:sz w:val="20"/>
          <w:szCs w:val="20"/>
          <w:lang w:val="en-US"/>
        </w:rPr>
        <w:t xml:space="preserve"> GNSS derived position itself</w:t>
      </w:r>
      <w:r w:rsidRPr="00F7144D">
        <w:rPr>
          <w:rFonts w:ascii="Times New Roman" w:hAnsi="Times New Roman" w:cs="Times New Roman"/>
          <w:sz w:val="20"/>
          <w:szCs w:val="20"/>
          <w:lang w:val="en-US"/>
        </w:rPr>
        <w:t xml:space="preserve"> </w:t>
      </w:r>
    </w:p>
    <w:p w14:paraId="48FF81AF" w14:textId="77777777" w:rsidR="004169D7" w:rsidRDefault="004169D7" w:rsidP="004169D7">
      <w:pPr>
        <w:pStyle w:val="ListParagraph"/>
        <w:rPr>
          <w:rFonts w:ascii="Times New Roman" w:hAnsi="Times New Roman" w:cs="Times New Roman"/>
          <w:sz w:val="20"/>
          <w:szCs w:val="20"/>
          <w:lang w:val="en-US"/>
        </w:rPr>
      </w:pPr>
      <w:r>
        <w:rPr>
          <w:rFonts w:ascii="Times New Roman" w:hAnsi="Times New Roman" w:cs="Times New Roman"/>
          <w:sz w:val="20"/>
          <w:szCs w:val="20"/>
          <w:lang w:val="en-US"/>
        </w:rPr>
        <w:t>or</w:t>
      </w:r>
    </w:p>
    <w:p w14:paraId="76DD2578" w14:textId="5A74C9AC" w:rsidR="004169D7" w:rsidRPr="00646F9F" w:rsidRDefault="004169D7" w:rsidP="004169D7">
      <w:pPr>
        <w:pStyle w:val="ListParagraph"/>
        <w:numPr>
          <w:ilvl w:val="0"/>
          <w:numId w:val="11"/>
        </w:numPr>
        <w:rPr>
          <w:rFonts w:ascii="Times New Roman" w:hAnsi="Times New Roman" w:cs="Times New Roman"/>
          <w:sz w:val="20"/>
          <w:szCs w:val="20"/>
          <w:lang w:val="en-US"/>
        </w:rPr>
      </w:pPr>
      <w:r>
        <w:rPr>
          <w:rFonts w:ascii="Times New Roman" w:hAnsi="Times New Roman" w:cs="Times New Roman"/>
          <w:sz w:val="20"/>
          <w:szCs w:val="20"/>
          <w:lang w:val="en-US"/>
        </w:rPr>
        <w:t>Specifying requirements for the RRM functionalities (e.g.  derived from GNSS/A-GNSS position)</w:t>
      </w:r>
    </w:p>
    <w:p w14:paraId="41FD9BB8" w14:textId="7272140F" w:rsidR="004169D7" w:rsidRPr="00194A8D" w:rsidRDefault="004169D7" w:rsidP="004169D7">
      <w:pPr>
        <w:rPr>
          <w:lang w:val="en-US"/>
        </w:rPr>
      </w:pPr>
      <w:r>
        <w:rPr>
          <w:lang w:val="en-US"/>
        </w:rPr>
        <w:t>Generally the later approach seems technically correct, but it is also more difficult work in RAN4 since the impact of a positioning error to a derived error (such as transmit timing error for instance) needs to be understood in all cases. Nevertheless, it appears that RAN4 does not get away from doing full analysis, so the later approach seems needed.</w:t>
      </w:r>
    </w:p>
    <w:p w14:paraId="394BB16B" w14:textId="7D976F70" w:rsidR="004169D7" w:rsidRDefault="004169D7" w:rsidP="004169D7">
      <w:pPr>
        <w:pStyle w:val="Heading2"/>
        <w:rPr>
          <w:lang w:val="en-US"/>
        </w:rPr>
      </w:pPr>
      <w:r>
        <w:rPr>
          <w:lang w:val="en-US"/>
        </w:rPr>
        <w:t>2.2</w:t>
      </w:r>
      <w:r>
        <w:rPr>
          <w:lang w:val="en-US"/>
        </w:rPr>
        <w:tab/>
        <w:t>Measurements during NTN operation</w:t>
      </w:r>
    </w:p>
    <w:p w14:paraId="31BB3C2E" w14:textId="3070F778" w:rsidR="004169D7" w:rsidRDefault="004169D7" w:rsidP="003C2C77">
      <w:pPr>
        <w:rPr>
          <w:lang w:val="en-US"/>
        </w:rPr>
      </w:pPr>
      <w:r>
        <w:rPr>
          <w:lang w:val="en-US"/>
        </w:rPr>
        <w:t>Some discussion of idle mode cell selection and reselection took place in RAN2#111e, for reference, the agreements in RAN2 are</w:t>
      </w:r>
    </w:p>
    <w:tbl>
      <w:tblPr>
        <w:tblStyle w:val="TableGrid"/>
        <w:tblW w:w="0" w:type="auto"/>
        <w:tblLook w:val="04A0" w:firstRow="1" w:lastRow="0" w:firstColumn="1" w:lastColumn="0" w:noHBand="0" w:noVBand="1"/>
      </w:tblPr>
      <w:tblGrid>
        <w:gridCol w:w="9631"/>
      </w:tblGrid>
      <w:tr w:rsidR="00D42DCD" w14:paraId="670EEEB0" w14:textId="77777777" w:rsidTr="00D42DCD">
        <w:tc>
          <w:tcPr>
            <w:tcW w:w="9631" w:type="dxa"/>
          </w:tcPr>
          <w:p w14:paraId="7DEE05BC" w14:textId="77777777" w:rsidR="00D42DCD" w:rsidRPr="00D42DCD" w:rsidRDefault="00D42DCD" w:rsidP="00D42DCD">
            <w:pPr>
              <w:rPr>
                <w:sz w:val="18"/>
                <w:szCs w:val="18"/>
                <w:lang w:val="en-US"/>
              </w:rPr>
            </w:pPr>
            <w:r w:rsidRPr="00D42DCD">
              <w:rPr>
                <w:sz w:val="18"/>
                <w:szCs w:val="18"/>
                <w:lang w:val="en-US"/>
              </w:rPr>
              <w:t>Agreements:</w:t>
            </w:r>
          </w:p>
          <w:p w14:paraId="2F5EF1D0" w14:textId="48E0C55D" w:rsidR="00D42DCD" w:rsidRPr="00D42DCD" w:rsidRDefault="00D42DCD" w:rsidP="00D42DCD">
            <w:pPr>
              <w:pStyle w:val="ListParagraph"/>
              <w:numPr>
                <w:ilvl w:val="0"/>
                <w:numId w:val="16"/>
              </w:numPr>
              <w:rPr>
                <w:rFonts w:ascii="Times New Roman" w:hAnsi="Times New Roman" w:cs="Times New Roman"/>
                <w:sz w:val="18"/>
                <w:szCs w:val="18"/>
                <w:lang w:val="en-US"/>
              </w:rPr>
            </w:pPr>
            <w:r w:rsidRPr="00D42DCD">
              <w:rPr>
                <w:rFonts w:ascii="Times New Roman" w:hAnsi="Times New Roman" w:cs="Times New Roman"/>
                <w:sz w:val="18"/>
                <w:szCs w:val="18"/>
                <w:lang w:val="en-US"/>
              </w:rPr>
              <w:t>Cell selection / reselection in NR is the baseline in NTN idle mode procedure.</w:t>
            </w:r>
          </w:p>
          <w:p w14:paraId="686F7D6B" w14:textId="30874EB2" w:rsidR="00D42DCD" w:rsidRPr="00D42DCD" w:rsidRDefault="00D42DCD" w:rsidP="00D42DCD">
            <w:pPr>
              <w:pStyle w:val="ListParagraph"/>
              <w:numPr>
                <w:ilvl w:val="0"/>
                <w:numId w:val="16"/>
              </w:numPr>
              <w:rPr>
                <w:rFonts w:ascii="Times New Roman" w:hAnsi="Times New Roman" w:cs="Times New Roman"/>
                <w:sz w:val="18"/>
                <w:szCs w:val="18"/>
                <w:lang w:val="en-US"/>
              </w:rPr>
            </w:pPr>
            <w:r w:rsidRPr="00D42DCD">
              <w:rPr>
                <w:rFonts w:ascii="Times New Roman" w:hAnsi="Times New Roman" w:cs="Times New Roman"/>
                <w:sz w:val="18"/>
                <w:szCs w:val="18"/>
                <w:lang w:val="en-US"/>
              </w:rPr>
              <w:t>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NTN</w:t>
            </w:r>
          </w:p>
          <w:p w14:paraId="1417907E" w14:textId="0426507B" w:rsidR="00D42DCD" w:rsidRPr="00D42DCD" w:rsidRDefault="00D42DCD" w:rsidP="00D42DCD">
            <w:pPr>
              <w:pStyle w:val="ListParagraph"/>
              <w:numPr>
                <w:ilvl w:val="0"/>
                <w:numId w:val="16"/>
              </w:numPr>
              <w:rPr>
                <w:lang w:val="en-US"/>
              </w:rPr>
            </w:pPr>
            <w:r w:rsidRPr="00D42DCD">
              <w:rPr>
                <w:rFonts w:ascii="Times New Roman" w:hAnsi="Times New Roman" w:cs="Times New Roman"/>
                <w:sz w:val="18"/>
                <w:szCs w:val="18"/>
                <w:lang w:val="en-US"/>
              </w:rPr>
              <w:t>The satellite ephemeris should be provided to UE, at least for Satellite/HAPS ephemeris based cell selection and reselection (FFS what the term satellite/HAPS ephemeris actually means).</w:t>
            </w:r>
          </w:p>
        </w:tc>
      </w:tr>
    </w:tbl>
    <w:p w14:paraId="2C0230FE" w14:textId="77777777" w:rsidR="00D42DCD" w:rsidRDefault="00D42DCD" w:rsidP="003C2C77">
      <w:pPr>
        <w:rPr>
          <w:lang w:val="en-US"/>
        </w:rPr>
      </w:pPr>
    </w:p>
    <w:tbl>
      <w:tblPr>
        <w:tblStyle w:val="TableGrid"/>
        <w:tblW w:w="0" w:type="auto"/>
        <w:tblLook w:val="04A0" w:firstRow="1" w:lastRow="0" w:firstColumn="1" w:lastColumn="0" w:noHBand="0" w:noVBand="1"/>
      </w:tblPr>
      <w:tblGrid>
        <w:gridCol w:w="9631"/>
      </w:tblGrid>
      <w:tr w:rsidR="00D42DCD" w14:paraId="389ED7F8" w14:textId="77777777" w:rsidTr="00D42DCD">
        <w:tc>
          <w:tcPr>
            <w:tcW w:w="9631" w:type="dxa"/>
          </w:tcPr>
          <w:p w14:paraId="7BE7E52F" w14:textId="77777777" w:rsidR="00D42DCD" w:rsidRPr="00D42DCD" w:rsidRDefault="00D42DCD" w:rsidP="00D42DCD">
            <w:pPr>
              <w:rPr>
                <w:sz w:val="18"/>
                <w:szCs w:val="18"/>
                <w:lang w:val="en-US"/>
              </w:rPr>
            </w:pPr>
            <w:r w:rsidRPr="00D42DCD">
              <w:rPr>
                <w:sz w:val="18"/>
                <w:szCs w:val="18"/>
                <w:lang w:val="en-US"/>
              </w:rPr>
              <w:t>Agreements via email - from offline 106:</w:t>
            </w:r>
          </w:p>
          <w:p w14:paraId="0A50280D" w14:textId="5582B754" w:rsidR="00D42DCD" w:rsidRPr="00D42DCD" w:rsidRDefault="00D42DCD" w:rsidP="00D42DCD">
            <w:pPr>
              <w:pStyle w:val="ListParagraph"/>
              <w:numPr>
                <w:ilvl w:val="0"/>
                <w:numId w:val="17"/>
              </w:numPr>
              <w:rPr>
                <w:rFonts w:ascii="Times New Roman" w:hAnsi="Times New Roman" w:cs="Times New Roman"/>
                <w:sz w:val="18"/>
                <w:szCs w:val="18"/>
                <w:lang w:val="en-US"/>
              </w:rPr>
            </w:pPr>
            <w:r w:rsidRPr="00D42DCD">
              <w:rPr>
                <w:rFonts w:ascii="Times New Roman" w:hAnsi="Times New Roman" w:cs="Times New Roman"/>
                <w:sz w:val="18"/>
                <w:szCs w:val="18"/>
                <w:lang w:val="en-US"/>
              </w:rPr>
              <w:t>The network type (i.e. TN or NTN) should be known to UE. FFS whether to achieve this in an implicit or explicit way.</w:t>
            </w:r>
          </w:p>
          <w:p w14:paraId="401D2FFF" w14:textId="31415BC0" w:rsidR="00D42DCD" w:rsidRPr="00D42DCD" w:rsidRDefault="00D42DCD" w:rsidP="00D42DCD">
            <w:pPr>
              <w:pStyle w:val="ListParagraph"/>
              <w:numPr>
                <w:ilvl w:val="0"/>
                <w:numId w:val="17"/>
              </w:numPr>
              <w:rPr>
                <w:rFonts w:ascii="Times New Roman" w:hAnsi="Times New Roman" w:cs="Times New Roman"/>
                <w:sz w:val="18"/>
                <w:szCs w:val="18"/>
                <w:lang w:val="en-US"/>
              </w:rPr>
            </w:pPr>
            <w:r w:rsidRPr="00D42DCD">
              <w:rPr>
                <w:rFonts w:ascii="Times New Roman" w:hAnsi="Times New Roman" w:cs="Times New Roman"/>
                <w:sz w:val="18"/>
                <w:szCs w:val="18"/>
                <w:lang w:val="en-US"/>
              </w:rPr>
              <w:t>The existing cell reselection priority configuration can be taken as a baseline in NTN. FFS on any further enhancement.</w:t>
            </w:r>
          </w:p>
          <w:p w14:paraId="0501FEF6" w14:textId="3741BBBC" w:rsidR="00D42DCD" w:rsidRPr="00D42DCD" w:rsidRDefault="00D42DCD" w:rsidP="00D42DCD">
            <w:pPr>
              <w:pStyle w:val="ListParagraph"/>
              <w:numPr>
                <w:ilvl w:val="0"/>
                <w:numId w:val="17"/>
              </w:numPr>
              <w:rPr>
                <w:lang w:val="en-US"/>
              </w:rPr>
            </w:pPr>
            <w:r w:rsidRPr="00D42DCD">
              <w:rPr>
                <w:rFonts w:ascii="Times New Roman" w:hAnsi="Times New Roman" w:cs="Times New Roman"/>
                <w:sz w:val="18"/>
                <w:szCs w:val="18"/>
                <w:lang w:val="en-US"/>
              </w:rPr>
              <w:lastRenderedPageBreak/>
              <w:t>Postpone the discussion on whether to introduce a new SIB until we have more progress on the content of NTN specific system information.</w:t>
            </w:r>
          </w:p>
        </w:tc>
      </w:tr>
    </w:tbl>
    <w:p w14:paraId="0999DECF" w14:textId="5BB4A2D5" w:rsidR="00B4114A" w:rsidRDefault="00B4114A" w:rsidP="003C2C77">
      <w:pPr>
        <w:rPr>
          <w:lang w:val="en-US"/>
        </w:rPr>
      </w:pPr>
      <w:r>
        <w:rPr>
          <w:lang w:val="en-US"/>
        </w:rPr>
        <w:lastRenderedPageBreak/>
        <w:br/>
        <w:t>In RAN2#112-e there were further agreements:</w:t>
      </w:r>
    </w:p>
    <w:tbl>
      <w:tblPr>
        <w:tblStyle w:val="TableGrid"/>
        <w:tblW w:w="9639" w:type="dxa"/>
        <w:tblInd w:w="-5" w:type="dxa"/>
        <w:tblLook w:val="04A0" w:firstRow="1" w:lastRow="0" w:firstColumn="1" w:lastColumn="0" w:noHBand="0" w:noVBand="1"/>
      </w:tblPr>
      <w:tblGrid>
        <w:gridCol w:w="9639"/>
      </w:tblGrid>
      <w:tr w:rsidR="003C2C77" w14:paraId="39913386" w14:textId="77777777" w:rsidTr="00646F9F">
        <w:tc>
          <w:tcPr>
            <w:tcW w:w="9639" w:type="dxa"/>
          </w:tcPr>
          <w:p w14:paraId="34B881CC" w14:textId="6DB8CF8A" w:rsidR="00A841E1" w:rsidRDefault="003C2C77" w:rsidP="00940267">
            <w:pPr>
              <w:rPr>
                <w:sz w:val="18"/>
                <w:szCs w:val="18"/>
                <w:lang w:val="en-US"/>
              </w:rPr>
            </w:pPr>
            <w:r>
              <w:rPr>
                <w:lang w:val="en-US"/>
              </w:rPr>
              <w:br/>
            </w:r>
            <w:r w:rsidR="00940267" w:rsidRPr="00A841E1">
              <w:rPr>
                <w:sz w:val="18"/>
                <w:szCs w:val="18"/>
                <w:lang w:val="en-US"/>
              </w:rPr>
              <w:t>Control Plane Agreements:</w:t>
            </w:r>
            <w:r w:rsidR="00940267" w:rsidRPr="00A841E1">
              <w:rPr>
                <w:sz w:val="18"/>
                <w:szCs w:val="18"/>
                <w:lang w:val="en-US"/>
              </w:rPr>
              <w:br/>
            </w:r>
          </w:p>
          <w:p w14:paraId="66293008" w14:textId="54697BA2" w:rsidR="00A841E1" w:rsidRDefault="00940267" w:rsidP="00940267">
            <w:pPr>
              <w:pStyle w:val="ListParagraph"/>
              <w:numPr>
                <w:ilvl w:val="0"/>
                <w:numId w:val="19"/>
              </w:numPr>
              <w:rPr>
                <w:sz w:val="18"/>
                <w:szCs w:val="18"/>
                <w:lang w:val="en-US"/>
              </w:rPr>
            </w:pPr>
            <w:r w:rsidRPr="00A841E1">
              <w:rPr>
                <w:sz w:val="18"/>
                <w:szCs w:val="18"/>
                <w:lang w:val="en-US"/>
              </w:rPr>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r w:rsidR="004B7E13" w:rsidRPr="00A841E1">
              <w:rPr>
                <w:sz w:val="18"/>
                <w:szCs w:val="18"/>
                <w:lang w:val="en-US"/>
              </w:rPr>
              <w:br/>
              <w:t>…</w:t>
            </w:r>
          </w:p>
          <w:p w14:paraId="54161E48" w14:textId="77777777" w:rsidR="00A841E1" w:rsidRDefault="00940267" w:rsidP="004B7E13">
            <w:pPr>
              <w:pStyle w:val="ListParagraph"/>
              <w:numPr>
                <w:ilvl w:val="0"/>
                <w:numId w:val="19"/>
              </w:numPr>
              <w:rPr>
                <w:sz w:val="18"/>
                <w:szCs w:val="18"/>
                <w:lang w:val="en-US"/>
              </w:rPr>
            </w:pPr>
            <w:r w:rsidRPr="00A841E1">
              <w:rPr>
                <w:sz w:val="18"/>
                <w:szCs w:val="18"/>
                <w:lang w:val="en-US"/>
              </w:rPr>
              <w:t>The existing measurement framework (e.g. measurement configuration, execution and reporting) is the baseline, and all the existing measurement criteria and event can be used in NTN. Support for new measurement is not excluded.</w:t>
            </w:r>
            <w:r w:rsidR="004B7E13" w:rsidRPr="00A841E1">
              <w:rPr>
                <w:sz w:val="18"/>
                <w:szCs w:val="18"/>
                <w:lang w:val="en-US"/>
              </w:rPr>
              <w:br/>
              <w:t>…</w:t>
            </w:r>
          </w:p>
          <w:p w14:paraId="41B33D5C" w14:textId="77777777" w:rsidR="00A841E1" w:rsidRDefault="004B7E13" w:rsidP="004B7E13">
            <w:pPr>
              <w:pStyle w:val="ListParagraph"/>
              <w:numPr>
                <w:ilvl w:val="0"/>
                <w:numId w:val="19"/>
              </w:numPr>
              <w:rPr>
                <w:sz w:val="18"/>
                <w:szCs w:val="18"/>
                <w:lang w:val="en-US"/>
              </w:rPr>
            </w:pPr>
            <w:r w:rsidRPr="00A841E1">
              <w:rPr>
                <w:sz w:val="18"/>
                <w:szCs w:val="18"/>
                <w:lang w:val="en-US"/>
              </w:rPr>
              <w:t>The Location-based measurement event, in combination with the existing measurement event in NR, should be supported in NTN for both moving cell and fixed cell scenarios. FFS on how to configure the location based measurement event.</w:t>
            </w:r>
            <w:r w:rsidRPr="00A841E1">
              <w:rPr>
                <w:sz w:val="18"/>
                <w:szCs w:val="18"/>
                <w:lang w:val="en-US"/>
              </w:rPr>
              <w:br/>
              <w:t>…</w:t>
            </w:r>
          </w:p>
          <w:p w14:paraId="5FBEE62D" w14:textId="58514AE6" w:rsidR="00940267" w:rsidRPr="00A841E1" w:rsidRDefault="004B7E13" w:rsidP="004B7E13">
            <w:pPr>
              <w:pStyle w:val="ListParagraph"/>
              <w:numPr>
                <w:ilvl w:val="0"/>
                <w:numId w:val="19"/>
              </w:numPr>
              <w:rPr>
                <w:sz w:val="18"/>
                <w:szCs w:val="18"/>
                <w:lang w:val="en-US"/>
              </w:rPr>
            </w:pPr>
            <w:r w:rsidRPr="00A841E1">
              <w:rPr>
                <w:sz w:val="18"/>
                <w:szCs w:val="18"/>
                <w:lang w:val="en-US"/>
              </w:rPr>
              <w:t>UE along with the network in NTN should also have the same understanding of the timing, including the timing for measurement gap, to avoid any un-synchronized scheduling between UE and the network, just like the way we have in TN.</w:t>
            </w:r>
          </w:p>
        </w:tc>
      </w:tr>
    </w:tbl>
    <w:p w14:paraId="31516702" w14:textId="77777777" w:rsidR="003C2C77" w:rsidRDefault="003C2C77" w:rsidP="003C2C77">
      <w:pPr>
        <w:rPr>
          <w:lang w:val="en-US"/>
        </w:rPr>
      </w:pPr>
    </w:p>
    <w:p w14:paraId="6826D38B" w14:textId="050F644D" w:rsidR="004169D7" w:rsidRDefault="004169D7" w:rsidP="004169D7">
      <w:pPr>
        <w:rPr>
          <w:lang w:val="en-US"/>
        </w:rPr>
      </w:pPr>
      <w:r>
        <w:rPr>
          <w:lang w:val="en-US"/>
        </w:rPr>
        <w:t xml:space="preserve">From these agreements it can be seen that RAN2 considers existing reselection mechanisms based on priority configurations (which implies SSB based measurements such as SS-RSRP/SS-RSRQ) and </w:t>
      </w:r>
      <w:r w:rsidR="00280B05">
        <w:rPr>
          <w:lang w:val="en-US"/>
        </w:rPr>
        <w:t xml:space="preserve">that the </w:t>
      </w:r>
      <w:r w:rsidR="00280B05" w:rsidRPr="00280B05">
        <w:rPr>
          <w:lang w:val="en-US"/>
        </w:rPr>
        <w:t>existing measurement framework (e.g. measurement configuration, execution and reporting) is the baseline, and all the existing measurement criteria and event can be used in NTN.</w:t>
      </w:r>
      <w:r w:rsidR="001C34BA">
        <w:rPr>
          <w:lang w:val="en-US"/>
        </w:rPr>
        <w:t xml:space="preserve"> RAN2 has also </w:t>
      </w:r>
      <w:r w:rsidR="00186EC7">
        <w:rPr>
          <w:lang w:val="en-US"/>
        </w:rPr>
        <w:t xml:space="preserve">agreed </w:t>
      </w:r>
      <w:r w:rsidR="00A12A27">
        <w:rPr>
          <w:lang w:val="en-US"/>
        </w:rPr>
        <w:t xml:space="preserve">that </w:t>
      </w:r>
      <w:r w:rsidR="00186EC7">
        <w:rPr>
          <w:lang w:val="en-US"/>
        </w:rPr>
        <w:t>t</w:t>
      </w:r>
      <w:r w:rsidR="00186EC7" w:rsidRPr="00186EC7">
        <w:rPr>
          <w:lang w:val="en-US"/>
        </w:rPr>
        <w:t xml:space="preserve">he Location-based measurement event, in combination with the existing measurement event in NR, should be supported in NTN for both moving cell and fixed cell scenarios. </w:t>
      </w:r>
    </w:p>
    <w:p w14:paraId="348E6692" w14:textId="666A79F7" w:rsidR="004169D7" w:rsidRDefault="004169D7" w:rsidP="004169D7">
      <w:pPr>
        <w:rPr>
          <w:lang w:val="en-US"/>
        </w:rPr>
      </w:pPr>
      <w:r>
        <w:rPr>
          <w:lang w:val="en-US"/>
        </w:rPr>
        <w:t>In principle, if UE location is perfectly known along with ephemeris data for serving and neighbor cells, the pathloss of each cell can be accurately estimated (especially considering relative pathloss which may not be so much influenced by meteorological conditions as absolute pathloss) and reselection could be performed at the correct location without any measurement of the SSBs. In practice, such a procedure may be less feasible due to different satellite antenna gain in different beam pointing directions, and possible impact of the environment on propagation. Anyway the introduction of such a procedure or not is an ongoing topic for RAN2. Also, the exact definition of ephemeris data and the possible introduction of a new SIB containing NTN specific information are clearly still not finalized in RAN2.</w:t>
      </w:r>
    </w:p>
    <w:p w14:paraId="5601B82B" w14:textId="77777777" w:rsidR="004169D7" w:rsidRDefault="004169D7" w:rsidP="004169D7">
      <w:pPr>
        <w:rPr>
          <w:lang w:val="en-US"/>
        </w:rPr>
      </w:pPr>
      <w:r>
        <w:rPr>
          <w:lang w:val="en-US"/>
        </w:rPr>
        <w:t>Considering conventional reselections based on SSB measurements such as SS-RSRP and SS-RSRQ, it seems very likely that a modified cell selection and measurement procedure would be used which is at least partially based on UE position. For example, such a procedure can be envisaged as</w:t>
      </w:r>
    </w:p>
    <w:p w14:paraId="1B032E41" w14:textId="77777777" w:rsidR="004169D7" w:rsidRPr="00536300" w:rsidRDefault="004169D7" w:rsidP="004169D7">
      <w:pPr>
        <w:pStyle w:val="ListParagraph"/>
        <w:numPr>
          <w:ilvl w:val="0"/>
          <w:numId w:val="8"/>
        </w:numPr>
        <w:rPr>
          <w:rFonts w:ascii="Times New Roman" w:hAnsi="Times New Roman" w:cs="Times New Roman"/>
          <w:sz w:val="20"/>
          <w:szCs w:val="20"/>
          <w:lang w:val="en-US"/>
        </w:rPr>
      </w:pPr>
      <w:r w:rsidRPr="00536300">
        <w:rPr>
          <w:rFonts w:ascii="Times New Roman" w:hAnsi="Times New Roman" w:cs="Times New Roman"/>
          <w:sz w:val="20"/>
          <w:szCs w:val="20"/>
          <w:lang w:val="en-US"/>
        </w:rPr>
        <w:t>Estimate UE position, and using ephemeris data  estimate candidate neighbor cell(s) which should be visible at the current time at the current UE position</w:t>
      </w:r>
    </w:p>
    <w:p w14:paraId="641224EA" w14:textId="77777777" w:rsidR="004169D7" w:rsidRPr="00536300" w:rsidRDefault="004169D7" w:rsidP="004169D7">
      <w:pPr>
        <w:pStyle w:val="ListParagraph"/>
        <w:numPr>
          <w:ilvl w:val="0"/>
          <w:numId w:val="8"/>
        </w:numPr>
        <w:rPr>
          <w:rFonts w:ascii="Times New Roman" w:hAnsi="Times New Roman" w:cs="Times New Roman"/>
          <w:sz w:val="20"/>
          <w:szCs w:val="20"/>
          <w:lang w:val="en-US"/>
        </w:rPr>
      </w:pPr>
      <w:r w:rsidRPr="0237FC74">
        <w:rPr>
          <w:rFonts w:ascii="Times New Roman" w:hAnsi="Times New Roman" w:cs="Times New Roman"/>
          <w:sz w:val="20"/>
          <w:szCs w:val="20"/>
          <w:lang w:val="en-US"/>
        </w:rPr>
        <w:t>Estimate difference of timing and frequency (doppler) between serving cell SSBs and neighbor cell SSBs, which is a function of UE position and ephemeris data of the serving / neighbor satellites</w:t>
      </w:r>
    </w:p>
    <w:p w14:paraId="271F12C8" w14:textId="77777777" w:rsidR="004169D7" w:rsidRPr="00536300" w:rsidRDefault="004169D7" w:rsidP="004169D7">
      <w:pPr>
        <w:pStyle w:val="ListParagraph"/>
        <w:numPr>
          <w:ilvl w:val="0"/>
          <w:numId w:val="8"/>
        </w:numPr>
        <w:rPr>
          <w:rFonts w:ascii="Times New Roman" w:hAnsi="Times New Roman" w:cs="Times New Roman"/>
          <w:sz w:val="20"/>
          <w:szCs w:val="20"/>
          <w:lang w:val="en-US"/>
        </w:rPr>
      </w:pPr>
      <w:r w:rsidRPr="00536300">
        <w:rPr>
          <w:rFonts w:ascii="Times New Roman" w:hAnsi="Times New Roman" w:cs="Times New Roman"/>
          <w:sz w:val="20"/>
          <w:szCs w:val="20"/>
          <w:lang w:val="en-US"/>
        </w:rPr>
        <w:t xml:space="preserve">Perform measurement of the neighbor SSBs, using the estimated time window and Doppler to make the measurement feasible and  yield neighbor SS-RSRP/SS-RSRQ </w:t>
      </w:r>
    </w:p>
    <w:p w14:paraId="6E203A1A" w14:textId="77777777" w:rsidR="004169D7" w:rsidRDefault="004169D7" w:rsidP="004169D7">
      <w:pPr>
        <w:pStyle w:val="ListParagraph"/>
        <w:numPr>
          <w:ilvl w:val="0"/>
          <w:numId w:val="8"/>
        </w:numPr>
        <w:rPr>
          <w:lang w:val="en-US"/>
        </w:rPr>
      </w:pPr>
      <w:r w:rsidRPr="00536300">
        <w:rPr>
          <w:rFonts w:ascii="Times New Roman" w:hAnsi="Times New Roman" w:cs="Times New Roman"/>
          <w:sz w:val="20"/>
          <w:szCs w:val="20"/>
          <w:lang w:val="en-US"/>
        </w:rPr>
        <w:t>Use serving and neighbor measurements in similar to legacy reselection procedures.</w:t>
      </w:r>
    </w:p>
    <w:p w14:paraId="4480459A" w14:textId="39A94925" w:rsidR="00347EE6" w:rsidRDefault="00347EE6" w:rsidP="004169D7">
      <w:pPr>
        <w:rPr>
          <w:lang w:val="en-US"/>
        </w:rPr>
      </w:pPr>
      <w:r>
        <w:rPr>
          <w:lang w:val="en-US"/>
        </w:rPr>
        <w:t xml:space="preserve">A procedure similar to the above is even more likely given that now RAN2 has decided to </w:t>
      </w:r>
      <w:r w:rsidR="002F4F88">
        <w:rPr>
          <w:lang w:val="en-US"/>
        </w:rPr>
        <w:t>include l</w:t>
      </w:r>
      <w:r w:rsidR="002F4F88" w:rsidRPr="002F4F88">
        <w:rPr>
          <w:lang w:val="en-US"/>
        </w:rPr>
        <w:t>ocation-based measurement event, in combination with the existing measurement event in NR, should be supported in NTN for both moving cell and fixed cell scenarios</w:t>
      </w:r>
    </w:p>
    <w:p w14:paraId="6561E12B" w14:textId="0220EF12" w:rsidR="004169D7" w:rsidRDefault="004169D7" w:rsidP="004169D7">
      <w:pPr>
        <w:rPr>
          <w:lang w:val="en-US"/>
        </w:rPr>
      </w:pPr>
      <w:r>
        <w:rPr>
          <w:lang w:val="en-US"/>
        </w:rPr>
        <w:lastRenderedPageBreak/>
        <w:t>At any rate, RAN4 needs to follow the work in RAN1 and RAN2 to understand the details of the signaling and  measurement procedures, and even if a legacy procedure is used (for instance legacy reselection in RAN2), the means to determine the measurement samples is unlikely to be the same in an NTN UE as is used in a TN UE today. This needs to be taken into account in determining suitable UE requirements.</w:t>
      </w:r>
    </w:p>
    <w:p w14:paraId="2F86CC6F" w14:textId="778C20E7" w:rsidR="004169D7" w:rsidRDefault="00DC0886" w:rsidP="004169D7">
      <w:pPr>
        <w:rPr>
          <w:lang w:val="en-US"/>
        </w:rPr>
      </w:pPr>
      <w:r>
        <w:rPr>
          <w:lang w:val="en-US"/>
        </w:rPr>
        <w:t>There was some</w:t>
      </w:r>
      <w:r w:rsidR="00361A00">
        <w:rPr>
          <w:lang w:val="en-US"/>
        </w:rPr>
        <w:t xml:space="preserve"> </w:t>
      </w:r>
      <w:r>
        <w:rPr>
          <w:lang w:val="en-US"/>
        </w:rPr>
        <w:t>progres</w:t>
      </w:r>
      <w:r w:rsidR="00447D2C">
        <w:rPr>
          <w:lang w:val="en-US"/>
        </w:rPr>
        <w:t>s when it comes to connected mode in RAN2#</w:t>
      </w:r>
      <w:r w:rsidR="001C1FD9">
        <w:rPr>
          <w:lang w:val="en-US"/>
        </w:rPr>
        <w:t>112-e</w:t>
      </w:r>
    </w:p>
    <w:tbl>
      <w:tblPr>
        <w:tblStyle w:val="TableGrid"/>
        <w:tblW w:w="8494" w:type="dxa"/>
        <w:tblInd w:w="1135" w:type="dxa"/>
        <w:tblLook w:val="04A0" w:firstRow="1" w:lastRow="0" w:firstColumn="1" w:lastColumn="0" w:noHBand="0" w:noVBand="1"/>
      </w:tblPr>
      <w:tblGrid>
        <w:gridCol w:w="8494"/>
      </w:tblGrid>
      <w:tr w:rsidR="001C1FD9" w14:paraId="0D180B4F" w14:textId="77777777" w:rsidTr="00466C81">
        <w:trPr>
          <w:trHeight w:val="1470"/>
        </w:trPr>
        <w:tc>
          <w:tcPr>
            <w:tcW w:w="8494" w:type="dxa"/>
          </w:tcPr>
          <w:p w14:paraId="264C710D" w14:textId="21D1C2D0" w:rsidR="001C1FD9" w:rsidRPr="001C1FD9" w:rsidRDefault="001C1FD9" w:rsidP="004529E3">
            <w:pPr>
              <w:pStyle w:val="ListParagraph"/>
              <w:numPr>
                <w:ilvl w:val="0"/>
                <w:numId w:val="17"/>
              </w:numPr>
              <w:rPr>
                <w:rFonts w:ascii="Times New Roman" w:hAnsi="Times New Roman" w:cs="Times New Roman"/>
                <w:sz w:val="20"/>
                <w:szCs w:val="20"/>
                <w:lang w:val="en-US"/>
              </w:rPr>
            </w:pPr>
            <w:r w:rsidRPr="001C1FD9">
              <w:rPr>
                <w:rFonts w:ascii="Times New Roman" w:hAnsi="Times New Roman" w:cs="Times New Roman"/>
                <w:sz w:val="20"/>
                <w:szCs w:val="20"/>
                <w:lang w:val="en-US"/>
              </w:rPr>
              <w:t>The existing measurement framework (e.g. measurement configuration, execution and reporting) is the baseline, and all the existing measurement criteria and event can be used in NTN. Support for new measurement is not excluded.</w:t>
            </w:r>
          </w:p>
          <w:p w14:paraId="7D179765" w14:textId="70F01D90" w:rsidR="001C1FD9" w:rsidRPr="001C1FD9" w:rsidRDefault="001C1FD9" w:rsidP="004529E3">
            <w:pPr>
              <w:pStyle w:val="ListParagraph"/>
              <w:numPr>
                <w:ilvl w:val="0"/>
                <w:numId w:val="17"/>
              </w:numPr>
              <w:rPr>
                <w:lang w:val="en-US"/>
              </w:rPr>
            </w:pPr>
            <w:r w:rsidRPr="001C1FD9">
              <w:rPr>
                <w:rFonts w:ascii="Times New Roman" w:hAnsi="Times New Roman" w:cs="Times New Roman"/>
                <w:sz w:val="20"/>
                <w:szCs w:val="20"/>
                <w:lang w:val="en-US"/>
              </w:rPr>
              <w:t>Legacy SSB periods (as in TN) shall be supported in NTN.</w:t>
            </w:r>
          </w:p>
        </w:tc>
      </w:tr>
    </w:tbl>
    <w:p w14:paraId="41EF9C81" w14:textId="77777777" w:rsidR="00466C81" w:rsidRDefault="00466C81" w:rsidP="004169D7">
      <w:pPr>
        <w:rPr>
          <w:lang w:val="en-US"/>
        </w:rPr>
      </w:pPr>
    </w:p>
    <w:p w14:paraId="2053C99F" w14:textId="77777777" w:rsidR="00466C81" w:rsidRDefault="00466C81" w:rsidP="00466C81">
      <w:pPr>
        <w:pStyle w:val="Doc-text2"/>
        <w:pBdr>
          <w:top w:val="single" w:sz="4" w:space="1" w:color="auto"/>
          <w:left w:val="single" w:sz="4" w:space="4" w:color="auto"/>
          <w:bottom w:val="single" w:sz="4" w:space="1" w:color="auto"/>
          <w:right w:val="single" w:sz="4" w:space="4" w:color="auto"/>
        </w:pBdr>
      </w:pPr>
      <w:r>
        <w:t>Agreements via email - offline 106:</w:t>
      </w:r>
    </w:p>
    <w:p w14:paraId="496A9A8C" w14:textId="77777777" w:rsidR="00466C81" w:rsidRDefault="00466C81" w:rsidP="00466C81">
      <w:pPr>
        <w:pStyle w:val="Doc-text2"/>
        <w:numPr>
          <w:ilvl w:val="0"/>
          <w:numId w:val="23"/>
        </w:numPr>
        <w:pBdr>
          <w:top w:val="single" w:sz="4" w:space="1" w:color="auto"/>
          <w:left w:val="single" w:sz="4" w:space="4" w:color="auto"/>
          <w:bottom w:val="single" w:sz="4" w:space="1" w:color="auto"/>
          <w:right w:val="single" w:sz="4" w:space="4" w:color="auto"/>
        </w:pBdr>
      </w:pPr>
      <w:r w:rsidRPr="00EF3A3A">
        <w:t xml:space="preserve">RAN2 understanding that UE shall not be forced to detect the SSB burst outside the corresponding configured SMTC window in NTN, just </w:t>
      </w:r>
      <w:r>
        <w:t>like the principle in TN.</w:t>
      </w:r>
    </w:p>
    <w:p w14:paraId="19B7D922" w14:textId="77777777" w:rsidR="00466C81" w:rsidRDefault="00466C81" w:rsidP="00466C81"/>
    <w:p w14:paraId="3D11B2E3" w14:textId="77777777" w:rsidR="00466C81" w:rsidRDefault="00466C81" w:rsidP="00466C81">
      <w:pPr>
        <w:pStyle w:val="Doc-text2"/>
        <w:pBdr>
          <w:top w:val="single" w:sz="4" w:space="1" w:color="auto"/>
          <w:left w:val="single" w:sz="4" w:space="4" w:color="auto"/>
          <w:bottom w:val="single" w:sz="4" w:space="1" w:color="auto"/>
          <w:right w:val="single" w:sz="4" w:space="4" w:color="auto"/>
        </w:pBdr>
      </w:pPr>
      <w:r>
        <w:t>Agreements:</w:t>
      </w:r>
    </w:p>
    <w:p w14:paraId="6B087785" w14:textId="77777777" w:rsidR="00466C81" w:rsidRDefault="00466C81" w:rsidP="00466C81">
      <w:pPr>
        <w:pStyle w:val="Doc-text2"/>
        <w:numPr>
          <w:ilvl w:val="0"/>
          <w:numId w:val="24"/>
        </w:numPr>
        <w:pBdr>
          <w:top w:val="single" w:sz="4" w:space="1" w:color="auto"/>
          <w:left w:val="single" w:sz="4" w:space="4" w:color="auto"/>
          <w:bottom w:val="single" w:sz="4" w:space="1" w:color="auto"/>
          <w:right w:val="single" w:sz="4" w:space="4" w:color="auto"/>
        </w:pBdr>
      </w:pPr>
      <w:r w:rsidRPr="006A4927">
        <w:t>SMTC and gap configuration in NTN are configured base</w:t>
      </w:r>
      <w:r>
        <w:t>d on the timing of PCell</w:t>
      </w:r>
    </w:p>
    <w:p w14:paraId="3EDE06FA" w14:textId="77777777" w:rsidR="00466C81" w:rsidRDefault="00466C81" w:rsidP="00466C81">
      <w:pPr>
        <w:pStyle w:val="Doc-text2"/>
        <w:numPr>
          <w:ilvl w:val="0"/>
          <w:numId w:val="24"/>
        </w:numPr>
        <w:pBdr>
          <w:top w:val="single" w:sz="4" w:space="1" w:color="auto"/>
          <w:left w:val="single" w:sz="4" w:space="4" w:color="auto"/>
          <w:bottom w:val="single" w:sz="4" w:space="1" w:color="auto"/>
          <w:right w:val="single" w:sz="4" w:space="4" w:color="auto"/>
        </w:pBdr>
      </w:pPr>
      <w:r w:rsidRPr="006A4927">
        <w:t>RAN2 can first identify the scenarios and discuss how serious the impact is before addressing any enhancement for SMTC configuration in NTN.</w:t>
      </w:r>
    </w:p>
    <w:p w14:paraId="66BE80C1" w14:textId="77777777" w:rsidR="00466C81" w:rsidRDefault="00466C81" w:rsidP="00466C81">
      <w:pPr>
        <w:pStyle w:val="Doc-text2"/>
        <w:numPr>
          <w:ilvl w:val="0"/>
          <w:numId w:val="24"/>
        </w:numPr>
        <w:pBdr>
          <w:top w:val="single" w:sz="4" w:space="1" w:color="auto"/>
          <w:left w:val="single" w:sz="4" w:space="4" w:color="auto"/>
          <w:bottom w:val="single" w:sz="4" w:space="1" w:color="auto"/>
          <w:right w:val="single" w:sz="4" w:space="4" w:color="auto"/>
        </w:pBdr>
      </w:pPr>
      <w:r w:rsidRPr="006A4927">
        <w:t>RAN2 can’t assume that the network will always have UE accurate location info for SMTC win</w:t>
      </w:r>
      <w:r>
        <w:t>dow configuration in NTN</w:t>
      </w:r>
    </w:p>
    <w:p w14:paraId="355E6772" w14:textId="77777777" w:rsidR="00466C81" w:rsidRDefault="00466C81" w:rsidP="00466C81">
      <w:pPr>
        <w:pStyle w:val="Doc-text2"/>
        <w:numPr>
          <w:ilvl w:val="0"/>
          <w:numId w:val="24"/>
        </w:numPr>
        <w:pBdr>
          <w:top w:val="single" w:sz="4" w:space="1" w:color="auto"/>
          <w:left w:val="single" w:sz="4" w:space="4" w:color="auto"/>
          <w:bottom w:val="single" w:sz="4" w:space="1" w:color="auto"/>
          <w:right w:val="single" w:sz="4" w:space="4" w:color="auto"/>
        </w:pBdr>
      </w:pPr>
      <w:r w:rsidRPr="006A4927">
        <w:t xml:space="preserve">UE along with the network in NTN should also have </w:t>
      </w:r>
      <w:r>
        <w:t>the same</w:t>
      </w:r>
      <w:r w:rsidRPr="006A4927">
        <w:t xml:space="preserve"> understanding of the timing, including the timing for measurement gap, to avoid any un-synchronized scheduling between UE and the network, j</w:t>
      </w:r>
      <w:r>
        <w:t>ust like the way we have in TN</w:t>
      </w:r>
    </w:p>
    <w:p w14:paraId="615D81FC" w14:textId="55FC0F9B" w:rsidR="004169D7" w:rsidRDefault="00251D9F" w:rsidP="004169D7">
      <w:pPr>
        <w:rPr>
          <w:lang w:val="en-US"/>
        </w:rPr>
      </w:pPr>
      <w:r>
        <w:rPr>
          <w:lang w:val="en-US"/>
        </w:rPr>
        <w:br/>
      </w:r>
      <w:r w:rsidR="004169D7">
        <w:rPr>
          <w:lang w:val="en-US"/>
        </w:rPr>
        <w:t>Some of the earlier comments on SSB based measurement for idle mode would also initially appear to be applicable for RRC connected mode but this needs to be better understood once RAN2 has made further progress.</w:t>
      </w:r>
    </w:p>
    <w:p w14:paraId="5B507B35" w14:textId="14425C22" w:rsidR="004169D7" w:rsidRDefault="004169D7" w:rsidP="004169D7">
      <w:pPr>
        <w:rPr>
          <w:b/>
          <w:bCs/>
          <w:lang w:val="en-US"/>
        </w:rPr>
      </w:pPr>
      <w:r>
        <w:rPr>
          <w:b/>
          <w:bCs/>
          <w:lang w:val="en-US"/>
        </w:rPr>
        <w:t xml:space="preserve">Proposal 3: RAN4 further discusses measurements in NTN operation for both idle and connected mode once further progress is made in RAN1 and RAN2. </w:t>
      </w:r>
    </w:p>
    <w:p w14:paraId="671B749A" w14:textId="13EBBA53" w:rsidR="00103CFE" w:rsidRDefault="00103CFE" w:rsidP="00103CFE">
      <w:pPr>
        <w:pStyle w:val="Heading3"/>
        <w:rPr>
          <w:lang w:val="en-US"/>
        </w:rPr>
      </w:pPr>
      <w:r>
        <w:rPr>
          <w:lang w:val="en-US"/>
        </w:rPr>
        <w:t>2.2.1</w:t>
      </w:r>
      <w:r>
        <w:rPr>
          <w:lang w:val="en-US"/>
        </w:rPr>
        <w:tab/>
        <w:t>M</w:t>
      </w:r>
      <w:r w:rsidRPr="00103CFE">
        <w:rPr>
          <w:lang w:val="en-US"/>
        </w:rPr>
        <w:t>easurements supporting mobility</w:t>
      </w:r>
    </w:p>
    <w:p w14:paraId="235522CC" w14:textId="77777777" w:rsidR="00103CFE" w:rsidRDefault="00103CFE" w:rsidP="00103CFE">
      <w:pPr>
        <w:rPr>
          <w:lang w:val="en-US"/>
        </w:rPr>
      </w:pPr>
      <w:r>
        <w:rPr>
          <w:lang w:val="en-US"/>
        </w:rPr>
        <w:t>An objective of the work item in RAN2 is</w:t>
      </w:r>
    </w:p>
    <w:p w14:paraId="1424A056" w14:textId="77777777" w:rsidR="00103CFE" w:rsidRPr="002D6CB1" w:rsidRDefault="00103CFE" w:rsidP="00103CFE">
      <w:pPr>
        <w:pStyle w:val="ListParagraph"/>
        <w:numPr>
          <w:ilvl w:val="0"/>
          <w:numId w:val="21"/>
        </w:numPr>
        <w:spacing w:after="200" w:line="276" w:lineRule="auto"/>
        <w:contextualSpacing/>
        <w:rPr>
          <w:bCs/>
          <w:lang w:val="en-US"/>
        </w:rPr>
      </w:pPr>
      <w:r w:rsidRPr="002D6CB1">
        <w:rPr>
          <w:rFonts w:ascii="Times New Roman" w:hAnsi="Times New Roman"/>
          <w:i/>
          <w:sz w:val="20"/>
          <w:szCs w:val="20"/>
          <w:lang w:val="en-US"/>
        </w:rPr>
        <w:t>Service continuity for mobility from TN to NTN and from NTN to TN systems (to be addressed when connected mode mobility has sufficiently progressed)</w:t>
      </w:r>
    </w:p>
    <w:p w14:paraId="5C27CDDF" w14:textId="77777777" w:rsidR="00103CFE" w:rsidRDefault="00103CFE" w:rsidP="00103CFE">
      <w:pPr>
        <w:rPr>
          <w:lang w:val="en-US"/>
        </w:rPr>
      </w:pPr>
      <w:r>
        <w:rPr>
          <w:lang w:val="en-US"/>
        </w:rPr>
        <w:t>In line with this objective, the agreements in RAN2#111e are:</w:t>
      </w:r>
    </w:p>
    <w:p w14:paraId="7E11BA8D" w14:textId="77777777" w:rsidR="00103CFE" w:rsidRDefault="00103CFE" w:rsidP="00103CFE">
      <w:pPr>
        <w:pStyle w:val="Doc-text2"/>
        <w:pBdr>
          <w:top w:val="single" w:sz="4" w:space="1" w:color="auto"/>
          <w:left w:val="single" w:sz="4" w:space="4" w:color="auto"/>
          <w:bottom w:val="single" w:sz="4" w:space="1" w:color="auto"/>
          <w:right w:val="single" w:sz="4" w:space="4" w:color="auto"/>
        </w:pBdr>
      </w:pPr>
      <w:r>
        <w:t>5.</w:t>
      </w:r>
      <w:r>
        <w:tab/>
        <w:t xml:space="preserve">For TN/NTN mobility, the UE is not required to connect to both TN and NTN at the same time. </w:t>
      </w:r>
    </w:p>
    <w:p w14:paraId="092EAB90" w14:textId="77777777" w:rsidR="00103CFE" w:rsidRDefault="00103CFE" w:rsidP="00103CFE">
      <w:pPr>
        <w:pStyle w:val="Doc-text2"/>
        <w:pBdr>
          <w:top w:val="single" w:sz="4" w:space="1" w:color="auto"/>
          <w:left w:val="single" w:sz="4" w:space="4" w:color="auto"/>
          <w:bottom w:val="single" w:sz="4" w:space="1" w:color="auto"/>
          <w:right w:val="single" w:sz="4" w:space="4" w:color="auto"/>
        </w:pBdr>
      </w:pPr>
      <w:r>
        <w:t>6.</w:t>
      </w:r>
      <w:r>
        <w:tab/>
        <w:t>RAN2 to discuss about trigger(s) of TN / NTN mobility, once the Intra NTN mobility has sufficiently progressed. Intra NTN mobility refers to idle and connected mode mobility between NTN cells (e.g. intra or inter satellite).</w:t>
      </w:r>
    </w:p>
    <w:p w14:paraId="5E785BFF" w14:textId="764C2930" w:rsidR="00103CFE" w:rsidRDefault="00103CFE" w:rsidP="00103CFE">
      <w:pPr>
        <w:rPr>
          <w:lang w:val="en-US"/>
        </w:rPr>
      </w:pPr>
    </w:p>
    <w:p w14:paraId="2398E5EA" w14:textId="0DBB3072" w:rsidR="004529E3" w:rsidRDefault="004529E3" w:rsidP="004529E3">
      <w:pPr>
        <w:rPr>
          <w:lang w:val="en-US"/>
        </w:rPr>
      </w:pPr>
      <w:r>
        <w:rPr>
          <w:lang w:val="en-US"/>
        </w:rPr>
        <w:t>In RAN3#112e we further have</w:t>
      </w:r>
      <w:r w:rsidR="00C12F1C">
        <w:rPr>
          <w:lang w:val="en-US"/>
        </w:rPr>
        <w:t xml:space="preserve"> these agreements</w:t>
      </w:r>
      <w:r>
        <w:rPr>
          <w:lang w:val="en-US"/>
        </w:rPr>
        <w:t>:</w:t>
      </w:r>
    </w:p>
    <w:p w14:paraId="63223FD6" w14:textId="77777777" w:rsidR="004529E3" w:rsidRDefault="004529E3" w:rsidP="004529E3">
      <w:pPr>
        <w:pStyle w:val="Doc-text2"/>
        <w:pBdr>
          <w:top w:val="single" w:sz="4" w:space="1" w:color="auto"/>
          <w:left w:val="single" w:sz="4" w:space="4" w:color="auto"/>
          <w:bottom w:val="single" w:sz="4" w:space="1" w:color="auto"/>
          <w:right w:val="single" w:sz="4" w:space="4" w:color="auto"/>
        </w:pBdr>
      </w:pPr>
      <w:r>
        <w:t>1.</w:t>
      </w:r>
      <w:r>
        <w:tab/>
        <w:t>Reconfiguration with sync is the baseline for connected mode mobility in NTN (the use of legacy RLF and re-establishment mechanism are not excluded).</w:t>
      </w:r>
    </w:p>
    <w:p w14:paraId="33F7CD3C" w14:textId="77777777" w:rsidR="004529E3" w:rsidRDefault="004529E3" w:rsidP="004529E3">
      <w:pPr>
        <w:pStyle w:val="Doc-text2"/>
        <w:pBdr>
          <w:top w:val="single" w:sz="4" w:space="1" w:color="auto"/>
          <w:left w:val="single" w:sz="4" w:space="4" w:color="auto"/>
          <w:bottom w:val="single" w:sz="4" w:space="1" w:color="auto"/>
          <w:right w:val="single" w:sz="4" w:space="4" w:color="auto"/>
        </w:pBdr>
      </w:pPr>
      <w:r>
        <w:t>2.</w:t>
      </w:r>
      <w:r>
        <w:tab/>
        <w:t>The CHO can be used in NTN for both moving cell and fixed cell scenarios, and the CHO procedure and execution condition defined in Rel-16 is the baseline for NTN CHO.</w:t>
      </w:r>
    </w:p>
    <w:p w14:paraId="05B63672" w14:textId="44893E21" w:rsidR="004529E3" w:rsidRDefault="004529E3" w:rsidP="004529E3">
      <w:pPr>
        <w:pStyle w:val="Doc-text2"/>
        <w:pBdr>
          <w:top w:val="single" w:sz="4" w:space="1" w:color="auto"/>
          <w:left w:val="single" w:sz="4" w:space="4" w:color="auto"/>
          <w:bottom w:val="single" w:sz="4" w:space="1" w:color="auto"/>
          <w:right w:val="single" w:sz="4" w:space="4" w:color="auto"/>
        </w:pBdr>
      </w:pPr>
      <w:r>
        <w:t>3.</w:t>
      </w:r>
      <w:r>
        <w:tab/>
        <w:t>NTN specific CHO execution condition can be further discussed.</w:t>
      </w:r>
    </w:p>
    <w:p w14:paraId="4C006935" w14:textId="77777777" w:rsidR="00C12F1C" w:rsidRDefault="00C12F1C" w:rsidP="00C12F1C"/>
    <w:p w14:paraId="46D0EF58" w14:textId="77777777" w:rsidR="00C12F1C" w:rsidRDefault="00C12F1C" w:rsidP="00C12F1C">
      <w:pPr>
        <w:pStyle w:val="Doc-text2"/>
        <w:pBdr>
          <w:top w:val="single" w:sz="4" w:space="1" w:color="auto"/>
          <w:left w:val="single" w:sz="4" w:space="4" w:color="auto"/>
          <w:bottom w:val="single" w:sz="4" w:space="1" w:color="auto"/>
          <w:right w:val="single" w:sz="4" w:space="4" w:color="auto"/>
        </w:pBdr>
      </w:pPr>
      <w:r>
        <w:lastRenderedPageBreak/>
        <w:t>Agreements via email - offline 105:</w:t>
      </w:r>
    </w:p>
    <w:p w14:paraId="587ADBAF" w14:textId="77777777" w:rsidR="00C12F1C" w:rsidRDefault="00C12F1C" w:rsidP="00C12F1C">
      <w:pPr>
        <w:pStyle w:val="Doc-text2"/>
        <w:numPr>
          <w:ilvl w:val="0"/>
          <w:numId w:val="22"/>
        </w:numPr>
        <w:pBdr>
          <w:top w:val="single" w:sz="4" w:space="1" w:color="auto"/>
          <w:left w:val="single" w:sz="4" w:space="4" w:color="auto"/>
          <w:bottom w:val="single" w:sz="4" w:space="1" w:color="auto"/>
          <w:right w:val="single" w:sz="4" w:space="4" w:color="auto"/>
        </w:pBdr>
      </w:pPr>
      <w:r>
        <w:t xml:space="preserve">Time or timer based CHO triggering event, in combination with the existing R16 CHO measurement based event, should be introduced for both moving cell and fixed cell scenario.  FFS on how to configure the time or timer based CHO triggering event. Also FFS how </w:t>
      </w:r>
      <w:r w:rsidRPr="007A1536">
        <w:t xml:space="preserve">to </w:t>
      </w:r>
      <w:r>
        <w:t>consider</w:t>
      </w:r>
      <w:r w:rsidRPr="007A1536">
        <w:t xml:space="preserve"> the feeder/service link switch timing.</w:t>
      </w:r>
    </w:p>
    <w:p w14:paraId="7C4AA4CF" w14:textId="3BFEB847" w:rsidR="00C12F1C" w:rsidRDefault="00C12F1C" w:rsidP="00C12F1C">
      <w:pPr>
        <w:pStyle w:val="Doc-text2"/>
        <w:numPr>
          <w:ilvl w:val="0"/>
          <w:numId w:val="22"/>
        </w:numPr>
        <w:pBdr>
          <w:top w:val="single" w:sz="4" w:space="1" w:color="auto"/>
          <w:left w:val="single" w:sz="4" w:space="4" w:color="auto"/>
          <w:bottom w:val="single" w:sz="4" w:space="1" w:color="auto"/>
          <w:right w:val="single" w:sz="4" w:space="4" w:color="auto"/>
        </w:pBdr>
      </w:pPr>
      <w:r>
        <w:t>DAPS HO for NTN is de-prioritized in this release.</w:t>
      </w:r>
    </w:p>
    <w:p w14:paraId="35F05974" w14:textId="14936FB9" w:rsidR="00C12F1C" w:rsidRDefault="00C12F1C" w:rsidP="00C12F1C">
      <w:pPr>
        <w:pStyle w:val="Doc-text2"/>
        <w:numPr>
          <w:ilvl w:val="0"/>
          <w:numId w:val="22"/>
        </w:numPr>
        <w:pBdr>
          <w:top w:val="single" w:sz="4" w:space="1" w:color="auto"/>
          <w:left w:val="single" w:sz="4" w:space="4" w:color="auto"/>
          <w:bottom w:val="single" w:sz="4" w:space="1" w:color="auto"/>
          <w:right w:val="single" w:sz="4" w:space="4" w:color="auto"/>
        </w:pBdr>
      </w:pPr>
      <w:r w:rsidRPr="007A1536">
        <w:t>Location based CHO triggering event, in combination with the existing R16 CHO measurement based event, should be introduced for both moving cell and fixed cell scenario. FFS on how to configure the location based CHO triggering event.</w:t>
      </w:r>
      <w:r>
        <w:t xml:space="preserve"> FFS if l</w:t>
      </w:r>
      <w:r w:rsidRPr="007A1536">
        <w:t>ocation based CHO triggering event</w:t>
      </w:r>
      <w:r>
        <w:t xml:space="preserve"> only (not in combination with other events) can also be considered.</w:t>
      </w:r>
    </w:p>
    <w:p w14:paraId="56A18A0A" w14:textId="77777777" w:rsidR="00C12F1C" w:rsidRDefault="00C12F1C" w:rsidP="00C12F1C"/>
    <w:p w14:paraId="30B28761" w14:textId="77777777" w:rsidR="00C12F1C" w:rsidRDefault="00C12F1C" w:rsidP="00103CFE">
      <w:pPr>
        <w:rPr>
          <w:lang w:val="en-US"/>
        </w:rPr>
      </w:pPr>
    </w:p>
    <w:p w14:paraId="4A6E37AD" w14:textId="77777777" w:rsidR="00103CFE" w:rsidRDefault="00103CFE" w:rsidP="00103CFE">
      <w:pPr>
        <w:rPr>
          <w:lang w:val="en-US"/>
        </w:rPr>
      </w:pPr>
      <w:r>
        <w:rPr>
          <w:lang w:val="en-US"/>
        </w:rPr>
        <w:t>Given the current status, there is also limited value to discussing TN / NTN mobility in either direction until some further details become clear. Nevertheless, requirements defined in RAN4 will need to support TN to NTN and NTN to TN mobility during the WI, and we can assume that such requirements will involve measurement(e.g. SS-RSRP) of both TN and NTN with either type of serving cell.</w:t>
      </w:r>
    </w:p>
    <w:p w14:paraId="015AD339" w14:textId="77777777" w:rsidR="00103CFE" w:rsidRDefault="00103CFE" w:rsidP="00103CFE">
      <w:pPr>
        <w:rPr>
          <w:lang w:val="en-US"/>
        </w:rPr>
      </w:pPr>
      <w:r>
        <w:rPr>
          <w:lang w:val="en-US"/>
        </w:rPr>
        <w:t>Given the situation we propose to follow a similar approach as in other WG, i.e.</w:t>
      </w:r>
    </w:p>
    <w:p w14:paraId="106EF405" w14:textId="4B0AD7A4" w:rsidR="00103CFE" w:rsidRPr="0099003D" w:rsidRDefault="00103CFE" w:rsidP="00B93FB3">
      <w:pPr>
        <w:rPr>
          <w:b/>
        </w:rPr>
      </w:pPr>
      <w:r>
        <w:rPr>
          <w:b/>
          <w:bCs/>
        </w:rPr>
        <w:t xml:space="preserve">Proposal 4 : </w:t>
      </w:r>
      <w:r w:rsidRPr="00D44CC3">
        <w:rPr>
          <w:b/>
        </w:rPr>
        <w:t xml:space="preserve">RAN4 to discuss about </w:t>
      </w:r>
      <w:r>
        <w:rPr>
          <w:b/>
          <w:bCs/>
        </w:rPr>
        <w:t>measurements supporting</w:t>
      </w:r>
      <w:r w:rsidRPr="00D44CC3">
        <w:rPr>
          <w:b/>
        </w:rPr>
        <w:t xml:space="preserve"> TN / NTN mobility, once the Intra NTN mobility has sufficiently progressed. Intra NTN mobility refers to idle and connected mode mobility between NTN cells (e.g. intra or inter satellite).</w:t>
      </w:r>
    </w:p>
    <w:p w14:paraId="7DE08BE8" w14:textId="10554DC1" w:rsidR="00B93FB3" w:rsidRDefault="00B93FB3" w:rsidP="00B93FB3">
      <w:pPr>
        <w:pStyle w:val="Heading1"/>
        <w:rPr>
          <w:lang w:val="en-US"/>
        </w:rPr>
      </w:pPr>
      <w:r>
        <w:rPr>
          <w:lang w:val="en-US"/>
        </w:rPr>
        <w:t>2</w:t>
      </w:r>
      <w:r>
        <w:rPr>
          <w:lang w:val="en-US"/>
        </w:rPr>
        <w:tab/>
        <w:t>Summary</w:t>
      </w:r>
    </w:p>
    <w:p w14:paraId="5CAC2040" w14:textId="7E6C0965" w:rsidR="00EF61E3" w:rsidRDefault="00EF61E3" w:rsidP="00EF61E3">
      <w:pPr>
        <w:rPr>
          <w:b/>
          <w:bCs/>
          <w:lang w:val="en-US"/>
        </w:rPr>
      </w:pPr>
      <w:r>
        <w:rPr>
          <w:b/>
          <w:bCs/>
          <w:lang w:val="en-US"/>
        </w:rPr>
        <w:t>Observation 1 : It is practically feasible to receive GNSS positioning signals without any measurement gap or interruption in 3GPP radio reception or transmission.</w:t>
      </w:r>
    </w:p>
    <w:p w14:paraId="15722640" w14:textId="77777777" w:rsidR="00EF61E3" w:rsidRDefault="00EF61E3" w:rsidP="00EF61E3">
      <w:pPr>
        <w:rPr>
          <w:b/>
          <w:bCs/>
          <w:lang w:val="en-US"/>
        </w:rPr>
      </w:pPr>
      <w:r>
        <w:rPr>
          <w:b/>
          <w:bCs/>
          <w:lang w:val="en-US"/>
        </w:rPr>
        <w:t>Proposal 1 : No interruptions or measurement gaps are allowed for GNSS measurements during NTN operation.</w:t>
      </w:r>
    </w:p>
    <w:p w14:paraId="37A0AC9B" w14:textId="77777777" w:rsidR="00EF61E3" w:rsidRDefault="00EF61E3" w:rsidP="00EF61E3">
      <w:pPr>
        <w:rPr>
          <w:b/>
          <w:bCs/>
          <w:lang w:val="en-US"/>
        </w:rPr>
      </w:pPr>
      <w:r>
        <w:rPr>
          <w:b/>
          <w:bCs/>
          <w:lang w:val="en-US"/>
        </w:rPr>
        <w:t>Proposal 2: RAN4 shall consider requirements for A-GNSS in 38.171 as a starting point when defining requirements for further RRM procedures based on UE position. RAN4 needs to verify if existing A-GNSS requirements are sufficient, considering the impact that positioning will have on the further RRM requirements which assume knowledge of UE position</w:t>
      </w:r>
    </w:p>
    <w:p w14:paraId="7106E1F5" w14:textId="77777777" w:rsidR="00EF61E3" w:rsidRDefault="00EF61E3" w:rsidP="00EF61E3">
      <w:pPr>
        <w:rPr>
          <w:b/>
          <w:bCs/>
          <w:lang w:val="en-US"/>
        </w:rPr>
      </w:pPr>
      <w:r>
        <w:rPr>
          <w:b/>
          <w:bCs/>
          <w:lang w:val="en-US"/>
        </w:rPr>
        <w:t xml:space="preserve">Proposal 3: RAN4 further discusses measurements in NTN operation for both idle and connected mode once further progress is made in RAN1 and RAN2. </w:t>
      </w:r>
    </w:p>
    <w:p w14:paraId="11B15A7C" w14:textId="31F03AF0" w:rsidR="00EF61E3" w:rsidRPr="00EF61E3" w:rsidRDefault="00EF61E3" w:rsidP="00EF61E3">
      <w:pPr>
        <w:rPr>
          <w:b/>
        </w:rPr>
      </w:pPr>
      <w:r>
        <w:rPr>
          <w:b/>
          <w:bCs/>
        </w:rPr>
        <w:t xml:space="preserve">Proposal 4 : </w:t>
      </w:r>
      <w:r w:rsidRPr="00D44CC3">
        <w:rPr>
          <w:b/>
        </w:rPr>
        <w:t xml:space="preserve">RAN4 to discuss about </w:t>
      </w:r>
      <w:r>
        <w:rPr>
          <w:b/>
          <w:bCs/>
        </w:rPr>
        <w:t>measurements supporting</w:t>
      </w:r>
      <w:r w:rsidRPr="00D44CC3">
        <w:rPr>
          <w:b/>
        </w:rPr>
        <w:t xml:space="preserve"> TN / NTN mobility, once the Intra NTN mobility has sufficiently progressed. Intra NTN mobility refers to idle and connected mode mobility between NTN cells (e.g. intra or inter satellite).</w:t>
      </w:r>
    </w:p>
    <w:p w14:paraId="42C2E795" w14:textId="1C544FD8" w:rsidR="003D429A" w:rsidRDefault="003D429A" w:rsidP="003D429A">
      <w:pPr>
        <w:pStyle w:val="Heading1"/>
        <w:rPr>
          <w:lang w:val="en-US"/>
        </w:rPr>
      </w:pPr>
      <w:r>
        <w:rPr>
          <w:lang w:val="en-US"/>
        </w:rPr>
        <w:t>References</w:t>
      </w:r>
    </w:p>
    <w:p w14:paraId="32FC54DF" w14:textId="41F0CEA8" w:rsidR="0083684A" w:rsidRPr="00912B60" w:rsidRDefault="00912B60" w:rsidP="00912B60">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rPr>
      </w:pPr>
      <w:bookmarkStart w:id="12" w:name="_Ref508638450"/>
      <w:bookmarkStart w:id="13" w:name="_Ref3386619"/>
      <w:r w:rsidRPr="001451D4">
        <w:rPr>
          <w:rFonts w:ascii="Times New Roman" w:hAnsi="Times New Roman" w:cs="Times New Roman"/>
          <w:sz w:val="20"/>
          <w:szCs w:val="20"/>
        </w:rPr>
        <w:t>R4-2017350, WF on NR NTN RRM requirements, THALES</w:t>
      </w:r>
    </w:p>
    <w:bookmarkEnd w:id="12"/>
    <w:bookmarkEnd w:id="13"/>
    <w:p w14:paraId="6987C0BF" w14:textId="77777777" w:rsidR="003D429A" w:rsidRPr="003D429A" w:rsidRDefault="003D429A" w:rsidP="003D429A">
      <w:pPr>
        <w:rPr>
          <w:lang w:val="en-US"/>
        </w:rPr>
      </w:pPr>
    </w:p>
    <w:sectPr w:rsidR="003D429A" w:rsidRPr="003D429A">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A5355" w14:textId="77777777" w:rsidR="00A54DDF" w:rsidRDefault="00A54DDF">
      <w:r>
        <w:separator/>
      </w:r>
    </w:p>
  </w:endnote>
  <w:endnote w:type="continuationSeparator" w:id="0">
    <w:p w14:paraId="1A37C4FC" w14:textId="77777777" w:rsidR="00A54DDF" w:rsidRDefault="00A54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99288" w14:textId="77777777" w:rsidR="00A54DDF" w:rsidRDefault="00A54DDF"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A54DDF" w:rsidRPr="006F61D7" w:rsidRDefault="00A54DDF"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34550" w14:textId="77777777" w:rsidR="00A54DDF" w:rsidRDefault="00A54DDF">
      <w:r>
        <w:separator/>
      </w:r>
    </w:p>
  </w:footnote>
  <w:footnote w:type="continuationSeparator" w:id="0">
    <w:p w14:paraId="5691C85F" w14:textId="77777777" w:rsidR="00A54DDF" w:rsidRDefault="00A54D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E41648"/>
    <w:multiLevelType w:val="hybridMultilevel"/>
    <w:tmpl w:val="F498286A"/>
    <w:lvl w:ilvl="0" w:tplc="978660B6">
      <w:start w:val="1"/>
      <w:numFmt w:val="decimal"/>
      <w:lvlText w:val="%1."/>
      <w:lvlJc w:val="left"/>
      <w:pPr>
        <w:ind w:left="720" w:hanging="360"/>
      </w:pPr>
      <w:rPr>
        <w:rFonts w:ascii="Times New Roman" w:hAnsi="Times New Roman"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2BF665D"/>
    <w:multiLevelType w:val="hybridMultilevel"/>
    <w:tmpl w:val="65A02A60"/>
    <w:lvl w:ilvl="0" w:tplc="978660B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7497E46"/>
    <w:multiLevelType w:val="hybridMultilevel"/>
    <w:tmpl w:val="2982C2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0BD3399"/>
    <w:multiLevelType w:val="hybridMultilevel"/>
    <w:tmpl w:val="5282953C"/>
    <w:lvl w:ilvl="0" w:tplc="A96AE230">
      <w:start w:val="1"/>
      <w:numFmt w:val="bullet"/>
      <w:lvlText w:val=""/>
      <w:lvlJc w:val="left"/>
      <w:pPr>
        <w:tabs>
          <w:tab w:val="num" w:pos="720"/>
        </w:tabs>
        <w:ind w:left="720" w:hanging="360"/>
      </w:pPr>
      <w:rPr>
        <w:rFonts w:ascii="Symbol" w:hAnsi="Symbol" w:hint="default"/>
      </w:rPr>
    </w:lvl>
    <w:lvl w:ilvl="1" w:tplc="DA5EC35C">
      <w:numFmt w:val="bullet"/>
      <w:lvlText w:val="•"/>
      <w:lvlJc w:val="left"/>
      <w:pPr>
        <w:tabs>
          <w:tab w:val="num" w:pos="1440"/>
        </w:tabs>
        <w:ind w:left="1440" w:hanging="360"/>
      </w:pPr>
      <w:rPr>
        <w:rFonts w:ascii="Arial" w:hAnsi="Arial" w:hint="default"/>
      </w:rPr>
    </w:lvl>
    <w:lvl w:ilvl="2" w:tplc="18FE21EA" w:tentative="1">
      <w:start w:val="1"/>
      <w:numFmt w:val="bullet"/>
      <w:lvlText w:val=""/>
      <w:lvlJc w:val="left"/>
      <w:pPr>
        <w:tabs>
          <w:tab w:val="num" w:pos="2160"/>
        </w:tabs>
        <w:ind w:left="2160" w:hanging="360"/>
      </w:pPr>
      <w:rPr>
        <w:rFonts w:ascii="Symbol" w:hAnsi="Symbol" w:hint="default"/>
      </w:rPr>
    </w:lvl>
    <w:lvl w:ilvl="3" w:tplc="944A549A" w:tentative="1">
      <w:start w:val="1"/>
      <w:numFmt w:val="bullet"/>
      <w:lvlText w:val=""/>
      <w:lvlJc w:val="left"/>
      <w:pPr>
        <w:tabs>
          <w:tab w:val="num" w:pos="2880"/>
        </w:tabs>
        <w:ind w:left="2880" w:hanging="360"/>
      </w:pPr>
      <w:rPr>
        <w:rFonts w:ascii="Symbol" w:hAnsi="Symbol" w:hint="default"/>
      </w:rPr>
    </w:lvl>
    <w:lvl w:ilvl="4" w:tplc="17103892" w:tentative="1">
      <w:start w:val="1"/>
      <w:numFmt w:val="bullet"/>
      <w:lvlText w:val=""/>
      <w:lvlJc w:val="left"/>
      <w:pPr>
        <w:tabs>
          <w:tab w:val="num" w:pos="3600"/>
        </w:tabs>
        <w:ind w:left="3600" w:hanging="360"/>
      </w:pPr>
      <w:rPr>
        <w:rFonts w:ascii="Symbol" w:hAnsi="Symbol" w:hint="default"/>
      </w:rPr>
    </w:lvl>
    <w:lvl w:ilvl="5" w:tplc="943E759C" w:tentative="1">
      <w:start w:val="1"/>
      <w:numFmt w:val="bullet"/>
      <w:lvlText w:val=""/>
      <w:lvlJc w:val="left"/>
      <w:pPr>
        <w:tabs>
          <w:tab w:val="num" w:pos="4320"/>
        </w:tabs>
        <w:ind w:left="4320" w:hanging="360"/>
      </w:pPr>
      <w:rPr>
        <w:rFonts w:ascii="Symbol" w:hAnsi="Symbol" w:hint="default"/>
      </w:rPr>
    </w:lvl>
    <w:lvl w:ilvl="6" w:tplc="65305284" w:tentative="1">
      <w:start w:val="1"/>
      <w:numFmt w:val="bullet"/>
      <w:lvlText w:val=""/>
      <w:lvlJc w:val="left"/>
      <w:pPr>
        <w:tabs>
          <w:tab w:val="num" w:pos="5040"/>
        </w:tabs>
        <w:ind w:left="5040" w:hanging="360"/>
      </w:pPr>
      <w:rPr>
        <w:rFonts w:ascii="Symbol" w:hAnsi="Symbol" w:hint="default"/>
      </w:rPr>
    </w:lvl>
    <w:lvl w:ilvl="7" w:tplc="E8583FD8" w:tentative="1">
      <w:start w:val="1"/>
      <w:numFmt w:val="bullet"/>
      <w:lvlText w:val=""/>
      <w:lvlJc w:val="left"/>
      <w:pPr>
        <w:tabs>
          <w:tab w:val="num" w:pos="5760"/>
        </w:tabs>
        <w:ind w:left="5760" w:hanging="360"/>
      </w:pPr>
      <w:rPr>
        <w:rFonts w:ascii="Symbol" w:hAnsi="Symbol" w:hint="default"/>
      </w:rPr>
    </w:lvl>
    <w:lvl w:ilvl="8" w:tplc="A1604BB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5574332"/>
    <w:multiLevelType w:val="hybridMultilevel"/>
    <w:tmpl w:val="44DE81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011D97"/>
    <w:multiLevelType w:val="hybridMultilevel"/>
    <w:tmpl w:val="4606E6F2"/>
    <w:lvl w:ilvl="0" w:tplc="B68A4D78">
      <w:start w:val="1"/>
      <w:numFmt w:val="decimal"/>
      <w:lvlText w:val="%1."/>
      <w:lvlJc w:val="left"/>
      <w:pPr>
        <w:ind w:left="720" w:hanging="360"/>
      </w:pPr>
      <w:rPr>
        <w:rFonts w:ascii="Times New Roman" w:hAnsi="Times New Roman"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5BD1558"/>
    <w:multiLevelType w:val="hybridMultilevel"/>
    <w:tmpl w:val="3C20F7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6AA2C1F"/>
    <w:multiLevelType w:val="hybridMultilevel"/>
    <w:tmpl w:val="A4D874A4"/>
    <w:lvl w:ilvl="0" w:tplc="978660B6">
      <w:start w:val="1"/>
      <w:numFmt w:val="decimal"/>
      <w:lvlText w:val="%1."/>
      <w:lvlJc w:val="left"/>
      <w:pPr>
        <w:ind w:left="720" w:hanging="360"/>
      </w:pPr>
      <w:rPr>
        <w:rFonts w:ascii="Times New Roman" w:hAnsi="Times New Roman"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CE94CF1"/>
    <w:multiLevelType w:val="hybridMultilevel"/>
    <w:tmpl w:val="9B8000D2"/>
    <w:lvl w:ilvl="0" w:tplc="978660B6">
      <w:start w:val="1"/>
      <w:numFmt w:val="decimal"/>
      <w:lvlText w:val="%1."/>
      <w:lvlJc w:val="left"/>
      <w:pPr>
        <w:ind w:left="720" w:hanging="360"/>
      </w:pPr>
      <w:rPr>
        <w:rFonts w:ascii="Times New Roman" w:hAnsi="Times New Roman"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F234953"/>
    <w:multiLevelType w:val="hybridMultilevel"/>
    <w:tmpl w:val="7626223E"/>
    <w:lvl w:ilvl="0" w:tplc="FFFC1810">
      <w:start w:val="1"/>
      <w:numFmt w:val="bullet"/>
      <w:lvlText w:val=""/>
      <w:lvlJc w:val="left"/>
      <w:pPr>
        <w:tabs>
          <w:tab w:val="num" w:pos="720"/>
        </w:tabs>
        <w:ind w:left="720" w:hanging="360"/>
      </w:pPr>
      <w:rPr>
        <w:rFonts w:ascii="Symbol" w:hAnsi="Symbol" w:hint="default"/>
      </w:rPr>
    </w:lvl>
    <w:lvl w:ilvl="1" w:tplc="8402CBDC">
      <w:numFmt w:val="bullet"/>
      <w:lvlText w:val="•"/>
      <w:lvlJc w:val="left"/>
      <w:pPr>
        <w:tabs>
          <w:tab w:val="num" w:pos="1440"/>
        </w:tabs>
        <w:ind w:left="1440" w:hanging="360"/>
      </w:pPr>
      <w:rPr>
        <w:rFonts w:ascii="Arial" w:hAnsi="Arial" w:hint="default"/>
      </w:rPr>
    </w:lvl>
    <w:lvl w:ilvl="2" w:tplc="5E02F2B6" w:tentative="1">
      <w:start w:val="1"/>
      <w:numFmt w:val="bullet"/>
      <w:lvlText w:val=""/>
      <w:lvlJc w:val="left"/>
      <w:pPr>
        <w:tabs>
          <w:tab w:val="num" w:pos="2160"/>
        </w:tabs>
        <w:ind w:left="2160" w:hanging="360"/>
      </w:pPr>
      <w:rPr>
        <w:rFonts w:ascii="Symbol" w:hAnsi="Symbol" w:hint="default"/>
      </w:rPr>
    </w:lvl>
    <w:lvl w:ilvl="3" w:tplc="CE481C02" w:tentative="1">
      <w:start w:val="1"/>
      <w:numFmt w:val="bullet"/>
      <w:lvlText w:val=""/>
      <w:lvlJc w:val="left"/>
      <w:pPr>
        <w:tabs>
          <w:tab w:val="num" w:pos="2880"/>
        </w:tabs>
        <w:ind w:left="2880" w:hanging="360"/>
      </w:pPr>
      <w:rPr>
        <w:rFonts w:ascii="Symbol" w:hAnsi="Symbol" w:hint="default"/>
      </w:rPr>
    </w:lvl>
    <w:lvl w:ilvl="4" w:tplc="C4CC6A18" w:tentative="1">
      <w:start w:val="1"/>
      <w:numFmt w:val="bullet"/>
      <w:lvlText w:val=""/>
      <w:lvlJc w:val="left"/>
      <w:pPr>
        <w:tabs>
          <w:tab w:val="num" w:pos="3600"/>
        </w:tabs>
        <w:ind w:left="3600" w:hanging="360"/>
      </w:pPr>
      <w:rPr>
        <w:rFonts w:ascii="Symbol" w:hAnsi="Symbol" w:hint="default"/>
      </w:rPr>
    </w:lvl>
    <w:lvl w:ilvl="5" w:tplc="B20616FE" w:tentative="1">
      <w:start w:val="1"/>
      <w:numFmt w:val="bullet"/>
      <w:lvlText w:val=""/>
      <w:lvlJc w:val="left"/>
      <w:pPr>
        <w:tabs>
          <w:tab w:val="num" w:pos="4320"/>
        </w:tabs>
        <w:ind w:left="4320" w:hanging="360"/>
      </w:pPr>
      <w:rPr>
        <w:rFonts w:ascii="Symbol" w:hAnsi="Symbol" w:hint="default"/>
      </w:rPr>
    </w:lvl>
    <w:lvl w:ilvl="6" w:tplc="5E56A0DC" w:tentative="1">
      <w:start w:val="1"/>
      <w:numFmt w:val="bullet"/>
      <w:lvlText w:val=""/>
      <w:lvlJc w:val="left"/>
      <w:pPr>
        <w:tabs>
          <w:tab w:val="num" w:pos="5040"/>
        </w:tabs>
        <w:ind w:left="5040" w:hanging="360"/>
      </w:pPr>
      <w:rPr>
        <w:rFonts w:ascii="Symbol" w:hAnsi="Symbol" w:hint="default"/>
      </w:rPr>
    </w:lvl>
    <w:lvl w:ilvl="7" w:tplc="9F784D76" w:tentative="1">
      <w:start w:val="1"/>
      <w:numFmt w:val="bullet"/>
      <w:lvlText w:val=""/>
      <w:lvlJc w:val="left"/>
      <w:pPr>
        <w:tabs>
          <w:tab w:val="num" w:pos="5760"/>
        </w:tabs>
        <w:ind w:left="5760" w:hanging="360"/>
      </w:pPr>
      <w:rPr>
        <w:rFonts w:ascii="Symbol" w:hAnsi="Symbol" w:hint="default"/>
      </w:rPr>
    </w:lvl>
    <w:lvl w:ilvl="8" w:tplc="29E6EA9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D486715"/>
    <w:multiLevelType w:val="hybridMultilevel"/>
    <w:tmpl w:val="C3D4497A"/>
    <w:lvl w:ilvl="0" w:tplc="602832F4">
      <w:start w:val="1"/>
      <w:numFmt w:val="bullet"/>
      <w:lvlText w:val=""/>
      <w:lvlJc w:val="left"/>
      <w:pPr>
        <w:tabs>
          <w:tab w:val="num" w:pos="720"/>
        </w:tabs>
        <w:ind w:left="720" w:hanging="360"/>
      </w:pPr>
      <w:rPr>
        <w:rFonts w:ascii="Symbol" w:hAnsi="Symbol" w:hint="default"/>
      </w:rPr>
    </w:lvl>
    <w:lvl w:ilvl="1" w:tplc="46627806">
      <w:numFmt w:val="bullet"/>
      <w:lvlText w:val="•"/>
      <w:lvlJc w:val="left"/>
      <w:pPr>
        <w:tabs>
          <w:tab w:val="num" w:pos="1440"/>
        </w:tabs>
        <w:ind w:left="1440" w:hanging="360"/>
      </w:pPr>
      <w:rPr>
        <w:rFonts w:ascii="Arial" w:hAnsi="Arial" w:hint="default"/>
      </w:rPr>
    </w:lvl>
    <w:lvl w:ilvl="2" w:tplc="FC02A61C">
      <w:numFmt w:val="bullet"/>
      <w:lvlText w:val="•"/>
      <w:lvlJc w:val="left"/>
      <w:pPr>
        <w:tabs>
          <w:tab w:val="num" w:pos="2160"/>
        </w:tabs>
        <w:ind w:left="2160" w:hanging="360"/>
      </w:pPr>
      <w:rPr>
        <w:rFonts w:ascii="Arial" w:hAnsi="Arial" w:hint="default"/>
      </w:rPr>
    </w:lvl>
    <w:lvl w:ilvl="3" w:tplc="0A688E40" w:tentative="1">
      <w:start w:val="1"/>
      <w:numFmt w:val="bullet"/>
      <w:lvlText w:val=""/>
      <w:lvlJc w:val="left"/>
      <w:pPr>
        <w:tabs>
          <w:tab w:val="num" w:pos="2880"/>
        </w:tabs>
        <w:ind w:left="2880" w:hanging="360"/>
      </w:pPr>
      <w:rPr>
        <w:rFonts w:ascii="Symbol" w:hAnsi="Symbol" w:hint="default"/>
      </w:rPr>
    </w:lvl>
    <w:lvl w:ilvl="4" w:tplc="9488C1C2" w:tentative="1">
      <w:start w:val="1"/>
      <w:numFmt w:val="bullet"/>
      <w:lvlText w:val=""/>
      <w:lvlJc w:val="left"/>
      <w:pPr>
        <w:tabs>
          <w:tab w:val="num" w:pos="3600"/>
        </w:tabs>
        <w:ind w:left="3600" w:hanging="360"/>
      </w:pPr>
      <w:rPr>
        <w:rFonts w:ascii="Symbol" w:hAnsi="Symbol" w:hint="default"/>
      </w:rPr>
    </w:lvl>
    <w:lvl w:ilvl="5" w:tplc="AC50279A" w:tentative="1">
      <w:start w:val="1"/>
      <w:numFmt w:val="bullet"/>
      <w:lvlText w:val=""/>
      <w:lvlJc w:val="left"/>
      <w:pPr>
        <w:tabs>
          <w:tab w:val="num" w:pos="4320"/>
        </w:tabs>
        <w:ind w:left="4320" w:hanging="360"/>
      </w:pPr>
      <w:rPr>
        <w:rFonts w:ascii="Symbol" w:hAnsi="Symbol" w:hint="default"/>
      </w:rPr>
    </w:lvl>
    <w:lvl w:ilvl="6" w:tplc="879ABEA6" w:tentative="1">
      <w:start w:val="1"/>
      <w:numFmt w:val="bullet"/>
      <w:lvlText w:val=""/>
      <w:lvlJc w:val="left"/>
      <w:pPr>
        <w:tabs>
          <w:tab w:val="num" w:pos="5040"/>
        </w:tabs>
        <w:ind w:left="5040" w:hanging="360"/>
      </w:pPr>
      <w:rPr>
        <w:rFonts w:ascii="Symbol" w:hAnsi="Symbol" w:hint="default"/>
      </w:rPr>
    </w:lvl>
    <w:lvl w:ilvl="7" w:tplc="7C2C2B02" w:tentative="1">
      <w:start w:val="1"/>
      <w:numFmt w:val="bullet"/>
      <w:lvlText w:val=""/>
      <w:lvlJc w:val="left"/>
      <w:pPr>
        <w:tabs>
          <w:tab w:val="num" w:pos="5760"/>
        </w:tabs>
        <w:ind w:left="5760" w:hanging="360"/>
      </w:pPr>
      <w:rPr>
        <w:rFonts w:ascii="Symbol" w:hAnsi="Symbol" w:hint="default"/>
      </w:rPr>
    </w:lvl>
    <w:lvl w:ilvl="8" w:tplc="4B66E02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06726D6"/>
    <w:multiLevelType w:val="hybridMultilevel"/>
    <w:tmpl w:val="2946D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16"/>
  </w:num>
  <w:num w:numId="6">
    <w:abstractNumId w:val="20"/>
  </w:num>
  <w:num w:numId="7">
    <w:abstractNumId w:val="22"/>
  </w:num>
  <w:num w:numId="8">
    <w:abstractNumId w:val="10"/>
  </w:num>
  <w:num w:numId="9">
    <w:abstractNumId w:val="15"/>
  </w:num>
  <w:num w:numId="10">
    <w:abstractNumId w:val="5"/>
  </w:num>
  <w:num w:numId="11">
    <w:abstractNumId w:val="19"/>
  </w:num>
  <w:num w:numId="12">
    <w:abstractNumId w:val="7"/>
  </w:num>
  <w:num w:numId="13">
    <w:abstractNumId w:val="18"/>
  </w:num>
  <w:num w:numId="14">
    <w:abstractNumId w:val="13"/>
  </w:num>
  <w:num w:numId="15">
    <w:abstractNumId w:val="12"/>
  </w:num>
  <w:num w:numId="16">
    <w:abstractNumId w:val="2"/>
  </w:num>
  <w:num w:numId="17">
    <w:abstractNumId w:val="9"/>
  </w:num>
  <w:num w:numId="18">
    <w:abstractNumId w:val="3"/>
  </w:num>
  <w:num w:numId="19">
    <w:abstractNumId w:val="8"/>
  </w:num>
  <w:num w:numId="20">
    <w:abstractNumId w:val="11"/>
  </w:num>
  <w:num w:numId="21">
    <w:abstractNumId w:val="6"/>
  </w:num>
  <w:num w:numId="22">
    <w:abstractNumId w:val="14"/>
  </w:num>
  <w:num w:numId="23">
    <w:abstractNumId w:val="4"/>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55F6"/>
    <w:rsid w:val="00051834"/>
    <w:rsid w:val="00054A22"/>
    <w:rsid w:val="00056A26"/>
    <w:rsid w:val="00062023"/>
    <w:rsid w:val="000655A6"/>
    <w:rsid w:val="00080512"/>
    <w:rsid w:val="000C47C3"/>
    <w:rsid w:val="000D58AB"/>
    <w:rsid w:val="00103CFE"/>
    <w:rsid w:val="00133525"/>
    <w:rsid w:val="00186EC7"/>
    <w:rsid w:val="001A3546"/>
    <w:rsid w:val="001A4C42"/>
    <w:rsid w:val="001A7420"/>
    <w:rsid w:val="001B6637"/>
    <w:rsid w:val="001C1FD9"/>
    <w:rsid w:val="001C21C3"/>
    <w:rsid w:val="001C34BA"/>
    <w:rsid w:val="001D02C2"/>
    <w:rsid w:val="001F0C1D"/>
    <w:rsid w:val="001F1132"/>
    <w:rsid w:val="001F168B"/>
    <w:rsid w:val="002347A2"/>
    <w:rsid w:val="00251D9F"/>
    <w:rsid w:val="002675F0"/>
    <w:rsid w:val="00280B05"/>
    <w:rsid w:val="002840A1"/>
    <w:rsid w:val="002B6339"/>
    <w:rsid w:val="002B7913"/>
    <w:rsid w:val="002E00EE"/>
    <w:rsid w:val="002F4F88"/>
    <w:rsid w:val="003172DC"/>
    <w:rsid w:val="00347EE6"/>
    <w:rsid w:val="0035462D"/>
    <w:rsid w:val="00361A00"/>
    <w:rsid w:val="003765B8"/>
    <w:rsid w:val="003C1DD6"/>
    <w:rsid w:val="003C2C77"/>
    <w:rsid w:val="003C3971"/>
    <w:rsid w:val="003D429A"/>
    <w:rsid w:val="004169D7"/>
    <w:rsid w:val="00423334"/>
    <w:rsid w:val="004345EC"/>
    <w:rsid w:val="0044364B"/>
    <w:rsid w:val="00447D2C"/>
    <w:rsid w:val="004529E3"/>
    <w:rsid w:val="00465515"/>
    <w:rsid w:val="00466C81"/>
    <w:rsid w:val="004B7E13"/>
    <w:rsid w:val="004D3578"/>
    <w:rsid w:val="004E213A"/>
    <w:rsid w:val="004F0988"/>
    <w:rsid w:val="004F3340"/>
    <w:rsid w:val="0053388B"/>
    <w:rsid w:val="00535773"/>
    <w:rsid w:val="00543E6C"/>
    <w:rsid w:val="00565087"/>
    <w:rsid w:val="0057305F"/>
    <w:rsid w:val="00586E2E"/>
    <w:rsid w:val="00597B11"/>
    <w:rsid w:val="005D2E01"/>
    <w:rsid w:val="005D7526"/>
    <w:rsid w:val="005E4BB2"/>
    <w:rsid w:val="00602AEA"/>
    <w:rsid w:val="00614FDF"/>
    <w:rsid w:val="0063543D"/>
    <w:rsid w:val="0063585B"/>
    <w:rsid w:val="00643297"/>
    <w:rsid w:val="00646F9F"/>
    <w:rsid w:val="00647114"/>
    <w:rsid w:val="006A323F"/>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B600E"/>
    <w:rsid w:val="007C10E2"/>
    <w:rsid w:val="007F0F4A"/>
    <w:rsid w:val="008028A4"/>
    <w:rsid w:val="00830747"/>
    <w:rsid w:val="0083684A"/>
    <w:rsid w:val="008768CA"/>
    <w:rsid w:val="00885367"/>
    <w:rsid w:val="008A6463"/>
    <w:rsid w:val="008C384C"/>
    <w:rsid w:val="0090271F"/>
    <w:rsid w:val="00902E23"/>
    <w:rsid w:val="009114D7"/>
    <w:rsid w:val="00912B60"/>
    <w:rsid w:val="0091348E"/>
    <w:rsid w:val="00917CCB"/>
    <w:rsid w:val="00940267"/>
    <w:rsid w:val="00942EC2"/>
    <w:rsid w:val="00985F99"/>
    <w:rsid w:val="0099003D"/>
    <w:rsid w:val="009C3E5A"/>
    <w:rsid w:val="009F37B7"/>
    <w:rsid w:val="00A10F02"/>
    <w:rsid w:val="00A12A27"/>
    <w:rsid w:val="00A164B4"/>
    <w:rsid w:val="00A26956"/>
    <w:rsid w:val="00A27486"/>
    <w:rsid w:val="00A53724"/>
    <w:rsid w:val="00A54DDF"/>
    <w:rsid w:val="00A56066"/>
    <w:rsid w:val="00A73129"/>
    <w:rsid w:val="00A82346"/>
    <w:rsid w:val="00A841E1"/>
    <w:rsid w:val="00A92BA1"/>
    <w:rsid w:val="00AC6BC6"/>
    <w:rsid w:val="00AE65E2"/>
    <w:rsid w:val="00B13CCD"/>
    <w:rsid w:val="00B15449"/>
    <w:rsid w:val="00B4114A"/>
    <w:rsid w:val="00B428D0"/>
    <w:rsid w:val="00B66DD7"/>
    <w:rsid w:val="00B93086"/>
    <w:rsid w:val="00B93FB3"/>
    <w:rsid w:val="00BA19ED"/>
    <w:rsid w:val="00BA4B8D"/>
    <w:rsid w:val="00BC0F7D"/>
    <w:rsid w:val="00BD7D31"/>
    <w:rsid w:val="00BE3255"/>
    <w:rsid w:val="00BF128E"/>
    <w:rsid w:val="00C074DD"/>
    <w:rsid w:val="00C12F1C"/>
    <w:rsid w:val="00C1496A"/>
    <w:rsid w:val="00C33079"/>
    <w:rsid w:val="00C41F2A"/>
    <w:rsid w:val="00C45231"/>
    <w:rsid w:val="00C72833"/>
    <w:rsid w:val="00C80F1D"/>
    <w:rsid w:val="00C93F40"/>
    <w:rsid w:val="00CA3D0C"/>
    <w:rsid w:val="00CB0749"/>
    <w:rsid w:val="00D12A57"/>
    <w:rsid w:val="00D42DCD"/>
    <w:rsid w:val="00D57972"/>
    <w:rsid w:val="00D6299F"/>
    <w:rsid w:val="00D675A9"/>
    <w:rsid w:val="00D738D6"/>
    <w:rsid w:val="00D755EB"/>
    <w:rsid w:val="00D76048"/>
    <w:rsid w:val="00D87E00"/>
    <w:rsid w:val="00D9134D"/>
    <w:rsid w:val="00DA7A03"/>
    <w:rsid w:val="00DB1818"/>
    <w:rsid w:val="00DB1E60"/>
    <w:rsid w:val="00DC0886"/>
    <w:rsid w:val="00DC309B"/>
    <w:rsid w:val="00DC4DA2"/>
    <w:rsid w:val="00DD4C17"/>
    <w:rsid w:val="00DD74A5"/>
    <w:rsid w:val="00DF2B1F"/>
    <w:rsid w:val="00DF62CD"/>
    <w:rsid w:val="00E16509"/>
    <w:rsid w:val="00E44582"/>
    <w:rsid w:val="00E77645"/>
    <w:rsid w:val="00EA15B0"/>
    <w:rsid w:val="00EA5EA7"/>
    <w:rsid w:val="00EC4A25"/>
    <w:rsid w:val="00EF61E3"/>
    <w:rsid w:val="00F025A2"/>
    <w:rsid w:val="00F04712"/>
    <w:rsid w:val="00F13360"/>
    <w:rsid w:val="00F22EC7"/>
    <w:rsid w:val="00F325C8"/>
    <w:rsid w:val="00F52F6D"/>
    <w:rsid w:val="00F653B8"/>
    <w:rsid w:val="00F7670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 단"/>
    <w:basedOn w:val="Normal"/>
    <w:link w:val="ListParagraphChar"/>
    <w:uiPriority w:val="7"/>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ACChar">
    <w:name w:val="TAC Char"/>
    <w:link w:val="TAC"/>
    <w:qFormat/>
    <w:locked/>
    <w:rsid w:val="004169D7"/>
    <w:rPr>
      <w:rFonts w:ascii="Arial" w:hAnsi="Arial"/>
      <w:sz w:val="18"/>
      <w:lang w:eastAsia="en-US"/>
    </w:rPr>
  </w:style>
  <w:style w:type="character" w:customStyle="1" w:styleId="THChar">
    <w:name w:val="TH Char"/>
    <w:link w:val="TH"/>
    <w:qFormat/>
    <w:locked/>
    <w:rsid w:val="004169D7"/>
    <w:rPr>
      <w:rFonts w:ascii="Arial" w:hAnsi="Arial"/>
      <w:b/>
      <w:lang w:eastAsia="en-US"/>
    </w:rPr>
  </w:style>
  <w:style w:type="character" w:customStyle="1" w:styleId="TAHCar">
    <w:name w:val="TAH Car"/>
    <w:link w:val="TAH"/>
    <w:qFormat/>
    <w:locked/>
    <w:rsid w:val="004169D7"/>
    <w:rPr>
      <w:rFonts w:ascii="Arial" w:hAnsi="Arial"/>
      <w:b/>
      <w:sz w:val="18"/>
      <w:lang w:eastAsia="en-US"/>
    </w:rPr>
  </w:style>
  <w:style w:type="paragraph" w:customStyle="1" w:styleId="Doc-text2">
    <w:name w:val="Doc-text2"/>
    <w:basedOn w:val="Normal"/>
    <w:link w:val="Doc-text2Char"/>
    <w:qFormat/>
    <w:rsid w:val="00416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169D7"/>
    <w:rPr>
      <w:rFonts w:ascii="Arial" w:eastAsia="MS Mincho" w:hAnsi="Arial"/>
      <w:szCs w:val="24"/>
    </w:rPr>
  </w:style>
  <w:style w:type="paragraph" w:customStyle="1" w:styleId="Doc-comment">
    <w:name w:val="Doc-comment"/>
    <w:basedOn w:val="Normal"/>
    <w:next w:val="Doc-text2"/>
    <w:qFormat/>
    <w:rsid w:val="004169D7"/>
    <w:pPr>
      <w:tabs>
        <w:tab w:val="left" w:pos="1622"/>
      </w:tabs>
      <w:spacing w:after="0"/>
      <w:ind w:left="1622" w:hanging="363"/>
    </w:pPr>
    <w:rPr>
      <w:rFonts w:ascii="Arial" w:eastAsia="MS Mincho" w:hAnsi="Arial"/>
      <w:i/>
      <w:szCs w:val="24"/>
      <w:lang w:eastAsia="en-GB"/>
    </w:rPr>
  </w:style>
  <w:style w:type="paragraph" w:customStyle="1" w:styleId="EmailDiscussion">
    <w:name w:val="EmailDiscussion"/>
    <w:basedOn w:val="Normal"/>
    <w:next w:val="EmailDiscussion2"/>
    <w:link w:val="EmailDiscussionChar"/>
    <w:qFormat/>
    <w:rsid w:val="004169D7"/>
    <w:pPr>
      <w:numPr>
        <w:numId w:val="9"/>
      </w:numPr>
      <w:spacing w:before="40" w:after="0"/>
    </w:pPr>
    <w:rPr>
      <w:rFonts w:ascii="Arial" w:eastAsia="MS Mincho" w:hAnsi="Arial"/>
      <w:b/>
      <w:szCs w:val="24"/>
      <w:lang w:eastAsia="en-GB"/>
    </w:rPr>
  </w:style>
  <w:style w:type="character" w:customStyle="1" w:styleId="EmailDiscussionChar">
    <w:name w:val="EmailDiscussion Char"/>
    <w:link w:val="EmailDiscussion"/>
    <w:rsid w:val="004169D7"/>
    <w:rPr>
      <w:rFonts w:ascii="Arial" w:eastAsia="MS Mincho" w:hAnsi="Arial"/>
      <w:b/>
      <w:szCs w:val="24"/>
    </w:rPr>
  </w:style>
  <w:style w:type="paragraph" w:customStyle="1" w:styleId="EmailDiscussion2">
    <w:name w:val="EmailDiscussion2"/>
    <w:basedOn w:val="Doc-text2"/>
    <w:qFormat/>
    <w:rsid w:val="004169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695276">
      <w:bodyDiv w:val="1"/>
      <w:marLeft w:val="0"/>
      <w:marRight w:val="0"/>
      <w:marTop w:val="0"/>
      <w:marBottom w:val="0"/>
      <w:divBdr>
        <w:top w:val="none" w:sz="0" w:space="0" w:color="auto"/>
        <w:left w:val="none" w:sz="0" w:space="0" w:color="auto"/>
        <w:bottom w:val="none" w:sz="0" w:space="0" w:color="auto"/>
        <w:right w:val="none" w:sz="0" w:space="0" w:color="auto"/>
      </w:divBdr>
      <w:divsChild>
        <w:div w:id="452598989">
          <w:marLeft w:val="360"/>
          <w:marRight w:val="0"/>
          <w:marTop w:val="200"/>
          <w:marBottom w:val="0"/>
          <w:divBdr>
            <w:top w:val="none" w:sz="0" w:space="0" w:color="auto"/>
            <w:left w:val="none" w:sz="0" w:space="0" w:color="auto"/>
            <w:bottom w:val="none" w:sz="0" w:space="0" w:color="auto"/>
            <w:right w:val="none" w:sz="0" w:space="0" w:color="auto"/>
          </w:divBdr>
        </w:div>
        <w:div w:id="908031148">
          <w:marLeft w:val="1080"/>
          <w:marRight w:val="0"/>
          <w:marTop w:val="100"/>
          <w:marBottom w:val="0"/>
          <w:divBdr>
            <w:top w:val="none" w:sz="0" w:space="0" w:color="auto"/>
            <w:left w:val="none" w:sz="0" w:space="0" w:color="auto"/>
            <w:bottom w:val="none" w:sz="0" w:space="0" w:color="auto"/>
            <w:right w:val="none" w:sz="0" w:space="0" w:color="auto"/>
          </w:divBdr>
        </w:div>
        <w:div w:id="1830945549">
          <w:marLeft w:val="1080"/>
          <w:marRight w:val="0"/>
          <w:marTop w:val="100"/>
          <w:marBottom w:val="0"/>
          <w:divBdr>
            <w:top w:val="none" w:sz="0" w:space="0" w:color="auto"/>
            <w:left w:val="none" w:sz="0" w:space="0" w:color="auto"/>
            <w:bottom w:val="none" w:sz="0" w:space="0" w:color="auto"/>
            <w:right w:val="none" w:sz="0" w:space="0" w:color="auto"/>
          </w:divBdr>
        </w:div>
      </w:divsChild>
    </w:div>
    <w:div w:id="1515917477">
      <w:bodyDiv w:val="1"/>
      <w:marLeft w:val="0"/>
      <w:marRight w:val="0"/>
      <w:marTop w:val="0"/>
      <w:marBottom w:val="0"/>
      <w:divBdr>
        <w:top w:val="none" w:sz="0" w:space="0" w:color="auto"/>
        <w:left w:val="none" w:sz="0" w:space="0" w:color="auto"/>
        <w:bottom w:val="none" w:sz="0" w:space="0" w:color="auto"/>
        <w:right w:val="none" w:sz="0" w:space="0" w:color="auto"/>
      </w:divBdr>
      <w:divsChild>
        <w:div w:id="1390572726">
          <w:marLeft w:val="360"/>
          <w:marRight w:val="0"/>
          <w:marTop w:val="200"/>
          <w:marBottom w:val="0"/>
          <w:divBdr>
            <w:top w:val="none" w:sz="0" w:space="0" w:color="auto"/>
            <w:left w:val="none" w:sz="0" w:space="0" w:color="auto"/>
            <w:bottom w:val="none" w:sz="0" w:space="0" w:color="auto"/>
            <w:right w:val="none" w:sz="0" w:space="0" w:color="auto"/>
          </w:divBdr>
        </w:div>
        <w:div w:id="1259216390">
          <w:marLeft w:val="1080"/>
          <w:marRight w:val="0"/>
          <w:marTop w:val="100"/>
          <w:marBottom w:val="0"/>
          <w:divBdr>
            <w:top w:val="none" w:sz="0" w:space="0" w:color="auto"/>
            <w:left w:val="none" w:sz="0" w:space="0" w:color="auto"/>
            <w:bottom w:val="none" w:sz="0" w:space="0" w:color="auto"/>
            <w:right w:val="none" w:sz="0" w:space="0" w:color="auto"/>
          </w:divBdr>
        </w:div>
        <w:div w:id="1424254450">
          <w:marLeft w:val="360"/>
          <w:marRight w:val="0"/>
          <w:marTop w:val="200"/>
          <w:marBottom w:val="0"/>
          <w:divBdr>
            <w:top w:val="none" w:sz="0" w:space="0" w:color="auto"/>
            <w:left w:val="none" w:sz="0" w:space="0" w:color="auto"/>
            <w:bottom w:val="none" w:sz="0" w:space="0" w:color="auto"/>
            <w:right w:val="none" w:sz="0" w:space="0" w:color="auto"/>
          </w:divBdr>
        </w:div>
        <w:div w:id="463044237">
          <w:marLeft w:val="1080"/>
          <w:marRight w:val="0"/>
          <w:marTop w:val="100"/>
          <w:marBottom w:val="0"/>
          <w:divBdr>
            <w:top w:val="none" w:sz="0" w:space="0" w:color="auto"/>
            <w:left w:val="none" w:sz="0" w:space="0" w:color="auto"/>
            <w:bottom w:val="none" w:sz="0" w:space="0" w:color="auto"/>
            <w:right w:val="none" w:sz="0" w:space="0" w:color="auto"/>
          </w:divBdr>
        </w:div>
        <w:div w:id="3820843">
          <w:marLeft w:val="1080"/>
          <w:marRight w:val="0"/>
          <w:marTop w:val="100"/>
          <w:marBottom w:val="0"/>
          <w:divBdr>
            <w:top w:val="none" w:sz="0" w:space="0" w:color="auto"/>
            <w:left w:val="none" w:sz="0" w:space="0" w:color="auto"/>
            <w:bottom w:val="none" w:sz="0" w:space="0" w:color="auto"/>
            <w:right w:val="none" w:sz="0" w:space="0" w:color="auto"/>
          </w:divBdr>
        </w:div>
        <w:div w:id="838665460">
          <w:marLeft w:val="1800"/>
          <w:marRight w:val="0"/>
          <w:marTop w:val="100"/>
          <w:marBottom w:val="0"/>
          <w:divBdr>
            <w:top w:val="none" w:sz="0" w:space="0" w:color="auto"/>
            <w:left w:val="none" w:sz="0" w:space="0" w:color="auto"/>
            <w:bottom w:val="none" w:sz="0" w:space="0" w:color="auto"/>
            <w:right w:val="none" w:sz="0" w:space="0" w:color="auto"/>
          </w:divBdr>
        </w:div>
        <w:div w:id="1713117014">
          <w:marLeft w:val="1080"/>
          <w:marRight w:val="0"/>
          <w:marTop w:val="100"/>
          <w:marBottom w:val="0"/>
          <w:divBdr>
            <w:top w:val="none" w:sz="0" w:space="0" w:color="auto"/>
            <w:left w:val="none" w:sz="0" w:space="0" w:color="auto"/>
            <w:bottom w:val="none" w:sz="0" w:space="0" w:color="auto"/>
            <w:right w:val="none" w:sz="0" w:space="0" w:color="auto"/>
          </w:divBdr>
        </w:div>
      </w:divsChild>
    </w:div>
    <w:div w:id="1814835436">
      <w:bodyDiv w:val="1"/>
      <w:marLeft w:val="0"/>
      <w:marRight w:val="0"/>
      <w:marTop w:val="0"/>
      <w:marBottom w:val="0"/>
      <w:divBdr>
        <w:top w:val="none" w:sz="0" w:space="0" w:color="auto"/>
        <w:left w:val="none" w:sz="0" w:space="0" w:color="auto"/>
        <w:bottom w:val="none" w:sz="0" w:space="0" w:color="auto"/>
        <w:right w:val="none" w:sz="0" w:space="0" w:color="auto"/>
      </w:divBdr>
      <w:divsChild>
        <w:div w:id="1880512705">
          <w:marLeft w:val="360"/>
          <w:marRight w:val="0"/>
          <w:marTop w:val="200"/>
          <w:marBottom w:val="0"/>
          <w:divBdr>
            <w:top w:val="none" w:sz="0" w:space="0" w:color="auto"/>
            <w:left w:val="none" w:sz="0" w:space="0" w:color="auto"/>
            <w:bottom w:val="none" w:sz="0" w:space="0" w:color="auto"/>
            <w:right w:val="none" w:sz="0" w:space="0" w:color="auto"/>
          </w:divBdr>
        </w:div>
        <w:div w:id="1176267104">
          <w:marLeft w:val="1080"/>
          <w:marRight w:val="0"/>
          <w:marTop w:val="100"/>
          <w:marBottom w:val="0"/>
          <w:divBdr>
            <w:top w:val="none" w:sz="0" w:space="0" w:color="auto"/>
            <w:left w:val="none" w:sz="0" w:space="0" w:color="auto"/>
            <w:bottom w:val="none" w:sz="0" w:space="0" w:color="auto"/>
            <w:right w:val="none" w:sz="0" w:space="0" w:color="auto"/>
          </w:divBdr>
        </w:div>
        <w:div w:id="582879536">
          <w:marLeft w:val="360"/>
          <w:marRight w:val="0"/>
          <w:marTop w:val="200"/>
          <w:marBottom w:val="0"/>
          <w:divBdr>
            <w:top w:val="none" w:sz="0" w:space="0" w:color="auto"/>
            <w:left w:val="none" w:sz="0" w:space="0" w:color="auto"/>
            <w:bottom w:val="none" w:sz="0" w:space="0" w:color="auto"/>
            <w:right w:val="none" w:sz="0" w:space="0" w:color="auto"/>
          </w:divBdr>
        </w:div>
        <w:div w:id="1437679817">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0A7F5-6191-435E-9305-8FF8EFC5AD66}">
  <ds:schemaRefs>
    <ds:schemaRef ds:uri="http://schemas.microsoft.com/sharepoint/v3/contenttype/forms"/>
  </ds:schemaRefs>
</ds:datastoreItem>
</file>

<file path=customXml/itemProps2.xml><?xml version="1.0" encoding="utf-8"?>
<ds:datastoreItem xmlns:ds="http://schemas.openxmlformats.org/officeDocument/2006/customXml" ds:itemID="{4274CF27-4693-409E-A3B8-DC12C71CCC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F7EF01-DDD1-43A4-B018-7812A2CD427F}">
  <ds:schemaRefs>
    <ds:schemaRef ds:uri="http://www.w3.org/XML/1998/namespace"/>
    <ds:schemaRef ds:uri="http://purl.org/dc/elements/1.1/"/>
    <ds:schemaRef ds:uri="9b239327-9e80-40e4-b1b7-4394fed77a33"/>
    <ds:schemaRef ds:uri="http://schemas.microsoft.com/office/2006/metadata/properties"/>
    <ds:schemaRef ds:uri="2f282d3b-eb4a-4b09-b61f-b9593442e286"/>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schemas.microsoft.com/sharepoint/v3"/>
    <ds:schemaRef ds:uri="http://purl.org/dc/dcmitype/"/>
  </ds:schemaRefs>
</ds:datastoreItem>
</file>

<file path=customXml/itemProps4.xml><?xml version="1.0" encoding="utf-8"?>
<ds:datastoreItem xmlns:ds="http://schemas.openxmlformats.org/officeDocument/2006/customXml" ds:itemID="{E0E9935D-3BCB-45CC-8422-D8CB3ADF2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292</TotalTime>
  <Pages>6</Pages>
  <Words>2907</Words>
  <Characters>15072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31</cp:revision>
  <cp:lastPrinted>2020-12-29T18:20:00Z</cp:lastPrinted>
  <dcterms:created xsi:type="dcterms:W3CDTF">2020-12-08T14:50:00Z</dcterms:created>
  <dcterms:modified xsi:type="dcterms:W3CDTF">2021-01-15T14:57:00Z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