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[97e][327] NR_HST_Demod_BS</w:t>
      </w:r>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Heading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ListParagraph"/>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ListParagraph"/>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Heading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Heading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r w:rsidRPr="00F9073F">
              <w:t xml:space="preserve">Tdoc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r w:rsidRPr="00F9073F">
              <w:t>Tdoc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r w:rsidRPr="00F9073F">
              <w:t xml:space="preserve">Tdoc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r w:rsidRPr="00F9073F">
              <w:t xml:space="preserve">Tdoc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r w:rsidRPr="00F9073F">
              <w:t xml:space="preserve">Tdoc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r w:rsidRPr="00F9073F">
              <w:t xml:space="preserve">Tdoc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Huawei, HiSilicon</w:t>
            </w:r>
          </w:p>
        </w:tc>
        <w:tc>
          <w:tcPr>
            <w:tcW w:w="6585" w:type="dxa"/>
          </w:tcPr>
          <w:p w14:paraId="13FA013B" w14:textId="3344BDA3" w:rsidR="00EC2647" w:rsidRPr="00F9073F" w:rsidRDefault="00EC2647" w:rsidP="0029399C">
            <w:pPr>
              <w:spacing w:before="120" w:after="120"/>
            </w:pPr>
            <w:r w:rsidRPr="00F9073F">
              <w:t xml:space="preserve">Tdoc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r w:rsidRPr="00F9073F">
              <w:t xml:space="preserve">Tdoc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Heading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Heading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3C6B9EA" w14:textId="1227D88B" w:rsidR="00B4108D" w:rsidRPr="00F9073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w:t>
      </w:r>
      <w:r w:rsidR="00486E4A" w:rsidRPr="00F9073F">
        <w:rPr>
          <w:rFonts w:eastAsia="宋体"/>
          <w:szCs w:val="24"/>
          <w:lang w:eastAsia="zh-CN"/>
        </w:rPr>
        <w:t>Each company to update the simulation summary excel file prepared by CATT [</w:t>
      </w:r>
      <w:r w:rsidR="00486E4A" w:rsidRPr="00F9073F">
        <w:t>R4-2014397</w:t>
      </w:r>
      <w:r w:rsidR="00486E4A" w:rsidRPr="00F9073F">
        <w:rPr>
          <w:rFonts w:eastAsia="宋体"/>
          <w:szCs w:val="24"/>
          <w:lang w:eastAsia="zh-CN"/>
        </w:rPr>
        <w:t>]</w:t>
      </w:r>
      <w:r w:rsidR="00261AE0" w:rsidRPr="00F9073F">
        <w:rPr>
          <w:rFonts w:eastAsia="宋体"/>
          <w:szCs w:val="24"/>
          <w:lang w:eastAsia="zh-CN"/>
        </w:rPr>
        <w:t xml:space="preserve"> with revision available in the draft folder</w:t>
      </w:r>
      <w:r w:rsidR="00486E4A" w:rsidRPr="00F9073F">
        <w:rPr>
          <w:rFonts w:eastAsia="宋体"/>
          <w:szCs w:val="24"/>
          <w:lang w:eastAsia="zh-CN"/>
        </w:rPr>
        <w:t>.</w:t>
      </w:r>
    </w:p>
    <w:p w14:paraId="584C6E6F"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3588CC" w14:textId="445643A0" w:rsidR="00B4108D" w:rsidRPr="00F9073F" w:rsidRDefault="00486E4A"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Finish option 1 during 1st week.</w:t>
      </w:r>
    </w:p>
    <w:p w14:paraId="1DDEB4D9" w14:textId="327CEEF2" w:rsidR="00B4108D" w:rsidRPr="00F9073F"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3BD3ED45" w14:textId="1B45D77A"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354931" w:rsidRPr="00F9073F">
        <w:rPr>
          <w:rFonts w:eastAsia="宋体"/>
          <w:szCs w:val="24"/>
          <w:lang w:eastAsia="zh-CN"/>
        </w:rPr>
        <w:t xml:space="preserve"> (Nokia</w:t>
      </w:r>
      <w:r w:rsidR="00A362B8" w:rsidRPr="00F9073F">
        <w:rPr>
          <w:rFonts w:eastAsia="宋体"/>
          <w:szCs w:val="24"/>
          <w:lang w:eastAsia="zh-CN"/>
        </w:rPr>
        <w:t>, Ericsson</w:t>
      </w:r>
      <w:r w:rsidR="00354931" w:rsidRPr="00F9073F">
        <w:rPr>
          <w:rFonts w:eastAsia="宋体"/>
          <w:szCs w:val="24"/>
          <w:lang w:eastAsia="zh-CN"/>
        </w:rPr>
        <w:t>)</w:t>
      </w:r>
      <w:r w:rsidRPr="00F9073F">
        <w:rPr>
          <w:rFonts w:eastAsia="宋体"/>
          <w:szCs w:val="24"/>
          <w:lang w:eastAsia="zh-CN"/>
        </w:rPr>
        <w:t xml:space="preserve">: </w:t>
      </w:r>
      <w:r w:rsidR="00354931" w:rsidRPr="00F9073F">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22E12012" w14:textId="588A6D45"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During 2</w:t>
      </w:r>
      <w:r w:rsidRPr="00F9073F">
        <w:rPr>
          <w:rFonts w:eastAsia="宋体"/>
          <w:szCs w:val="24"/>
          <w:vertAlign w:val="superscript"/>
          <w:lang w:eastAsia="zh-CN"/>
        </w:rPr>
        <w:t>nd</w:t>
      </w:r>
      <w:r w:rsidRPr="00F9073F">
        <w:rPr>
          <w:rFonts w:eastAsia="宋体"/>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All results are aligned now as per the latest submitted results summary of revised R4-2014397, the issue does not exist any more.</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Heading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The proposal seems to re-tread previous agreements form the last (Friday) GtW session of RAN4#96e.</w:t>
      </w:r>
    </w:p>
    <w:tbl>
      <w:tblPr>
        <w:tblStyle w:val="TableGrid"/>
        <w:tblW w:w="4250" w:type="pct"/>
        <w:jc w:val="center"/>
        <w:tblLook w:val="04A0" w:firstRow="1" w:lastRow="0" w:firstColumn="1" w:lastColumn="0" w:noHBand="0" w:noVBand="1"/>
      </w:tblPr>
      <w:tblGrid>
        <w:gridCol w:w="8186"/>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277F457C" w14:textId="7432C01A"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BE03EA" w:rsidRPr="00F9073F">
        <w:rPr>
          <w:rFonts w:eastAsia="宋体"/>
          <w:szCs w:val="24"/>
          <w:lang w:eastAsia="zh-CN"/>
        </w:rPr>
        <w:t xml:space="preserve"> (ZTE)</w:t>
      </w:r>
      <w:r w:rsidRPr="00F9073F">
        <w:rPr>
          <w:rFonts w:eastAsia="宋体"/>
          <w:szCs w:val="24"/>
          <w:lang w:eastAsia="zh-CN"/>
        </w:rPr>
        <w:t xml:space="preserve">: </w:t>
      </w:r>
      <w:r w:rsidR="00BE03EA" w:rsidRPr="00F9073F">
        <w:rPr>
          <w:rFonts w:eastAsia="宋体"/>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w:t>
      </w:r>
      <w:r w:rsidR="00BE03EA" w:rsidRPr="00F9073F">
        <w:rPr>
          <w:rFonts w:eastAsia="宋体"/>
          <w:szCs w:val="24"/>
          <w:lang w:eastAsia="zh-CN"/>
        </w:rPr>
        <w:t xml:space="preserve"> (RAN4#96e</w:t>
      </w:r>
      <w:r w:rsidR="0088499F" w:rsidRPr="00F9073F">
        <w:rPr>
          <w:rFonts w:eastAsia="宋体"/>
          <w:szCs w:val="24"/>
          <w:lang w:eastAsia="zh-CN"/>
        </w:rPr>
        <w:t>, Ericsson</w:t>
      </w:r>
      <w:r w:rsidR="00BE03EA" w:rsidRPr="00F9073F">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C3D9614" w14:textId="02B69942" w:rsidR="00571777" w:rsidRPr="00F9073F" w:rsidRDefault="00BE03E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Heading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Heading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lastRenderedPageBreak/>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Heading2"/>
        <w:rPr>
          <w:lang w:val="en-GB"/>
        </w:rPr>
      </w:pPr>
      <w:r w:rsidRPr="00F9073F">
        <w:rPr>
          <w:lang w:val="en-GB"/>
        </w:rPr>
        <w:t xml:space="preserve">Summary for 1st round </w:t>
      </w:r>
    </w:p>
    <w:p w14:paraId="702EFDB0" w14:textId="77777777" w:rsidR="00DD19DE" w:rsidRPr="00F9073F" w:rsidRDefault="00DD19DE">
      <w:pPr>
        <w:pStyle w:val="Heading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lastRenderedPageBreak/>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Heading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Heading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(CpyA, CpyC): TBA</w:t>
      </w:r>
    </w:p>
    <w:p w14:paraId="75FCA433" w14:textId="77777777" w:rsidR="000D1C21" w:rsidRPr="00F9073F" w:rsidRDefault="000D1C21" w:rsidP="000D1C21">
      <w:pPr>
        <w:ind w:left="720"/>
      </w:pPr>
      <w:r w:rsidRPr="00F9073F">
        <w:t>•</w:t>
      </w:r>
      <w:r w:rsidRPr="00F9073F">
        <w:tab/>
        <w:t>Option 2 (CpyB):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lastRenderedPageBreak/>
        <w:t>[</w:t>
      </w:r>
      <w:r w:rsidRPr="00F9073F">
        <w:rPr>
          <w:color w:val="00B050"/>
        </w:rPr>
        <w:t>CpyC</w:t>
      </w:r>
      <w:r w:rsidRPr="00F9073F">
        <w:t>]: View of cpyC.</w:t>
      </w:r>
    </w:p>
    <w:p w14:paraId="71940E43" w14:textId="77777777" w:rsidR="000D1C21" w:rsidRPr="00F9073F" w:rsidRDefault="000D1C21" w:rsidP="000D1C21">
      <w:r w:rsidRPr="00F9073F">
        <w:t>[</w:t>
      </w:r>
      <w:r w:rsidRPr="00F9073F">
        <w:rPr>
          <w:color w:val="00B0F0"/>
        </w:rPr>
        <w:t>CpyB</w:t>
      </w:r>
      <w:r w:rsidRPr="00F9073F">
        <w:t>]: View of cpyB.</w:t>
      </w:r>
    </w:p>
    <w:p w14:paraId="57F40E1C" w14:textId="77777777" w:rsidR="000D1C21" w:rsidRPr="00F9073F" w:rsidRDefault="000D1C21" w:rsidP="000D1C21">
      <w:r w:rsidRPr="00F9073F">
        <w:t>[</w:t>
      </w:r>
      <w:r w:rsidRPr="00F9073F">
        <w:rPr>
          <w:color w:val="00B050"/>
        </w:rPr>
        <w:t>CpyC</w:t>
      </w:r>
      <w:r w:rsidRPr="00F9073F">
        <w:t>]: Updated view of cpyC.</w:t>
      </w:r>
    </w:p>
    <w:p w14:paraId="48CE260F" w14:textId="77777777" w:rsidR="000D1C21" w:rsidRPr="00F9073F" w:rsidRDefault="000D1C21" w:rsidP="000D1C21">
      <w:r w:rsidRPr="00F9073F">
        <w:t>[Moderator]: Updated recommended WF or options, due to compromise between cpyC and cpyB.</w:t>
      </w:r>
    </w:p>
    <w:p w14:paraId="2796D7C8" w14:textId="77777777" w:rsidR="000D1C21" w:rsidRPr="00F9073F" w:rsidRDefault="000D1C21" w:rsidP="000D1C21">
      <w:r w:rsidRPr="00F9073F">
        <w:t>[</w:t>
      </w:r>
      <w:r w:rsidRPr="00F9073F">
        <w:rPr>
          <w:color w:val="7030A0"/>
        </w:rPr>
        <w:t>CpyA</w:t>
      </w:r>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Heading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Heading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Heading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lastRenderedPageBreak/>
              <w:t xml:space="preserve">R4-2015091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A655547"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088DF4C7"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2DD0AFE7" w14:textId="1B5764CE" w:rsidR="000D1C21" w:rsidRPr="00F9073F" w:rsidRDefault="000D1C21" w:rsidP="00DC7E0F">
            <w:pPr>
              <w:spacing w:after="120"/>
              <w:rPr>
                <w:rFonts w:eastAsiaTheme="minorEastAsia"/>
                <w:lang w:eastAsia="zh-CN"/>
              </w:rPr>
            </w:pPr>
            <w:r w:rsidRPr="00F9073F">
              <w:rPr>
                <w:rFonts w:eastAsiaTheme="minorEastAsia"/>
                <w:lang w:eastAsia="zh-CN"/>
              </w:rPr>
              <w:t>The G.2.2 channel model changes are missing, and TBD should be updated following the results delivered this meeting.</w:t>
            </w:r>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6120CA73"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OK, we’ll change it. </w:t>
            </w:r>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Heading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Heading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r w:rsidRPr="00F9073F">
              <w:t xml:space="preserve">Tdoc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r w:rsidRPr="00F9073F">
              <w:t>Tdoc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r w:rsidRPr="00F9073F">
              <w:t xml:space="preserve">Tdoc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r w:rsidRPr="00F9073F">
              <w:t xml:space="preserve">Tdoc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Huawei, HiSilicon</w:t>
            </w:r>
          </w:p>
        </w:tc>
        <w:tc>
          <w:tcPr>
            <w:tcW w:w="6585" w:type="dxa"/>
          </w:tcPr>
          <w:p w14:paraId="7A5052A5" w14:textId="55BAB6C1" w:rsidR="000D6479" w:rsidRPr="00F9073F" w:rsidRDefault="000D6479" w:rsidP="000D6479">
            <w:pPr>
              <w:spacing w:before="120" w:after="120"/>
            </w:pPr>
            <w:r w:rsidRPr="00F9073F">
              <w:t xml:space="preserve">Tdoc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r w:rsidRPr="00F9073F">
              <w:t xml:space="preserve">Tdoc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Heading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80BE35F" w14:textId="760D7746" w:rsidR="00CC2D01" w:rsidRPr="00F9073F" w:rsidRDefault="00CC2D01"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29399C" w:rsidRPr="00F9073F">
        <w:rPr>
          <w:rFonts w:eastAsia="宋体"/>
          <w:szCs w:val="24"/>
          <w:lang w:eastAsia="zh-CN"/>
        </w:rPr>
        <w:t xml:space="preserve"> (Moderator)</w:t>
      </w:r>
      <w:r w:rsidRPr="00F9073F">
        <w:rPr>
          <w:rFonts w:eastAsia="宋体"/>
          <w:szCs w:val="24"/>
          <w:lang w:eastAsia="zh-CN"/>
        </w:rPr>
        <w:t>:</w:t>
      </w:r>
      <w:r w:rsidR="0029399C" w:rsidRPr="00F9073F">
        <w:rPr>
          <w:rFonts w:eastAsia="宋体"/>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宋体"/>
          <w:szCs w:val="24"/>
          <w:lang w:eastAsia="zh-CN"/>
        </w:rPr>
        <w:t>”, to maintain a consistent specification structure.</w:t>
      </w:r>
    </w:p>
    <w:p w14:paraId="2B1E9AB1"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0213059" w14:textId="41F95F43" w:rsidR="00CC2D01" w:rsidRPr="00F9073F"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Please </w:t>
      </w:r>
      <w:r w:rsidR="00AC3D82" w:rsidRPr="00F9073F">
        <w:rPr>
          <w:rFonts w:eastAsia="宋体"/>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Heading3"/>
        <w:rPr>
          <w:sz w:val="24"/>
          <w:szCs w:val="16"/>
          <w:lang w:val="en-GB"/>
        </w:rPr>
      </w:pPr>
      <w:r w:rsidRPr="00F9073F">
        <w:rPr>
          <w:sz w:val="24"/>
          <w:szCs w:val="16"/>
          <w:lang w:val="en-GB"/>
        </w:rPr>
        <w:lastRenderedPageBreak/>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1" w:author="Moderator" w:date="2020-11-08T20:37:00Z">
        <w:r w:rsidRPr="00F9073F" w:rsidDel="00B30F87">
          <w:rPr>
            <w:b/>
            <w:u w:val="single"/>
            <w:lang w:eastAsia="ko-KR"/>
          </w:rPr>
          <w:delText>PRACH restricted set applicability rules in specifications</w:delText>
        </w:r>
      </w:del>
      <w:ins w:id="2"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7962023" w14:textId="66369F2F"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2D5EFEB" w14:textId="5FA972FA"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Heading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Heading2"/>
        <w:rPr>
          <w:lang w:val="en-GB"/>
        </w:rPr>
      </w:pPr>
      <w:r w:rsidRPr="00F9073F">
        <w:rPr>
          <w:lang w:val="en-GB"/>
        </w:rPr>
        <w:lastRenderedPageBreak/>
        <w:t xml:space="preserve">Summary for 1st round </w:t>
      </w:r>
    </w:p>
    <w:p w14:paraId="764AA015" w14:textId="77777777" w:rsidR="00CC2D01" w:rsidRPr="00F9073F" w:rsidRDefault="00CC2D01" w:rsidP="00CC2D01">
      <w:pPr>
        <w:pStyle w:val="Heading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ListParagraph"/>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ListParagraph"/>
              <w:numPr>
                <w:ilvl w:val="0"/>
                <w:numId w:val="25"/>
              </w:numPr>
              <w:ind w:firstLineChars="0"/>
              <w:rPr>
                <w:rFonts w:eastAsiaTheme="minorEastAsia"/>
                <w:iCs/>
                <w:lang w:eastAsia="zh-CN"/>
              </w:rPr>
            </w:pPr>
            <w:r w:rsidRPr="00F9073F">
              <w:rPr>
                <w:rFonts w:eastAsiaTheme="minorEastAsia"/>
                <w:iCs/>
                <w:lang w:eastAsia="zh-CN"/>
              </w:rPr>
              <w:t>Discuss in GtW, if possible.</w:t>
            </w:r>
          </w:p>
          <w:p w14:paraId="70486597" w14:textId="1A5E0AE1" w:rsidR="001E2194" w:rsidRPr="00F9073F" w:rsidRDefault="0050101E" w:rsidP="0050101E">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Heading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Heading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Heading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6D2E4061"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Discuss in GtW, if possible.</w:t>
      </w:r>
    </w:p>
    <w:p w14:paraId="1250BC42"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3" w:author="Nicholas Pu" w:date="2020-11-09T21:21:00Z"/>
          <w:lang w:eastAsia="zh-CN"/>
        </w:rPr>
      </w:pPr>
      <w:r w:rsidRPr="00F9073F">
        <w:rPr>
          <w:lang w:eastAsia="zh-CN"/>
        </w:rPr>
        <w:t>[</w:t>
      </w:r>
      <w:del w:id="4" w:author="Nicholas Pu" w:date="2020-11-09T17:05:00Z">
        <w:r w:rsidRPr="00F9073F" w:rsidDel="00DC7E0F">
          <w:rPr>
            <w:lang w:eastAsia="zh-CN"/>
          </w:rPr>
          <w:delText>XXX</w:delText>
        </w:r>
      </w:del>
      <w:ins w:id="5" w:author="Nicholas Pu" w:date="2020-11-09T17:05:00Z">
        <w:r w:rsidR="00DC7E0F">
          <w:rPr>
            <w:lang w:eastAsia="zh-CN"/>
          </w:rPr>
          <w:t>Ericsson</w:t>
        </w:r>
      </w:ins>
      <w:r w:rsidRPr="00F9073F">
        <w:rPr>
          <w:lang w:eastAsia="zh-CN"/>
        </w:rPr>
        <w:t>]:</w:t>
      </w:r>
      <w:r w:rsidR="00F807DF" w:rsidRPr="00F9073F">
        <w:rPr>
          <w:lang w:eastAsia="zh-CN"/>
        </w:rPr>
        <w:t xml:space="preserve"> </w:t>
      </w:r>
      <w:ins w:id="6" w:author="Nicholas Pu" w:date="2020-11-09T21:10:00Z">
        <w:r w:rsidR="00F10717">
          <w:rPr>
            <w:lang w:eastAsia="zh-CN"/>
          </w:rPr>
          <w:t>We still think Option 2 might be better</w:t>
        </w:r>
      </w:ins>
      <w:ins w:id="7" w:author="Nicholas Pu" w:date="2020-11-09T21:21:00Z">
        <w:r w:rsidR="00F10717">
          <w:rPr>
            <w:lang w:eastAsia="zh-CN"/>
          </w:rPr>
          <w:t xml:space="preserve"> to align other HST requirements. </w:t>
        </w:r>
        <w:r w:rsidR="000D3279">
          <w:rPr>
            <w:lang w:eastAsia="zh-CN"/>
          </w:rPr>
          <w:t>W</w:t>
        </w:r>
      </w:ins>
      <w:ins w:id="8" w:author="Nicholas Pu" w:date="2020-11-09T17:06:00Z">
        <w:r w:rsidR="00DC7E0F">
          <w:rPr>
            <w:lang w:eastAsia="zh-CN"/>
          </w:rPr>
          <w:t>e</w:t>
        </w:r>
      </w:ins>
      <w:ins w:id="9" w:author="Nicholas Pu" w:date="2020-11-09T21:10:00Z">
        <w:r w:rsidR="00F10717">
          <w:rPr>
            <w:lang w:eastAsia="zh-CN"/>
          </w:rPr>
          <w:t xml:space="preserve"> also</w:t>
        </w:r>
      </w:ins>
      <w:ins w:id="10" w:author="Nicholas Pu" w:date="2020-11-09T17:06:00Z">
        <w:r w:rsidR="00DC7E0F">
          <w:rPr>
            <w:lang w:eastAsia="zh-CN"/>
          </w:rPr>
          <w:t xml:space="preserve"> notice</w:t>
        </w:r>
      </w:ins>
      <w:ins w:id="11" w:author="Nicholas Pu" w:date="2020-11-09T21:09:00Z">
        <w:r w:rsidR="00F10717">
          <w:rPr>
            <w:lang w:eastAsia="zh-CN"/>
          </w:rPr>
          <w:t xml:space="preserve"> </w:t>
        </w:r>
      </w:ins>
      <w:ins w:id="12" w:author="Nicholas Pu" w:date="2020-11-09T17:06:00Z">
        <w:r w:rsidR="00DC7E0F">
          <w:rPr>
            <w:lang w:eastAsia="zh-CN"/>
          </w:rPr>
          <w:t>that current</w:t>
        </w:r>
      </w:ins>
      <w:ins w:id="13" w:author="Nicholas Pu" w:date="2020-11-09T17:13:00Z">
        <w:r w:rsidR="00DC7E0F">
          <w:rPr>
            <w:lang w:eastAsia="zh-CN"/>
          </w:rPr>
          <w:t xml:space="preserve"> specification only mentioned </w:t>
        </w:r>
      </w:ins>
      <w:ins w:id="14" w:author="Nicholas Pu" w:date="2020-11-09T21:09:00Z">
        <w:r w:rsidR="00F10717">
          <w:rPr>
            <w:lang w:eastAsia="zh-CN"/>
          </w:rPr>
          <w:t xml:space="preserve">PRACH format </w:t>
        </w:r>
      </w:ins>
      <w:ins w:id="15" w:author="Nicholas Pu" w:date="2020-11-09T21:10:00Z">
        <w:r w:rsidR="00F10717">
          <w:rPr>
            <w:lang w:eastAsia="zh-CN"/>
          </w:rPr>
          <w:t>used for normal mode</w:t>
        </w:r>
      </w:ins>
      <w:ins w:id="16" w:author="Nicholas Pu" w:date="2020-11-09T21:11:00Z">
        <w:r w:rsidR="00F10717">
          <w:rPr>
            <w:lang w:eastAsia="zh-CN"/>
          </w:rPr>
          <w:t xml:space="preserve"> in applicability rule </w:t>
        </w:r>
      </w:ins>
      <w:ins w:id="17" w:author="Nicholas Pu" w:date="2020-11-09T21:12:00Z">
        <w:r w:rsidR="00F10717">
          <w:rPr>
            <w:lang w:eastAsia="zh-CN"/>
          </w:rPr>
          <w:t>8.1.2.3.1</w:t>
        </w:r>
      </w:ins>
      <w:ins w:id="18" w:author="Nicholas Pu" w:date="2020-11-09T21:13:00Z">
        <w:r w:rsidR="00F10717">
          <w:rPr>
            <w:lang w:eastAsia="zh-CN"/>
          </w:rPr>
          <w:t xml:space="preserve">, 8.1.2.3.2. </w:t>
        </w:r>
      </w:ins>
      <w:ins w:id="19"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20" w:author="Nicholas Pu" w:date="2020-11-09T21:11:00Z"/>
          <w:lang w:eastAsia="zh-CN"/>
        </w:rPr>
      </w:pPr>
      <w:ins w:id="21" w:author="Nicholas Pu" w:date="2020-11-09T21:21:00Z">
        <w:r>
          <w:rPr>
            <w:lang w:eastAsia="zh-CN"/>
          </w:rPr>
          <w:t>If</w:t>
        </w:r>
      </w:ins>
      <w:ins w:id="22" w:author="Nicholas Pu" w:date="2020-11-09T21:22:00Z">
        <w:r>
          <w:rPr>
            <w:lang w:eastAsia="zh-CN"/>
          </w:rPr>
          <w:t xml:space="preserve"> we agree to add separate sections 8.1.</w:t>
        </w:r>
      </w:ins>
      <w:ins w:id="23" w:author="Nicholas Pu" w:date="2020-11-09T21:23:00Z">
        <w:r>
          <w:rPr>
            <w:lang w:eastAsia="zh-CN"/>
          </w:rPr>
          <w:t>2.5</w:t>
        </w:r>
      </w:ins>
      <w:ins w:id="24" w:author="Nicholas Pu" w:date="2020-11-09T21:22:00Z">
        <w:r>
          <w:rPr>
            <w:lang w:eastAsia="zh-CN"/>
          </w:rPr>
          <w:t xml:space="preserve"> for HST PRACH applicability rule, then as similar subclause </w:t>
        </w:r>
      </w:ins>
      <w:ins w:id="25" w:author="Nicholas Pu" w:date="2020-11-09T21:23:00Z">
        <w:r>
          <w:rPr>
            <w:lang w:eastAsia="zh-CN"/>
          </w:rPr>
          <w:t>8.1.2.5.1 and 8.1.2.5.2 might be also needed</w:t>
        </w:r>
      </w:ins>
      <w:ins w:id="26" w:author="Nicholas Pu" w:date="2020-11-09T21:27:00Z">
        <w:r>
          <w:rPr>
            <w:lang w:eastAsia="zh-CN"/>
          </w:rPr>
          <w:t xml:space="preserve">, but </w:t>
        </w:r>
      </w:ins>
      <w:ins w:id="27" w:author="Nicholas Pu" w:date="2020-11-09T21:40:00Z">
        <w:r w:rsidR="007754F8">
          <w:rPr>
            <w:lang w:eastAsia="zh-CN"/>
          </w:rPr>
          <w:t>replace D.103</w:t>
        </w:r>
      </w:ins>
      <w:ins w:id="28" w:author="Nicholas Pu" w:date="2020-11-09T21:27:00Z">
        <w:r>
          <w:rPr>
            <w:lang w:eastAsia="zh-CN"/>
          </w:rPr>
          <w:t xml:space="preserve"> </w:t>
        </w:r>
      </w:ins>
      <w:ins w:id="29" w:author="Nicholas Pu" w:date="2020-11-09T21:40:00Z">
        <w:r w:rsidR="007754F8">
          <w:rPr>
            <w:lang w:eastAsia="zh-CN"/>
          </w:rPr>
          <w:t>by</w:t>
        </w:r>
      </w:ins>
      <w:ins w:id="30" w:author="Nicholas Pu" w:date="2020-11-09T21:27:00Z">
        <w:r>
          <w:rPr>
            <w:lang w:eastAsia="zh-CN"/>
          </w:rPr>
          <w:t xml:space="preserve"> </w:t>
        </w:r>
        <w:bookmarkStart w:id="31" w:name="_GoBack"/>
        <w:bookmarkEnd w:id="31"/>
        <w:r>
          <w:rPr>
            <w:lang w:eastAsia="zh-CN"/>
          </w:rPr>
          <w:t>D.110.</w:t>
        </w:r>
      </w:ins>
      <w:ins w:id="32" w:author="Nicholas Pu" w:date="2020-11-09T21:22:00Z">
        <w:r>
          <w:rPr>
            <w:lang w:eastAsia="zh-CN"/>
          </w:rPr>
          <w:t xml:space="preserve"> </w:t>
        </w:r>
      </w:ins>
    </w:p>
    <w:p w14:paraId="2376FC1F" w14:textId="7AE45D59" w:rsidR="00E90BC8" w:rsidRPr="00F9073F" w:rsidRDefault="000D3279" w:rsidP="00E90BC8">
      <w:pPr>
        <w:rPr>
          <w:lang w:eastAsia="zh-CN"/>
        </w:rPr>
      </w:pPr>
      <w:ins w:id="33" w:author="Nicholas Pu" w:date="2020-11-09T21:28:00Z">
        <w:r>
          <w:rPr>
            <w:noProof/>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0D3279" w:rsidRPr="006739FE" w:rsidRDefault="000D3279" w:rsidP="009522C1">
                              <w:pPr>
                                <w:pStyle w:val="Heading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0D3279" w:rsidRPr="006739FE" w:rsidRDefault="000D3279"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r w:rsidRPr="006739FE">
                                <w:rPr>
                                  <w:lang w:eastAsia="zh-CN"/>
                                </w:rPr>
                                <w:t>(</w:t>
                              </w:r>
                              <w:r w:rsidRPr="009522C1">
                                <w:rPr>
                                  <w:highlight w:val="yellow"/>
                                  <w:lang w:eastAsia="zh-CN"/>
                                </w:rPr>
                                <w:t>see D.103</w:t>
                              </w:r>
                              <w:r w:rsidRPr="006739FE">
                                <w:rPr>
                                  <w:lang w:eastAsia="zh-CN"/>
                                </w:rPr>
                                <w:t xml:space="preserve"> in table 4.6-1)</w:t>
                              </w:r>
                              <w:r w:rsidRPr="006739FE">
                                <w:t>.</w:t>
                              </w:r>
                            </w:p>
                            <w:p w14:paraId="75B84C52" w14:textId="77777777" w:rsidR="000D3279" w:rsidRPr="006739FE" w:rsidRDefault="000D3279" w:rsidP="009522C1">
                              <w:pPr>
                                <w:pStyle w:val="Heading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0D3279" w:rsidRPr="009522C1" w:rsidRDefault="000D3279" w:rsidP="009522C1">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fill o:detectmouseclick="t"/>
                  <v:textbox style="mso-fit-shape-to-text:t">
                    <w:txbxContent>
                      <w:p w14:paraId="68589CEF" w14:textId="77777777" w:rsidR="000D3279" w:rsidRPr="006739FE" w:rsidRDefault="000D3279" w:rsidP="009522C1">
                        <w:pPr>
                          <w:pStyle w:val="Heading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0D3279" w:rsidRPr="006739FE" w:rsidRDefault="000D3279"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r w:rsidRPr="006739FE">
                          <w:rPr>
                            <w:lang w:eastAsia="zh-CN"/>
                          </w:rPr>
                          <w:t>(</w:t>
                        </w:r>
                        <w:r w:rsidRPr="009522C1">
                          <w:rPr>
                            <w:highlight w:val="yellow"/>
                            <w:lang w:eastAsia="zh-CN"/>
                          </w:rPr>
                          <w:t>see D.103</w:t>
                        </w:r>
                        <w:r w:rsidRPr="006739FE">
                          <w:rPr>
                            <w:lang w:eastAsia="zh-CN"/>
                          </w:rPr>
                          <w:t xml:space="preserve"> in table 4.6-1)</w:t>
                        </w:r>
                        <w:r w:rsidRPr="006739FE">
                          <w:t>.</w:t>
                        </w:r>
                      </w:p>
                      <w:p w14:paraId="75B84C52" w14:textId="77777777" w:rsidR="000D3279" w:rsidRPr="006739FE" w:rsidRDefault="000D3279" w:rsidP="009522C1">
                        <w:pPr>
                          <w:pStyle w:val="Heading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0D3279" w:rsidRPr="009522C1" w:rsidRDefault="000D3279" w:rsidP="009522C1">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34" w:author="Nicholas Pu" w:date="2020-11-09T21:15:00Z">
        <w:r w:rsidR="00F10717">
          <w:rPr>
            <w:lang w:eastAsia="zh-CN"/>
          </w:rPr>
          <w:t xml:space="preserve"> </w:t>
        </w:r>
      </w:ins>
      <w:ins w:id="35" w:author="Nicholas Pu" w:date="2020-11-09T21:14:00Z">
        <w:r w:rsidR="00F10717">
          <w:rPr>
            <w:lang w:eastAsia="zh-CN"/>
          </w:rPr>
          <w:t xml:space="preserve"> </w:t>
        </w:r>
      </w:ins>
    </w:p>
    <w:p w14:paraId="6E576E30" w14:textId="5EF84975" w:rsidR="00E90BC8" w:rsidRPr="00F9073F" w:rsidRDefault="00E90BC8" w:rsidP="00E90BC8">
      <w:pPr>
        <w:rPr>
          <w:lang w:eastAsia="zh-CN"/>
        </w:rPr>
      </w:pPr>
      <w:r w:rsidRPr="00F9073F">
        <w:rPr>
          <w:lang w:eastAsia="zh-CN"/>
        </w:rPr>
        <w:t>[YYY]:</w:t>
      </w:r>
      <w:r w:rsidR="00F807DF" w:rsidRPr="00F9073F">
        <w:rPr>
          <w:lang w:eastAsia="zh-CN"/>
        </w:rPr>
        <w:t xml:space="preserve"> </w:t>
      </w:r>
    </w:p>
    <w:p w14:paraId="3C39A794" w14:textId="4C25785F" w:rsidR="00E90BC8" w:rsidRPr="00F9073F" w:rsidRDefault="00E90BC8"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Heading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Heading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lastRenderedPageBreak/>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29623C49" w14:textId="77777777" w:rsidR="000D1C21" w:rsidRPr="00F9073F" w:rsidRDefault="000D1C21" w:rsidP="00DC7E0F">
            <w:pPr>
              <w:spacing w:after="120"/>
              <w:ind w:left="284"/>
              <w:rPr>
                <w:rFonts w:eastAsiaTheme="minorEastAsia"/>
                <w:lang w:eastAsia="zh-CN"/>
              </w:rPr>
            </w:pPr>
            <w:r w:rsidRPr="00F9073F">
              <w:rPr>
                <w:noProof/>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Heading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lastRenderedPageBreak/>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Heading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r w:rsidRPr="00F9073F">
              <w:t>Tdoc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r w:rsidRPr="00F9073F">
              <w:t>Tdoc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r w:rsidRPr="00F9073F">
              <w:t>Tdoc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r w:rsidRPr="00F9073F">
              <w:t xml:space="preserve">Tdoc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r w:rsidRPr="00F9073F">
              <w:t xml:space="preserve">Tdoc Title: </w:t>
            </w:r>
            <w:r w:rsidR="00A976DE" w:rsidRPr="00F9073F">
              <w:t>Views on NR PUSCH for UL timing adjustment</w:t>
            </w:r>
          </w:p>
          <w:p w14:paraId="114D1DB1" w14:textId="388D2828" w:rsidR="00A976DE" w:rsidRPr="00F9073F" w:rsidRDefault="00A976DE" w:rsidP="00A976DE">
            <w:pPr>
              <w:spacing w:before="120" w:after="120"/>
            </w:pPr>
            <w:r w:rsidRPr="00F9073F">
              <w:lastRenderedPageBreak/>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lastRenderedPageBreak/>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r w:rsidRPr="00F9073F">
              <w:t xml:space="preserve">Tdoc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r w:rsidRPr="00F9073F">
              <w:t xml:space="preserve">Tdoc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Proposal 1: Only introduce the requirement of UL timing adjustment for scenario X with SCS/BW combination as 15 KHz/5MHz and 30 KHz/10MHz.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Huawei, HiSilicon</w:t>
            </w:r>
          </w:p>
        </w:tc>
        <w:tc>
          <w:tcPr>
            <w:tcW w:w="6585" w:type="dxa"/>
          </w:tcPr>
          <w:p w14:paraId="6C2D5C28" w14:textId="251A0CD7" w:rsidR="001C0DB3" w:rsidRPr="00F9073F" w:rsidRDefault="001C0DB3" w:rsidP="001C0DB3">
            <w:pPr>
              <w:spacing w:before="120" w:after="120"/>
            </w:pPr>
            <w:r w:rsidRPr="00F9073F">
              <w:t xml:space="preserve">Tdoc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r w:rsidRPr="00F9073F">
              <w:t xml:space="preserve">Tdoc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lastRenderedPageBreak/>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r w:rsidRPr="00F9073F">
              <w:t xml:space="preserve">Tdoc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r w:rsidRPr="00F9073F">
              <w:t xml:space="preserve">Tdoc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Heading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Heading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lastRenderedPageBreak/>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36" w:name="OLE_LINK9"/>
      <w:bookmarkStart w:id="37"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Scenario X requirements w.r.t. SCS/CBW</w:t>
      </w:r>
      <w:r w:rsidR="004F2A0E" w:rsidRPr="00F9073F">
        <w:rPr>
          <w:b/>
          <w:u w:val="single"/>
          <w:lang w:eastAsia="ko-KR"/>
        </w:rPr>
        <w:t xml:space="preserve"> combinations</w:t>
      </w:r>
    </w:p>
    <w:bookmarkEnd w:id="36"/>
    <w:bookmarkEnd w:id="37"/>
    <w:p w14:paraId="5DCB93C4"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0917EF6" w14:textId="4DE3FE11" w:rsidR="0000538B" w:rsidRPr="00F9073F" w:rsidRDefault="007718E3"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0538B" w:rsidRPr="00F9073F">
        <w:rPr>
          <w:rFonts w:eastAsia="宋体"/>
          <w:szCs w:val="24"/>
          <w:lang w:eastAsia="zh-CN"/>
        </w:rPr>
        <w:t xml:space="preserve"> (ZTE, CATT, CMCC, DoCoMo, Nokia)</w:t>
      </w:r>
      <w:r w:rsidRPr="00F9073F">
        <w:rPr>
          <w:rFonts w:eastAsia="宋体"/>
          <w:szCs w:val="24"/>
          <w:lang w:eastAsia="zh-CN"/>
        </w:rPr>
        <w:t xml:space="preserve">: </w:t>
      </w:r>
      <w:r w:rsidR="0000538B" w:rsidRPr="00F9073F">
        <w:rPr>
          <w:rFonts w:eastAsia="宋体"/>
          <w:szCs w:val="24"/>
          <w:lang w:eastAsia="zh-CN"/>
        </w:rPr>
        <w:t>Have requirements for</w:t>
      </w:r>
    </w:p>
    <w:p w14:paraId="65F09CAB" w14:textId="2378423A" w:rsidR="007718E3" w:rsidRPr="00F9073F"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10MHz/5MHz; 30kHz: 40MHz/10MHz</w:t>
      </w:r>
    </w:p>
    <w:p w14:paraId="0F285FE5" w14:textId="71FE2958" w:rsidR="0000538B" w:rsidRPr="00F9073F" w:rsidRDefault="0000538B"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(Samsung, Huawei, Ericsson): Have requirements for</w:t>
      </w:r>
    </w:p>
    <w:p w14:paraId="1AF38A4B" w14:textId="0D053440" w:rsidR="0000538B" w:rsidRPr="00F9073F"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5MHz; 30kHz: 10MHz</w:t>
      </w:r>
    </w:p>
    <w:p w14:paraId="5AB73D7C"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42BEB76E" w14:textId="77777777"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TBA</w:t>
      </w:r>
    </w:p>
    <w:p w14:paraId="298FDAB1"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Issue 3-1-1: Scenario X requirements w.r.t.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Issue 3-1-1: Scenario X requirements w.r.t.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Issue 3-1-1: Scenario X requirements w.r.t.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宋体"/>
                <w:szCs w:val="24"/>
                <w:lang w:eastAsia="zh-CN"/>
              </w:rPr>
            </w:pPr>
            <w:r w:rsidRPr="00F9073F">
              <w:rPr>
                <w:lang w:eastAsia="zh-CN"/>
              </w:rPr>
              <w:t xml:space="preserve">We prefer Option 2, i.e. </w:t>
            </w:r>
            <w:r w:rsidRPr="00F9073F">
              <w:rPr>
                <w:rFonts w:eastAsia="宋体"/>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lastRenderedPageBreak/>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Heading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5C0EFD3" w14:textId="638CE192"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4F2A0E" w:rsidRPr="00F9073F">
        <w:rPr>
          <w:rFonts w:eastAsia="宋体"/>
          <w:szCs w:val="24"/>
          <w:lang w:eastAsia="zh-CN"/>
        </w:rPr>
        <w:t xml:space="preserve"> (Ericsson)</w:t>
      </w:r>
      <w:r w:rsidRPr="00F9073F">
        <w:rPr>
          <w:rFonts w:eastAsia="宋体"/>
          <w:szCs w:val="24"/>
          <w:lang w:eastAsia="zh-CN"/>
        </w:rPr>
        <w:t xml:space="preserve">: </w:t>
      </w:r>
      <w:r w:rsidR="004F2A0E" w:rsidRPr="00F9073F">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4F2A0E" w:rsidRPr="00F9073F">
        <w:rPr>
          <w:rFonts w:eastAsia="宋体"/>
          <w:szCs w:val="24"/>
          <w:lang w:eastAsia="zh-CN"/>
        </w:rPr>
        <w:t>Other options not precluded</w:t>
      </w:r>
    </w:p>
    <w:p w14:paraId="4BC65E58"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41E3F9F" w14:textId="054DA84E" w:rsidR="007718E3" w:rsidRPr="00F9073F" w:rsidRDefault="004F2A0E"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ADA1254" w14:textId="6B0D78A6"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(ZTE, CATT, Nokia, Samsung</w:t>
      </w:r>
      <w:r w:rsidR="004E6F99"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4F2A0E" w:rsidRPr="00F9073F">
        <w:rPr>
          <w:rFonts w:eastAsia="Yu Mincho"/>
        </w:rPr>
        <w:t>Re-use non-HST PUSCH applicability rules</w:t>
      </w:r>
      <w:r w:rsidRPr="00F9073F">
        <w:rPr>
          <w:rFonts w:eastAsia="宋体"/>
          <w:szCs w:val="24"/>
          <w:lang w:eastAsia="zh-CN"/>
        </w:rPr>
        <w:t>.</w:t>
      </w:r>
    </w:p>
    <w:p w14:paraId="3AFDE8AC" w14:textId="29BEF05F"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10EAF21" w14:textId="13D242C9" w:rsidR="007718E3" w:rsidRPr="00F9073F"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seems like a potential compromise. </w:t>
      </w:r>
      <w:r w:rsidRPr="00F9073F">
        <w:rPr>
          <w:rFonts w:eastAsia="宋体"/>
          <w:szCs w:val="24"/>
          <w:lang w:eastAsia="zh-CN"/>
        </w:rPr>
        <w:br/>
        <w:t xml:space="preserve">Please </w:t>
      </w:r>
      <w:r w:rsidR="00A020E6" w:rsidRPr="00F9073F">
        <w:rPr>
          <w:rFonts w:eastAsia="宋体"/>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FB2E752" w14:textId="53F98DF9"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(Nokia</w:t>
      </w:r>
      <w:r w:rsidR="00A425FE"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0D7F6C" w:rsidRPr="00F9073F">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Other options not precluded.</w:t>
      </w:r>
    </w:p>
    <w:p w14:paraId="548B84E9"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76CB25" w14:textId="77777777"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TBD</w:t>
      </w:r>
    </w:p>
    <w:p w14:paraId="735BFE84" w14:textId="77777777" w:rsidR="004F2A0E" w:rsidRPr="00F9073F"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Heading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Heading2"/>
        <w:rPr>
          <w:lang w:val="en-GB"/>
        </w:rPr>
      </w:pPr>
      <w:r w:rsidRPr="00F9073F">
        <w:rPr>
          <w:lang w:val="en-GB"/>
        </w:rPr>
        <w:t xml:space="preserve">Summary for 1st round </w:t>
      </w:r>
    </w:p>
    <w:p w14:paraId="610BA94A" w14:textId="77777777" w:rsidR="007718E3" w:rsidRPr="00F9073F" w:rsidRDefault="007718E3" w:rsidP="007718E3">
      <w:pPr>
        <w:pStyle w:val="Heading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38"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3-1-1: Scenario X requirements w.r.t.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ListParagraph"/>
              <w:numPr>
                <w:ilvl w:val="0"/>
                <w:numId w:val="27"/>
              </w:numPr>
              <w:ind w:firstLineChars="0"/>
              <w:rPr>
                <w:rFonts w:eastAsiaTheme="minorEastAsia"/>
                <w:iCs/>
                <w:lang w:eastAsia="zh-CN"/>
              </w:rPr>
            </w:pPr>
            <w:r w:rsidRPr="00F9073F">
              <w:rPr>
                <w:rFonts w:eastAsiaTheme="minorEastAsia"/>
                <w:iCs/>
                <w:lang w:eastAsia="zh-CN"/>
              </w:rPr>
              <w:t>Discuss in GtW, if possible.</w:t>
            </w:r>
          </w:p>
          <w:p w14:paraId="4E4C2E26" w14:textId="4E9F41BE" w:rsidR="001E2194" w:rsidRPr="00F9073F" w:rsidRDefault="00B10CF3" w:rsidP="00DC7E0F">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39" w:author="Moderator" w:date="2020-11-08T17:19:00Z">
              <w:r w:rsidRPr="00F9073F" w:rsidDel="00F66B8E">
                <w:rPr>
                  <w:rFonts w:eastAsiaTheme="minorEastAsia"/>
                  <w:iCs/>
                  <w:u w:val="single"/>
                  <w:lang w:eastAsia="zh-CN"/>
                </w:rPr>
                <w:delText>1</w:delText>
              </w:r>
            </w:del>
            <w:ins w:id="40"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Heading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lastRenderedPageBreak/>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Heading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Heading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Issue 3-1-1: Scenario X requirements w.r.t.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77777777"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1: Have requirements for</w:t>
      </w:r>
    </w:p>
    <w:p w14:paraId="003B4D64"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10MHz/5MHz; 30kHz: 40MHz/10MHz</w:t>
      </w:r>
    </w:p>
    <w:p w14:paraId="7E14A355" w14:textId="77777777"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2: Have requirements for</w:t>
      </w:r>
    </w:p>
    <w:p w14:paraId="78CAE1F2"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Discuss in GtW, if possible.</w:t>
      </w:r>
    </w:p>
    <w:p w14:paraId="0F9A0A6C" w14:textId="6F184BB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41" w:author="Nicholas Pu" w:date="2020-11-09T21:28:00Z">
        <w:r w:rsidR="0046409F">
          <w:rPr>
            <w:lang w:eastAsia="zh-CN"/>
          </w:rPr>
          <w:t>Ericsson</w:t>
        </w:r>
      </w:ins>
      <w:del w:id="42" w:author="Nicholas Pu" w:date="2020-11-09T21:28:00Z">
        <w:r w:rsidRPr="00F9073F" w:rsidDel="0046409F">
          <w:rPr>
            <w:lang w:eastAsia="zh-CN"/>
          </w:rPr>
          <w:delText>XXX</w:delText>
        </w:r>
      </w:del>
      <w:r w:rsidRPr="00F9073F">
        <w:rPr>
          <w:lang w:eastAsia="zh-CN"/>
        </w:rPr>
        <w:t xml:space="preserve">]: </w:t>
      </w:r>
      <w:ins w:id="43" w:author="Nicholas Pu" w:date="2020-11-09T21:29:00Z">
        <w:r w:rsidR="0046409F">
          <w:rPr>
            <w:lang w:eastAsia="zh-CN"/>
          </w:rPr>
          <w:t xml:space="preserve">We </w:t>
        </w:r>
      </w:ins>
      <w:ins w:id="44" w:author="Nicholas Pu" w:date="2020-11-09T21:30:00Z">
        <w:r w:rsidR="0046409F">
          <w:rPr>
            <w:lang w:eastAsia="zh-CN"/>
          </w:rPr>
          <w:t>prefer</w:t>
        </w:r>
      </w:ins>
      <w:ins w:id="45" w:author="Nicholas Pu" w:date="2020-11-09T21:29:00Z">
        <w:r w:rsidR="0046409F">
          <w:rPr>
            <w:lang w:eastAsia="zh-CN"/>
          </w:rPr>
          <w:t xml:space="preserve"> Option 2.</w:t>
        </w:r>
      </w:ins>
      <w:ins w:id="46" w:author="Nicholas Pu" w:date="2020-11-09T21:30:00Z">
        <w:r w:rsidR="0046409F">
          <w:rPr>
            <w:lang w:eastAsia="zh-CN"/>
          </w:rPr>
          <w:t xml:space="preserve"> </w:t>
        </w:r>
      </w:ins>
      <w:ins w:id="47" w:author="Nicholas Pu" w:date="2020-11-09T21:31:00Z">
        <w:r w:rsidR="0046409F">
          <w:rPr>
            <w:lang w:eastAsia="zh-CN"/>
          </w:rPr>
          <w:t xml:space="preserve">Some companies mentioned </w:t>
        </w:r>
      </w:ins>
      <w:ins w:id="48" w:author="Nicholas Pu" w:date="2020-11-09T21:32:00Z">
        <w:r w:rsidR="007F2240">
          <w:rPr>
            <w:lang w:eastAsia="zh-CN"/>
          </w:rPr>
          <w:t xml:space="preserve">consistency considering </w:t>
        </w:r>
      </w:ins>
      <w:ins w:id="49" w:author="Nicholas Pu" w:date="2020-11-09T21:31:00Z">
        <w:r w:rsidR="0046409F">
          <w:rPr>
            <w:lang w:eastAsia="zh-CN"/>
          </w:rPr>
          <w:t>imp</w:t>
        </w:r>
        <w:r w:rsidR="007F2240">
          <w:rPr>
            <w:lang w:eastAsia="zh-CN"/>
          </w:rPr>
          <w:t>licit test passing if a</w:t>
        </w:r>
      </w:ins>
      <w:ins w:id="50" w:author="Nicholas Pu" w:date="2020-11-09T21:30:00Z">
        <w:r w:rsidR="0046409F">
          <w:rPr>
            <w:lang w:eastAsia="zh-CN"/>
          </w:rPr>
          <w:t xml:space="preserve"> HST BS </w:t>
        </w:r>
      </w:ins>
      <w:ins w:id="51" w:author="Nicholas Pu" w:date="2020-11-09T21:32:00Z">
        <w:r w:rsidR="007F2240">
          <w:rPr>
            <w:lang w:eastAsia="zh-CN"/>
          </w:rPr>
          <w:t>pass scenario Y</w:t>
        </w:r>
      </w:ins>
      <w:ins w:id="52" w:author="Nicholas Pu" w:date="2020-11-09T21:30:00Z">
        <w:r w:rsidR="0046409F">
          <w:rPr>
            <w:lang w:eastAsia="zh-CN"/>
          </w:rPr>
          <w:t>/Z</w:t>
        </w:r>
      </w:ins>
      <w:ins w:id="53" w:author="Nicholas Pu" w:date="2020-11-09T21:32:00Z">
        <w:r w:rsidR="007F2240">
          <w:rPr>
            <w:lang w:eastAsia="zh-CN"/>
          </w:rPr>
          <w:t>, but the BS don’t need to test scenario X in that c</w:t>
        </w:r>
      </w:ins>
      <w:ins w:id="54" w:author="Nicholas Pu" w:date="2020-11-09T21:33:00Z">
        <w:r w:rsidR="007F2240">
          <w:rPr>
            <w:lang w:eastAsia="zh-CN"/>
          </w:rPr>
          <w:t>ase. If it have to test scenario X, then it still can use applicability rule to only test minimum BW. From technic point of view, minimum BW requirem</w:t>
        </w:r>
      </w:ins>
      <w:ins w:id="55" w:author="Nicholas Pu" w:date="2020-11-09T21:34:00Z">
        <w:r w:rsidR="007F2240">
          <w:rPr>
            <w:lang w:eastAsia="zh-CN"/>
          </w:rPr>
          <w:t xml:space="preserve">ent of UL TA is worst than larger BW, then </w:t>
        </w:r>
      </w:ins>
      <w:ins w:id="56" w:author="Nicholas Pu" w:date="2020-11-09T21:35:00Z">
        <w:r w:rsidR="007F2240">
          <w:rPr>
            <w:lang w:eastAsia="zh-CN"/>
          </w:rPr>
          <w:t>the</w:t>
        </w:r>
      </w:ins>
      <w:ins w:id="57" w:author="Nicholas Pu" w:date="2020-11-09T21:34:00Z">
        <w:r w:rsidR="007F2240">
          <w:rPr>
            <w:lang w:eastAsia="zh-CN"/>
          </w:rPr>
          <w:t xml:space="preserve"> minimum </w:t>
        </w:r>
      </w:ins>
      <w:ins w:id="58" w:author="Nicholas Pu" w:date="2020-11-09T21:35:00Z">
        <w:r w:rsidR="007F2240">
          <w:rPr>
            <w:lang w:eastAsia="zh-CN"/>
          </w:rPr>
          <w:t xml:space="preserve">BW requirements is sufficient to test a BS in such scenario. </w:t>
        </w:r>
      </w:ins>
      <w:ins w:id="59" w:author="Nicholas Pu" w:date="2020-11-09T21:34:00Z">
        <w:r w:rsidR="007F2240">
          <w:rPr>
            <w:lang w:eastAsia="zh-CN"/>
          </w:rPr>
          <w:t xml:space="preserve"> </w:t>
        </w:r>
      </w:ins>
    </w:p>
    <w:p w14:paraId="351CFA74" w14:textId="77777777" w:rsidR="00F66B8E" w:rsidRPr="00F9073F" w:rsidRDefault="00F66B8E" w:rsidP="00F66B8E">
      <w:pPr>
        <w:rPr>
          <w:lang w:eastAsia="zh-CN"/>
        </w:rPr>
      </w:pPr>
      <w:r w:rsidRPr="00F9073F">
        <w:rPr>
          <w:lang w:eastAsia="zh-CN"/>
        </w:rPr>
        <w:t xml:space="preserve">[YYY]: </w:t>
      </w:r>
    </w:p>
    <w:p w14:paraId="2FC7D1CC" w14:textId="77777777" w:rsidR="00F66B8E" w:rsidRPr="00F9073F" w:rsidRDefault="00F66B8E" w:rsidP="007718E3">
      <w:pPr>
        <w:rPr>
          <w:lang w:eastAsia="zh-CN"/>
        </w:rPr>
      </w:pPr>
    </w:p>
    <w:p w14:paraId="0EEF67AB" w14:textId="77777777" w:rsidR="00F66B8E" w:rsidRPr="00F9073F" w:rsidRDefault="00F66B8E" w:rsidP="007718E3">
      <w:pPr>
        <w:rPr>
          <w:lang w:eastAsia="zh-CN"/>
        </w:rPr>
      </w:pPr>
    </w:p>
    <w:p w14:paraId="57F7836C" w14:textId="00D106E9" w:rsidR="00F66B8E" w:rsidRPr="00F9073F" w:rsidRDefault="00F66B8E" w:rsidP="00F66B8E">
      <w:pPr>
        <w:pStyle w:val="Heading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Heading3"/>
        <w:rPr>
          <w:lang w:val="en-GB"/>
        </w:rPr>
      </w:pPr>
      <w:r w:rsidRPr="00F9073F">
        <w:rPr>
          <w:lang w:val="en-GB"/>
        </w:rPr>
        <w:lastRenderedPageBreak/>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1: “Unless otherwise stated, a BS that declares to support PUSCH HST (see D.109 in table 4.6-1) and passes the tests for scenario Y or scenario Z, can also consider the tests for scenario X as passed.”</w:t>
      </w:r>
    </w:p>
    <w:p w14:paraId="7A2D3724"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ListParagraph"/>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60" w:author="Nicholas Pu" w:date="2020-11-09T21:36:00Z">
        <w:r w:rsidR="0082308C">
          <w:rPr>
            <w:lang w:eastAsia="zh-CN"/>
          </w:rPr>
          <w:t>Ericsson</w:t>
        </w:r>
      </w:ins>
      <w:del w:id="61" w:author="Nicholas Pu" w:date="2020-11-09T21:36:00Z">
        <w:r w:rsidRPr="00F9073F" w:rsidDel="0082308C">
          <w:rPr>
            <w:lang w:eastAsia="zh-CN"/>
          </w:rPr>
          <w:delText>XXX</w:delText>
        </w:r>
      </w:del>
      <w:r w:rsidRPr="00F9073F">
        <w:rPr>
          <w:lang w:eastAsia="zh-CN"/>
        </w:rPr>
        <w:t>]:</w:t>
      </w:r>
      <w:ins w:id="62" w:author="Nicholas Pu" w:date="2020-11-09T21:36:00Z">
        <w:r w:rsidR="0082308C">
          <w:rPr>
            <w:lang w:eastAsia="zh-CN"/>
          </w:rPr>
          <w:t xml:space="preserve"> We can a</w:t>
        </w:r>
      </w:ins>
      <w:ins w:id="63" w:author="Nicholas Pu" w:date="2020-11-09T21:37:00Z">
        <w:r w:rsidR="0082308C">
          <w:rPr>
            <w:lang w:eastAsia="zh-CN"/>
          </w:rPr>
          <w:t xml:space="preserve">ccept Option 3. </w:t>
        </w:r>
      </w:ins>
      <w:r w:rsidRPr="00F9073F">
        <w:rPr>
          <w:lang w:eastAsia="zh-CN"/>
        </w:rPr>
        <w:t xml:space="preserve"> </w:t>
      </w:r>
    </w:p>
    <w:p w14:paraId="3F59275B" w14:textId="77777777" w:rsidR="00F66B8E" w:rsidRPr="00F9073F" w:rsidRDefault="00F66B8E" w:rsidP="00F66B8E">
      <w:pPr>
        <w:rPr>
          <w:lang w:eastAsia="zh-CN"/>
        </w:rPr>
      </w:pPr>
      <w:r w:rsidRPr="00F9073F">
        <w:rPr>
          <w:lang w:eastAsia="zh-CN"/>
        </w:rPr>
        <w:t xml:space="preserve">[YYY]: </w:t>
      </w:r>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Heading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77777777" w:rsidR="00AB2BCC" w:rsidRPr="00F9073F" w:rsidRDefault="00AB2BCC" w:rsidP="00DC7E0F">
            <w:pPr>
              <w:spacing w:after="120"/>
              <w:rPr>
                <w:rFonts w:eastAsiaTheme="minorEastAsia"/>
                <w:lang w:eastAsia="zh-CN"/>
              </w:rPr>
            </w:pPr>
            <w:r w:rsidRPr="00F9073F">
              <w:rPr>
                <w:rFonts w:eastAsiaTheme="minorEastAsia"/>
                <w:lang w:eastAsia="zh-CN"/>
              </w:rPr>
              <w:t>R4-2014427</w:t>
            </w:r>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lastRenderedPageBreak/>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77777777" w:rsidR="00AB2BCC" w:rsidRPr="00F9073F" w:rsidRDefault="00AB2BCC" w:rsidP="00DC7E0F">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4A480BD" w14:textId="77777777" w:rsidR="00AB2BCC" w:rsidRPr="00F9073F" w:rsidRDefault="00AB2BCC" w:rsidP="00DC7E0F">
            <w:pPr>
              <w:spacing w:after="120"/>
              <w:rPr>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46ACE991" w14:textId="328A0BB6"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76E9884A" w14:textId="77777777" w:rsidTr="00DC7E0F">
        <w:tc>
          <w:tcPr>
            <w:tcW w:w="1232" w:type="dxa"/>
            <w:vMerge w:val="restart"/>
          </w:tcPr>
          <w:p w14:paraId="0E0EB31F" w14:textId="77777777" w:rsidR="00AB2BCC" w:rsidRPr="00F9073F" w:rsidRDefault="00AB2BCC" w:rsidP="00DC7E0F">
            <w:pPr>
              <w:spacing w:after="120"/>
              <w:rPr>
                <w:rFonts w:eastAsiaTheme="minorEastAsia"/>
                <w:lang w:eastAsia="zh-CN"/>
              </w:rPr>
            </w:pPr>
            <w:r w:rsidRPr="00F9073F">
              <w:rPr>
                <w:rFonts w:eastAsiaTheme="minorEastAsia"/>
                <w:lang w:eastAsia="zh-CN"/>
              </w:rPr>
              <w:t>R4-2015121</w:t>
            </w:r>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Heading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lastRenderedPageBreak/>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877A" w14:textId="77777777" w:rsidR="00E33C23" w:rsidRDefault="00E33C23">
      <w:r>
        <w:separator/>
      </w:r>
    </w:p>
  </w:endnote>
  <w:endnote w:type="continuationSeparator" w:id="0">
    <w:p w14:paraId="0C622E3D" w14:textId="77777777" w:rsidR="00E33C23" w:rsidRDefault="00E3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3C63" w14:textId="77777777" w:rsidR="00E33C23" w:rsidRDefault="00E33C23">
      <w:r>
        <w:separator/>
      </w:r>
    </w:p>
  </w:footnote>
  <w:footnote w:type="continuationSeparator" w:id="0">
    <w:p w14:paraId="6978934B" w14:textId="77777777" w:rsidR="00E33C23" w:rsidRDefault="00E3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261F"/>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5787"/>
    <w:rsid w:val="00A568EC"/>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23"/>
    <w:rsid w:val="00E33CD2"/>
    <w:rsid w:val="00E40E90"/>
    <w:rsid w:val="00E45C7E"/>
    <w:rsid w:val="00E531EB"/>
    <w:rsid w:val="00E53C34"/>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B8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38FB-6D96-4ECA-972C-BD951028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31</Pages>
  <Words>8461</Words>
  <Characters>48234</Characters>
  <Application>Microsoft Office Word</Application>
  <DocSecurity>0</DocSecurity>
  <Lines>401</Lines>
  <Paragraphs>113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Nicholas Pu</cp:lastModifiedBy>
  <cp:revision>6</cp:revision>
  <cp:lastPrinted>2019-04-25T01:09:00Z</cp:lastPrinted>
  <dcterms:created xsi:type="dcterms:W3CDTF">2020-11-09T09:04:00Z</dcterms:created>
  <dcterms:modified xsi:type="dcterms:W3CDTF">2020-11-09T13:40:00Z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