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Start w:id="2" w:name="_GoBack"/>
      <w:bookmarkEnd w:id="0"/>
      <w:bookmarkEnd w:id="2"/>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proofErr w:type="spellStart"/>
      <w:r w:rsidR="00157784" w:rsidRPr="00157784">
        <w:rPr>
          <w:rFonts w:ascii="Arial" w:eastAsiaTheme="minorEastAsia" w:hAnsi="Arial" w:cs="Arial"/>
          <w:b/>
          <w:sz w:val="24"/>
          <w:szCs w:val="24"/>
          <w:highlight w:val="yellow"/>
          <w:lang w:val="en-US" w:eastAsia="zh-CN"/>
        </w:rPr>
        <w:t>xxxx</w:t>
      </w:r>
      <w:proofErr w:type="spellEnd"/>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8"/>
        <w:gridCol w:w="7773"/>
      </w:tblGrid>
      <w:tr w:rsidR="001233A8" w:rsidRPr="001233A8" w14:paraId="78E9E803" w14:textId="77777777" w:rsidTr="00C747FE">
        <w:tc>
          <w:tcPr>
            <w:tcW w:w="1883"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9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C747FE">
        <w:tc>
          <w:tcPr>
            <w:tcW w:w="1883" w:type="dxa"/>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974" w:type="dxa"/>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C747FE">
        <w:tc>
          <w:tcPr>
            <w:tcW w:w="1883" w:type="dxa"/>
          </w:tcPr>
          <w:p w14:paraId="5F808F0D" w14:textId="3A032D53" w:rsidR="008E4E4B" w:rsidRPr="001233A8" w:rsidRDefault="008E4E4B" w:rsidP="00805BE8">
            <w:pPr>
              <w:spacing w:after="120"/>
              <w:rPr>
                <w:rFonts w:eastAsiaTheme="minorEastAsia"/>
                <w:color w:val="000000" w:themeColor="text1"/>
                <w:lang w:val="en-US" w:eastAsia="zh-CN"/>
              </w:rPr>
            </w:pPr>
          </w:p>
        </w:tc>
        <w:tc>
          <w:tcPr>
            <w:tcW w:w="7974" w:type="dxa"/>
          </w:tcPr>
          <w:p w14:paraId="61FCC029" w14:textId="1816B3FA" w:rsidR="00C05DF9" w:rsidRPr="001233A8" w:rsidRDefault="00C05DF9" w:rsidP="00C05DF9">
            <w:pPr>
              <w:spacing w:after="120"/>
              <w:rPr>
                <w:rFonts w:eastAsiaTheme="minorEastAsia"/>
                <w:color w:val="000000" w:themeColor="text1"/>
                <w:lang w:val="en-US" w:eastAsia="zh-CN"/>
              </w:rPr>
            </w:pPr>
          </w:p>
        </w:tc>
      </w:tr>
      <w:tr w:rsidR="00C747FE" w:rsidRPr="001233A8" w14:paraId="4E9492D6" w14:textId="77777777" w:rsidTr="00C747FE">
        <w:tc>
          <w:tcPr>
            <w:tcW w:w="1883" w:type="dxa"/>
          </w:tcPr>
          <w:p w14:paraId="6884322C" w14:textId="2CDB7158" w:rsidR="00C747FE" w:rsidRPr="001233A8" w:rsidDel="00C05DF9" w:rsidRDefault="00C747FE" w:rsidP="00C747FE">
            <w:pPr>
              <w:spacing w:after="120"/>
              <w:rPr>
                <w:rFonts w:eastAsiaTheme="minorEastAsia"/>
                <w:color w:val="000000" w:themeColor="text1"/>
                <w:lang w:val="en-US" w:eastAsia="zh-CN"/>
              </w:rPr>
            </w:pPr>
          </w:p>
        </w:tc>
        <w:tc>
          <w:tcPr>
            <w:tcW w:w="7974" w:type="dxa"/>
          </w:tcPr>
          <w:p w14:paraId="3285B59A" w14:textId="26EEA923" w:rsidR="00C747FE" w:rsidRDefault="00C747FE" w:rsidP="00C747FE">
            <w:pPr>
              <w:spacing w:after="120"/>
              <w:rPr>
                <w:rFonts w:eastAsiaTheme="minorEastAsia"/>
                <w:color w:val="000000" w:themeColor="text1"/>
                <w:lang w:val="en-US" w:eastAsia="zh-CN"/>
              </w:rPr>
            </w:pP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07729">
        <w:tc>
          <w:tcPr>
            <w:tcW w:w="9631" w:type="dxa"/>
            <w:gridSpan w:val="2"/>
          </w:tcPr>
          <w:p w14:paraId="08D5B4F9" w14:textId="77777777" w:rsidR="00B82348" w:rsidRPr="00B82348" w:rsidRDefault="00B82348" w:rsidP="00807729">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07729">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35A2CA6A"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07729">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07729">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07729">
        <w:tc>
          <w:tcPr>
            <w:tcW w:w="1233" w:type="dxa"/>
            <w:vMerge w:val="restart"/>
          </w:tcPr>
          <w:p w14:paraId="6E3ECEB6" w14:textId="77777777" w:rsidR="00B82348" w:rsidRPr="001233A8" w:rsidRDefault="00B82348" w:rsidP="00B82348">
            <w:pPr>
              <w:spacing w:after="120"/>
              <w:rPr>
                <w:rFonts w:eastAsiaTheme="minorEastAsia"/>
                <w:color w:val="000000" w:themeColor="text1"/>
                <w:lang w:val="en-US" w:eastAsia="zh-CN"/>
              </w:rPr>
            </w:pPr>
            <w:r w:rsidRPr="00675CBE">
              <w:t>R4-2006524</w:t>
            </w:r>
          </w:p>
        </w:tc>
        <w:tc>
          <w:tcPr>
            <w:tcW w:w="8398" w:type="dxa"/>
          </w:tcPr>
          <w:p w14:paraId="7A8D2036"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07729">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30EDF429"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0EE738FB" w14:textId="77777777" w:rsidTr="00807729">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07729">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07729">
        <w:tc>
          <w:tcPr>
            <w:tcW w:w="1233" w:type="dxa"/>
            <w:vMerge w:val="restart"/>
          </w:tcPr>
          <w:p w14:paraId="2C620D48" w14:textId="77777777" w:rsidR="00B82348" w:rsidRPr="001233A8" w:rsidRDefault="00B82348" w:rsidP="00B82348">
            <w:pPr>
              <w:spacing w:after="120"/>
              <w:rPr>
                <w:rFonts w:eastAsiaTheme="minorEastAsia"/>
                <w:color w:val="000000" w:themeColor="text1"/>
                <w:lang w:val="en-US" w:eastAsia="zh-CN"/>
              </w:rPr>
            </w:pPr>
            <w:r w:rsidRPr="00675CBE">
              <w:t>R4-2007228</w:t>
            </w:r>
          </w:p>
        </w:tc>
        <w:tc>
          <w:tcPr>
            <w:tcW w:w="8398" w:type="dxa"/>
          </w:tcPr>
          <w:p w14:paraId="48A444B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DE46BE1" w14:textId="77777777" w:rsidTr="001D34D5">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73A84ADC" w:rsidR="00B82348" w:rsidRPr="001233A8" w:rsidRDefault="00B82348" w:rsidP="00B82348">
            <w:pPr>
              <w:spacing w:after="120"/>
              <w:rPr>
                <w:rFonts w:eastAsiaTheme="minorEastAsia"/>
                <w:color w:val="000000" w:themeColor="text1"/>
                <w:lang w:val="en-US" w:eastAsia="zh-CN"/>
              </w:rPr>
            </w:pP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B82348" w:rsidRPr="00571777" w14:paraId="6D812F50" w14:textId="77777777" w:rsidTr="006B2D5E">
        <w:tc>
          <w:tcPr>
            <w:tcW w:w="1233" w:type="dxa"/>
            <w:vMerge w:val="restart"/>
          </w:tcPr>
          <w:p w14:paraId="71996A18" w14:textId="45ACA1F9" w:rsidR="00B82348" w:rsidRPr="001233A8" w:rsidRDefault="00B82348" w:rsidP="00B82348">
            <w:pPr>
              <w:spacing w:after="120"/>
              <w:rPr>
                <w:rFonts w:eastAsiaTheme="minorEastAsia"/>
                <w:color w:val="000000" w:themeColor="text1"/>
                <w:lang w:val="en-US" w:eastAsia="zh-CN"/>
              </w:rPr>
            </w:pPr>
            <w:r w:rsidRPr="00B82348">
              <w:t>R4-2006069</w:t>
            </w:r>
          </w:p>
        </w:tc>
        <w:tc>
          <w:tcPr>
            <w:tcW w:w="8398" w:type="dxa"/>
          </w:tcPr>
          <w:p w14:paraId="2588005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16B92DD" w14:textId="77777777" w:rsidTr="006B2D5E">
        <w:tc>
          <w:tcPr>
            <w:tcW w:w="1233" w:type="dxa"/>
            <w:vMerge/>
          </w:tcPr>
          <w:p w14:paraId="49C2551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F483D7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E08C36D" w14:textId="77777777" w:rsidTr="006B2D5E">
        <w:tc>
          <w:tcPr>
            <w:tcW w:w="1233" w:type="dxa"/>
            <w:vMerge/>
          </w:tcPr>
          <w:p w14:paraId="73108D72"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D0F464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6E99654" w14:textId="77777777" w:rsidTr="006B2D5E">
        <w:tc>
          <w:tcPr>
            <w:tcW w:w="1233" w:type="dxa"/>
            <w:vMerge w:val="restart"/>
          </w:tcPr>
          <w:p w14:paraId="449C0692" w14:textId="2AF219F3" w:rsidR="00B82348" w:rsidRPr="001233A8" w:rsidRDefault="00B82348" w:rsidP="00B82348">
            <w:pPr>
              <w:spacing w:after="120"/>
              <w:rPr>
                <w:rFonts w:eastAsiaTheme="minorEastAsia"/>
                <w:color w:val="000000" w:themeColor="text1"/>
                <w:lang w:val="en-US" w:eastAsia="zh-CN"/>
              </w:rPr>
            </w:pPr>
            <w:r w:rsidRPr="00675CBE">
              <w:t>R4-2006541</w:t>
            </w:r>
          </w:p>
        </w:tc>
        <w:tc>
          <w:tcPr>
            <w:tcW w:w="8398" w:type="dxa"/>
          </w:tcPr>
          <w:p w14:paraId="30B4E60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E851059" w14:textId="77777777" w:rsidTr="006B2D5E">
        <w:tc>
          <w:tcPr>
            <w:tcW w:w="1233" w:type="dxa"/>
            <w:vMerge/>
          </w:tcPr>
          <w:p w14:paraId="5678FD5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A9CDAD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F492CAE" w14:textId="77777777" w:rsidTr="006B2D5E">
        <w:tc>
          <w:tcPr>
            <w:tcW w:w="1233" w:type="dxa"/>
            <w:vMerge/>
          </w:tcPr>
          <w:p w14:paraId="3FCD923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C6FFCF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2CCD8D5" w14:textId="77777777" w:rsidTr="006B2D5E">
        <w:tc>
          <w:tcPr>
            <w:tcW w:w="1233" w:type="dxa"/>
            <w:vMerge w:val="restart"/>
          </w:tcPr>
          <w:p w14:paraId="4943554F" w14:textId="27B4E4C5" w:rsidR="00B82348" w:rsidRPr="001233A8" w:rsidRDefault="00B82348" w:rsidP="00B82348">
            <w:pPr>
              <w:spacing w:after="120"/>
              <w:rPr>
                <w:rFonts w:eastAsiaTheme="minorEastAsia"/>
                <w:color w:val="000000" w:themeColor="text1"/>
                <w:lang w:val="en-US" w:eastAsia="zh-CN"/>
              </w:rPr>
            </w:pPr>
            <w:r w:rsidRPr="00675CBE">
              <w:t>R4-2007226</w:t>
            </w:r>
          </w:p>
        </w:tc>
        <w:tc>
          <w:tcPr>
            <w:tcW w:w="8398" w:type="dxa"/>
          </w:tcPr>
          <w:p w14:paraId="372C8A9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39B501A" w14:textId="77777777" w:rsidTr="006B2D5E">
        <w:tc>
          <w:tcPr>
            <w:tcW w:w="1233" w:type="dxa"/>
            <w:vMerge/>
          </w:tcPr>
          <w:p w14:paraId="1817690C"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525BB9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6403019" w14:textId="77777777" w:rsidTr="006B2D5E">
        <w:tc>
          <w:tcPr>
            <w:tcW w:w="1233" w:type="dxa"/>
            <w:vMerge/>
          </w:tcPr>
          <w:p w14:paraId="3E21BB9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F262AAE"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lastRenderedPageBreak/>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lastRenderedPageBreak/>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03AF9185"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lastRenderedPageBreak/>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lastRenderedPageBreak/>
        <w:t>CRs</w:t>
      </w:r>
    </w:p>
    <w:tbl>
      <w:tblPr>
        <w:tblStyle w:val="TableGrid"/>
        <w:tblW w:w="0" w:type="auto"/>
        <w:tblLook w:val="04A0" w:firstRow="1" w:lastRow="0" w:firstColumn="1" w:lastColumn="0" w:noHBand="0" w:noVBand="1"/>
      </w:tblPr>
      <w:tblGrid>
        <w:gridCol w:w="1231"/>
        <w:gridCol w:w="8400"/>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367A5E" w14:paraId="28152CDF" w14:textId="77777777" w:rsidTr="00807729">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07729">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07729">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07729">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07729">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07729">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07729">
        <w:trPr>
          <w:trHeight w:val="468"/>
        </w:trPr>
        <w:tc>
          <w:tcPr>
            <w:tcW w:w="1648" w:type="dxa"/>
          </w:tcPr>
          <w:p w14:paraId="5EE0AF6C" w14:textId="2A864126" w:rsidR="00F8590B" w:rsidRPr="00367A5E" w:rsidRDefault="00F8590B" w:rsidP="00F8590B">
            <w:pPr>
              <w:spacing w:after="120"/>
            </w:pPr>
            <w:r w:rsidRPr="00367A5E">
              <w:lastRenderedPageBreak/>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07729">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07729">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3"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3"/>
          </w:p>
        </w:tc>
      </w:tr>
      <w:tr w:rsidR="00F8590B" w14:paraId="6D175AFF" w14:textId="77777777" w:rsidTr="00807729">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07729">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07729">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07729">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07729">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07729">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07729">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07729">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07729">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07729">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07729">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07729">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07729">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07729">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lastRenderedPageBreak/>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0950D191" w:rsidR="00367A5E" w:rsidRPr="001233A8" w:rsidRDefault="005B0671" w:rsidP="00807729">
            <w:pPr>
              <w:spacing w:after="120"/>
              <w:rPr>
                <w:rFonts w:eastAsiaTheme="minorEastAsia"/>
                <w:color w:val="000000" w:themeColor="text1"/>
                <w:lang w:val="en-US" w:eastAsia="zh-CN"/>
              </w:rPr>
            </w:pPr>
            <w:r w:rsidRPr="00367A5E">
              <w:t>R4-2007213</w:t>
            </w:r>
          </w:p>
        </w:tc>
        <w:tc>
          <w:tcPr>
            <w:tcW w:w="8398" w:type="dxa"/>
          </w:tcPr>
          <w:p w14:paraId="17E70F29"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73C06909" w:rsidR="00367A5E" w:rsidRPr="001233A8" w:rsidRDefault="005B0671" w:rsidP="00807729">
            <w:pPr>
              <w:spacing w:after="120"/>
              <w:rPr>
                <w:rFonts w:eastAsiaTheme="minorEastAsia"/>
                <w:color w:val="000000" w:themeColor="text1"/>
                <w:lang w:val="en-US" w:eastAsia="zh-CN"/>
              </w:rPr>
            </w:pPr>
            <w:r w:rsidRPr="00367A5E">
              <w:t>R4-2007215</w:t>
            </w:r>
          </w:p>
        </w:tc>
        <w:tc>
          <w:tcPr>
            <w:tcW w:w="8398" w:type="dxa"/>
          </w:tcPr>
          <w:p w14:paraId="3A75DA13"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8C0706E" w14:textId="77777777" w:rsidTr="00807729">
        <w:tc>
          <w:tcPr>
            <w:tcW w:w="1233" w:type="dxa"/>
            <w:vMerge w:val="restart"/>
          </w:tcPr>
          <w:p w14:paraId="35852573" w14:textId="7D1AA2DF" w:rsidR="00367A5E" w:rsidRPr="001233A8" w:rsidRDefault="005B0671" w:rsidP="00807729">
            <w:pPr>
              <w:spacing w:after="120"/>
              <w:rPr>
                <w:rFonts w:eastAsiaTheme="minorEastAsia"/>
                <w:color w:val="000000" w:themeColor="text1"/>
                <w:lang w:val="en-US" w:eastAsia="zh-CN"/>
              </w:rPr>
            </w:pPr>
            <w:r w:rsidRPr="00367A5E">
              <w:t>R4-2007218</w:t>
            </w:r>
          </w:p>
        </w:tc>
        <w:tc>
          <w:tcPr>
            <w:tcW w:w="8398" w:type="dxa"/>
          </w:tcPr>
          <w:p w14:paraId="4FFA84A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7E6FE818" w14:textId="77777777" w:rsidTr="00807729">
        <w:tc>
          <w:tcPr>
            <w:tcW w:w="1233" w:type="dxa"/>
            <w:vMerge/>
          </w:tcPr>
          <w:p w14:paraId="69A623C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36706A5E" w14:textId="77777777" w:rsidTr="00807729">
        <w:tc>
          <w:tcPr>
            <w:tcW w:w="1233" w:type="dxa"/>
            <w:vMerge/>
          </w:tcPr>
          <w:p w14:paraId="2627D1B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CC5717B" w14:textId="77777777" w:rsidTr="00807729">
        <w:tc>
          <w:tcPr>
            <w:tcW w:w="1233" w:type="dxa"/>
            <w:vMerge w:val="restart"/>
          </w:tcPr>
          <w:p w14:paraId="11AD670D" w14:textId="64BF4FA5" w:rsidR="00367A5E" w:rsidRPr="001233A8" w:rsidRDefault="005B0671" w:rsidP="00807729">
            <w:pPr>
              <w:spacing w:after="120"/>
              <w:rPr>
                <w:rFonts w:eastAsiaTheme="minorEastAsia"/>
                <w:color w:val="000000" w:themeColor="text1"/>
                <w:lang w:val="en-US" w:eastAsia="zh-CN"/>
              </w:rPr>
            </w:pPr>
            <w:r w:rsidRPr="00367A5E">
              <w:t>R4-2007242</w:t>
            </w:r>
          </w:p>
        </w:tc>
        <w:tc>
          <w:tcPr>
            <w:tcW w:w="8398" w:type="dxa"/>
          </w:tcPr>
          <w:p w14:paraId="44571B7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7481FE4" w14:textId="77777777" w:rsidTr="00807729">
        <w:tc>
          <w:tcPr>
            <w:tcW w:w="1233" w:type="dxa"/>
            <w:vMerge/>
          </w:tcPr>
          <w:p w14:paraId="1D9F5FF1"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4346DE34" w14:textId="77777777" w:rsidTr="00807729">
        <w:tc>
          <w:tcPr>
            <w:tcW w:w="1233" w:type="dxa"/>
            <w:vMerge/>
          </w:tcPr>
          <w:p w14:paraId="74FC236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07729">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5B0671" w:rsidRPr="00571777" w14:paraId="254F01F5" w14:textId="77777777" w:rsidTr="00807729">
        <w:tc>
          <w:tcPr>
            <w:tcW w:w="1233" w:type="dxa"/>
            <w:vMerge w:val="restart"/>
          </w:tcPr>
          <w:p w14:paraId="69561753" w14:textId="3B9339CE" w:rsidR="005B0671" w:rsidRPr="001233A8" w:rsidRDefault="005B0671" w:rsidP="00807729">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21E4325" w14:textId="77777777" w:rsidTr="00807729">
        <w:tc>
          <w:tcPr>
            <w:tcW w:w="1233" w:type="dxa"/>
            <w:vMerge/>
          </w:tcPr>
          <w:p w14:paraId="43A86667"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818D79B" w14:textId="77777777" w:rsidTr="00807729">
        <w:tc>
          <w:tcPr>
            <w:tcW w:w="1233" w:type="dxa"/>
            <w:vMerge/>
          </w:tcPr>
          <w:p w14:paraId="0B1BCBD1"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156E0986" w14:textId="77777777" w:rsidTr="00807729">
        <w:tc>
          <w:tcPr>
            <w:tcW w:w="1233" w:type="dxa"/>
            <w:vMerge w:val="restart"/>
          </w:tcPr>
          <w:p w14:paraId="20DFE7EC" w14:textId="49AA0DBA" w:rsidR="005B0671" w:rsidRPr="001233A8" w:rsidRDefault="005B0671" w:rsidP="00807729">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6595D793" w14:textId="77777777" w:rsidTr="00807729">
        <w:tc>
          <w:tcPr>
            <w:tcW w:w="1233" w:type="dxa"/>
            <w:vMerge/>
          </w:tcPr>
          <w:p w14:paraId="35587F5D"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2638109F" w14:textId="77777777" w:rsidTr="00807729">
        <w:tc>
          <w:tcPr>
            <w:tcW w:w="1233" w:type="dxa"/>
            <w:vMerge/>
          </w:tcPr>
          <w:p w14:paraId="404761EB"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807729">
        <w:tc>
          <w:tcPr>
            <w:tcW w:w="1242"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07729">
        <w:tc>
          <w:tcPr>
            <w:tcW w:w="1242" w:type="dxa"/>
          </w:tcPr>
          <w:p w14:paraId="1A291E05" w14:textId="77777777" w:rsidR="00367A5E" w:rsidRPr="00CD75D2" w:rsidRDefault="00367A5E" w:rsidP="00807729">
            <w:pPr>
              <w:rPr>
                <w:color w:val="000000" w:themeColor="text1"/>
                <w:highlight w:val="yellow"/>
              </w:rPr>
            </w:pPr>
          </w:p>
        </w:tc>
        <w:tc>
          <w:tcPr>
            <w:tcW w:w="8615" w:type="dxa"/>
          </w:tcPr>
          <w:p w14:paraId="36716C66" w14:textId="77777777" w:rsidR="00367A5E" w:rsidRPr="00CD75D2" w:rsidRDefault="00367A5E" w:rsidP="00807729">
            <w:pPr>
              <w:rPr>
                <w:color w:val="000000" w:themeColor="text1"/>
                <w:highlight w:val="yellow"/>
              </w:rPr>
            </w:pPr>
          </w:p>
        </w:tc>
      </w:tr>
      <w:tr w:rsidR="00367A5E" w14:paraId="1EE1E906" w14:textId="77777777" w:rsidTr="00807729">
        <w:tc>
          <w:tcPr>
            <w:tcW w:w="1242" w:type="dxa"/>
          </w:tcPr>
          <w:p w14:paraId="31D881E1" w14:textId="77777777" w:rsidR="00367A5E" w:rsidRPr="00CD75D2" w:rsidRDefault="00367A5E" w:rsidP="00807729">
            <w:pPr>
              <w:rPr>
                <w:color w:val="000000" w:themeColor="text1"/>
                <w:highlight w:val="yellow"/>
              </w:rPr>
            </w:pPr>
          </w:p>
        </w:tc>
        <w:tc>
          <w:tcPr>
            <w:tcW w:w="8615" w:type="dxa"/>
          </w:tcPr>
          <w:p w14:paraId="59FB75C5" w14:textId="77777777" w:rsidR="00367A5E" w:rsidRPr="00CD75D2" w:rsidRDefault="00367A5E" w:rsidP="00807729">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lastRenderedPageBreak/>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C6F5" w14:textId="77777777" w:rsidR="00CC436B" w:rsidRDefault="00CC436B">
      <w:r>
        <w:separator/>
      </w:r>
    </w:p>
  </w:endnote>
  <w:endnote w:type="continuationSeparator" w:id="0">
    <w:p w14:paraId="1367028F" w14:textId="77777777" w:rsidR="00CC436B" w:rsidRDefault="00CC436B">
      <w:r>
        <w:continuationSeparator/>
      </w:r>
    </w:p>
  </w:endnote>
  <w:endnote w:type="continuationNotice" w:id="1">
    <w:p w14:paraId="4F7E625A" w14:textId="77777777" w:rsidR="00CC436B" w:rsidRDefault="00CC4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245C2" w14:textId="77777777" w:rsidR="00CC436B" w:rsidRDefault="00CC436B">
      <w:r>
        <w:separator/>
      </w:r>
    </w:p>
  </w:footnote>
  <w:footnote w:type="continuationSeparator" w:id="0">
    <w:p w14:paraId="061CF6EF" w14:textId="77777777" w:rsidR="00CC436B" w:rsidRDefault="00CC436B">
      <w:r>
        <w:continuationSeparator/>
      </w:r>
    </w:p>
  </w:footnote>
  <w:footnote w:type="continuationNotice" w:id="1">
    <w:p w14:paraId="65724F40" w14:textId="77777777" w:rsidR="00CC436B" w:rsidRDefault="00CC43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6A5F0C5B"/>
    <w:multiLevelType w:val="hybridMultilevel"/>
    <w:tmpl w:val="11F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4"/>
  </w:num>
  <w:num w:numId="19">
    <w:abstractNumId w:val="12"/>
  </w:num>
  <w:num w:numId="20">
    <w:abstractNumId w:val="8"/>
  </w:num>
  <w:num w:numId="21">
    <w:abstractNumId w:val="16"/>
  </w:num>
  <w:num w:numId="22">
    <w:abstractNumId w:val="17"/>
  </w:num>
  <w:num w:numId="23">
    <w:abstractNumId w:val="5"/>
  </w:num>
  <w:num w:numId="24">
    <w:abstractNumId w:val="19"/>
  </w:num>
  <w:num w:numId="25">
    <w:abstractNumId w:val="1"/>
  </w:num>
  <w:num w:numId="26">
    <w:abstractNumId w:val="10"/>
  </w:num>
  <w:num w:numId="27">
    <w:abstractNumId w:val="11"/>
  </w:num>
  <w:num w:numId="28">
    <w:abstractNumId w:val="6"/>
  </w:num>
  <w:num w:numId="29">
    <w:abstractNumId w:val="3"/>
  </w:num>
  <w:num w:numId="30">
    <w:abstractNumId w:val="18"/>
  </w:num>
  <w:num w:numId="31">
    <w:abstractNumId w:val="14"/>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06176"/>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64321"/>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436B"/>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5161665-C4D3-40A4-92E3-CA496D1D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1826</Words>
  <Characters>10215</Characters>
  <Application>Microsoft Office Word</Application>
  <DocSecurity>0</DocSecurity>
  <Lines>653</Lines>
  <Paragraphs>360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11760</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4</cp:revision>
  <cp:lastPrinted>2019-04-25T01:09:00Z</cp:lastPrinted>
  <dcterms:created xsi:type="dcterms:W3CDTF">2020-05-22T16:27:00Z</dcterms:created>
  <dcterms:modified xsi:type="dcterms:W3CDTF">2020-05-25T08:19:00Z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2020-05-25 08:19:26Z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