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338317B1"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1947F6">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A25588">
        <w:rPr>
          <w:rFonts w:cs="Arial"/>
          <w:sz w:val="24"/>
          <w:szCs w:val="24"/>
          <w:lang w:val="de-DE"/>
        </w:rPr>
        <w:t>4719</w:t>
      </w:r>
      <w:bookmarkStart w:id="0" w:name="_GoBack"/>
      <w:bookmarkEnd w:id="0"/>
    </w:p>
    <w:p w14:paraId="7B0E701E" w14:textId="7D8D8829" w:rsidR="006B0412" w:rsidRPr="00DB3907" w:rsidRDefault="001947F6"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A2C41C5"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A25588">
        <w:rPr>
          <w:rFonts w:ascii="Arial" w:hAnsi="Arial"/>
          <w:sz w:val="24"/>
          <w:lang w:val="en-US"/>
        </w:rPr>
        <w:t>6.13.1.6</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4DDE995"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47F6">
        <w:rPr>
          <w:rFonts w:ascii="Arial" w:hAnsi="Arial"/>
          <w:sz w:val="24"/>
          <w:lang w:val="en-US"/>
        </w:rPr>
        <w:t>Testability of reported transient durations</w:t>
      </w:r>
    </w:p>
    <w:p w14:paraId="013F978F" w14:textId="3E7381AC"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947F6">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2143D12" w14:textId="65B3427A" w:rsidR="001947F6" w:rsidRDefault="001947F6" w:rsidP="00E12531">
      <w:pPr>
        <w:rPr>
          <w:lang w:val="en-US"/>
        </w:rPr>
      </w:pPr>
      <w:r>
        <w:rPr>
          <w:lang w:val="en-US"/>
        </w:rPr>
        <w:t xml:space="preserve">The proposal for reporting of ON-ON transient period capability includes durations of 1, 2, 4, and 7 us in addition to the default value of 10us if the capability is not signaled.  During the discussion on testability, it was observed that the proposed method of EVM evaluation does not properly verify the possible signaled values.  This contribution describes a </w:t>
      </w:r>
      <w:r w:rsidR="00495829">
        <w:rPr>
          <w:lang w:val="en-US"/>
        </w:rPr>
        <w:t>method</w:t>
      </w:r>
      <w:r>
        <w:rPr>
          <w:lang w:val="en-US"/>
        </w:rPr>
        <w:t xml:space="preserve"> to enable testing of all possible signaled values.</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63B02696" w14:textId="3F01AF73" w:rsidR="00A0551F" w:rsidRDefault="00EA267C" w:rsidP="001947F6">
      <w:pPr>
        <w:rPr>
          <w:b/>
          <w:sz w:val="18"/>
        </w:rPr>
      </w:pPr>
      <w:r>
        <w:rPr>
          <w:lang w:val="en-US"/>
        </w:rPr>
        <w:t xml:space="preserve">The proposed method for EVM evaluation [1] specifies that the test specifications are applicable to 15 kHz SCS with EVM as the minimum between lower and upper FFT timing, </w:t>
      </w:r>
      <w:r w:rsidRPr="005E1E24">
        <w:rPr>
          <w:b/>
          <w:position w:val="-10"/>
          <w:sz w:val="18"/>
        </w:rPr>
        <w:object w:dxaOrig="2360" w:dyaOrig="340" w14:anchorId="32386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16.5pt" o:ole="">
            <v:imagedata r:id="rId8" o:title=""/>
          </v:shape>
          <o:OLEObject Type="Embed" ProgID="Equation.3" ShapeID="_x0000_i1025" DrawAspect="Content" ObjectID="_1648024710" r:id="rId9"/>
        </w:object>
      </w:r>
      <w:r>
        <w:rPr>
          <w:b/>
          <w:sz w:val="18"/>
        </w:rPr>
        <w:t>.</w:t>
      </w:r>
    </w:p>
    <w:p w14:paraId="3EB4AC4A" w14:textId="26AA2199" w:rsidR="00EA267C" w:rsidRDefault="00EA267C" w:rsidP="001947F6">
      <w:pPr>
        <w:rPr>
          <w:lang w:val="en-US"/>
        </w:rPr>
      </w:pPr>
      <w:r>
        <w:rPr>
          <w:lang w:val="en-US"/>
        </w:rPr>
        <w:t xml:space="preserve">Lower and upper FFT timing are given </w:t>
      </w:r>
      <w:r w:rsidR="00E312B1">
        <w:rPr>
          <w:lang w:val="en-US"/>
        </w:rPr>
        <w:t>as 25% and 75% of the cyclic prefix excluding 16</w:t>
      </w:r>
      <w:r w:rsidR="008B1F99">
        <w:rPr>
          <w:lang w:val="en-US"/>
        </w:rPr>
        <w:t>κ</w:t>
      </w:r>
      <w:r w:rsidR="00E312B1">
        <w:rPr>
          <w:lang w:val="en-US"/>
        </w:rPr>
        <w:t xml:space="preserve"> samples in the first symbol.  The formulation of min(EVM_L, EVM_H) provides for 150% CP of symmetrically located transient that can be excluded from the FFT.  For 15 kHz SCS, the CP duration is 4.7us for which 150% CP is 7.03 us.  Therefore, any </w:t>
      </w:r>
      <w:r w:rsidR="008B1F99">
        <w:rPr>
          <w:lang w:val="en-US"/>
        </w:rPr>
        <w:t xml:space="preserve">symmetrically located </w:t>
      </w:r>
      <w:r w:rsidR="00E312B1">
        <w:rPr>
          <w:lang w:val="en-US"/>
        </w:rPr>
        <w:t xml:space="preserve">transient that is 7us or shorter will be excluded in the EVM evaluation.  A transient that is longer than 7us, or one that is </w:t>
      </w:r>
      <w:r w:rsidR="00E32E94">
        <w:rPr>
          <w:lang w:val="en-US"/>
        </w:rPr>
        <w:t xml:space="preserve">7us but </w:t>
      </w:r>
      <w:r w:rsidR="00E312B1">
        <w:rPr>
          <w:lang w:val="en-US"/>
        </w:rPr>
        <w:t xml:space="preserve">not symmetrically placed between symbols, will be captured within the FFT and will be observed as degraded EVM.  </w:t>
      </w:r>
      <w:r w:rsidR="008B1F99">
        <w:rPr>
          <w:lang w:val="en-US"/>
        </w:rPr>
        <w:t>By exploiting the longer CP in the first symbol, it is potentially possible to place a non-symmetric transient with slightly extended duration but the system performance will not be harmed since the additional samples in the CP are anyways discarded.  With this approach of min(EVM_L, EVM_H)</w:t>
      </w:r>
      <w:r w:rsidR="00E312B1">
        <w:rPr>
          <w:lang w:val="en-US"/>
        </w:rPr>
        <w:t>, a UE with 7us or shorter transient can be verified by EVM.</w:t>
      </w:r>
    </w:p>
    <w:p w14:paraId="57475EBF" w14:textId="680ABB9F" w:rsidR="00574DBC" w:rsidRDefault="00E312B1" w:rsidP="001947F6">
      <w:pPr>
        <w:rPr>
          <w:lang w:val="en-US"/>
        </w:rPr>
      </w:pPr>
      <w:r>
        <w:rPr>
          <w:lang w:val="en-US"/>
        </w:rPr>
        <w:t>One shortcoming of this approach</w:t>
      </w:r>
      <w:r w:rsidR="00EE124C">
        <w:rPr>
          <w:lang w:val="en-US"/>
        </w:rPr>
        <w:t xml:space="preserve">, as observed in [2], is that values shorter than 7us can not be distinguished.  This does not mean that a UE indicating 1, 2, or 4 us will fail the EVM, so there is no danger of failing a good UE.  However, it does suggest that a UE reporting 1, 2, or 4 us will not be distinguishable from one that reports 7 us transient capability.  In fact, it was originally proposed in [3] that instead of the existing EVM_L and EVM_H FFT timings, a new timing is used corresponding exactly to the reported transient duration; i.e., 1, 2, 4, or 7 us.  In this way, the EVM based on this timing would exactly exclude only those samples that are within the reported transient duration.  </w:t>
      </w:r>
      <w:r w:rsidR="008B1F99">
        <w:rPr>
          <w:lang w:val="en-US"/>
        </w:rPr>
        <w:t>Any of the reported capability values can be verified directly with the possible exception of 1us for which 1.2us might be the smallest testable transient assuming 25% CP is corrupted by transmit WOLA.  It is also possible for DFT-S-OFDM samples that encroach into the FFT (i.e., those samples that can not be excluded by the EVM timing windows) to further exclude transient samples in the quasi-time domain for long transient periods; however, this approach may not be needed</w:t>
      </w:r>
      <w:r w:rsidR="00574DBC">
        <w:rPr>
          <w:lang w:val="en-US"/>
        </w:rPr>
        <w:t xml:space="preserve">.  </w:t>
      </w:r>
    </w:p>
    <w:p w14:paraId="02F0A5F3" w14:textId="3F9D4F24" w:rsidR="00E312B1" w:rsidRDefault="00574DBC" w:rsidP="001947F6">
      <w:pPr>
        <w:rPr>
          <w:lang w:val="en-US"/>
        </w:rPr>
      </w:pPr>
      <w:r>
        <w:rPr>
          <w:lang w:val="en-US"/>
        </w:rPr>
        <w:t xml:space="preserve">Another approach proposed in </w:t>
      </w:r>
      <w:r w:rsidR="00EE124C">
        <w:rPr>
          <w:lang w:val="en-US"/>
        </w:rPr>
        <w:t>[</w:t>
      </w:r>
      <w:r w:rsidR="000E5C05">
        <w:rPr>
          <w:lang w:val="en-US"/>
        </w:rPr>
        <w:t>4</w:t>
      </w:r>
      <w:r w:rsidR="00EE124C">
        <w:rPr>
          <w:lang w:val="en-US"/>
        </w:rPr>
        <w:t xml:space="preserve">] </w:t>
      </w:r>
      <w:r>
        <w:rPr>
          <w:lang w:val="en-US"/>
        </w:rPr>
        <w:t xml:space="preserve">instead of defining a new FFT window according to the reported transient period is </w:t>
      </w:r>
      <w:r w:rsidR="00EE124C">
        <w:rPr>
          <w:lang w:val="en-US"/>
        </w:rPr>
        <w:t>that the existing EVM_L and EVM_H timings are reused to simplify the test procedure</w:t>
      </w:r>
      <w:r>
        <w:rPr>
          <w:lang w:val="en-US"/>
        </w:rPr>
        <w:t>.  This approach to simplify the test procedure at the cost of less flexibility and precision in the measurement was agreeable to most companies</w:t>
      </w:r>
      <w:r w:rsidR="00EE124C">
        <w:rPr>
          <w:lang w:val="en-US"/>
        </w:rPr>
        <w:t xml:space="preserve"> leading to the proposal in [1].</w:t>
      </w:r>
    </w:p>
    <w:p w14:paraId="0D7B584D" w14:textId="3C9BD995" w:rsidR="00675067" w:rsidRDefault="00675067" w:rsidP="001947F6">
      <w:pPr>
        <w:rPr>
          <w:lang w:val="en-US"/>
        </w:rPr>
      </w:pPr>
      <w:r>
        <w:rPr>
          <w:lang w:val="en-US"/>
        </w:rPr>
        <w:t>While we believe that the introduction of a new timing in [3] corresponding to 1, 2, 4, or 7us is not overly burdensome, a m</w:t>
      </w:r>
      <w:r w:rsidR="00574DBC">
        <w:rPr>
          <w:lang w:val="en-US"/>
        </w:rPr>
        <w:t>odification of the above m</w:t>
      </w:r>
      <w:r>
        <w:rPr>
          <w:lang w:val="en-US"/>
        </w:rPr>
        <w:t>ethod which enables verification of 1, 2, 4, or 7us without introducing new timing is described below.  It is noted that the existing EVM procedure utilizes timing of 25%, 50%, and 75% CP, denoted as EVM_L, EVM_M, EVM_H in the subsequent discussion.</w:t>
      </w:r>
      <w:r w:rsidR="006C488E">
        <w:rPr>
          <w:lang w:val="en-US"/>
        </w:rPr>
        <w:t xml:space="preserve">  The following exclusions are therefore available for symmetrically located transient</w:t>
      </w:r>
    </w:p>
    <w:tbl>
      <w:tblPr>
        <w:tblStyle w:val="TableGrid"/>
        <w:tblW w:w="0" w:type="auto"/>
        <w:tblLook w:val="04A0" w:firstRow="1" w:lastRow="0" w:firstColumn="1" w:lastColumn="0" w:noHBand="0" w:noVBand="1"/>
      </w:tblPr>
      <w:tblGrid>
        <w:gridCol w:w="2308"/>
        <w:gridCol w:w="1994"/>
        <w:gridCol w:w="1773"/>
        <w:gridCol w:w="1773"/>
        <w:gridCol w:w="1773"/>
      </w:tblGrid>
      <w:tr w:rsidR="006C488E" w14:paraId="67D24311" w14:textId="77777777" w:rsidTr="00833230">
        <w:tc>
          <w:tcPr>
            <w:tcW w:w="2308" w:type="dxa"/>
            <w:vMerge w:val="restart"/>
          </w:tcPr>
          <w:p w14:paraId="427CD9EC" w14:textId="7CA443AF" w:rsidR="006C488E" w:rsidRDefault="006C488E" w:rsidP="001947F6">
            <w:pPr>
              <w:rPr>
                <w:lang w:val="en-US"/>
              </w:rPr>
            </w:pPr>
            <w:r>
              <w:rPr>
                <w:lang w:val="en-US"/>
              </w:rPr>
              <w:t>EVM</w:t>
            </w:r>
          </w:p>
        </w:tc>
        <w:tc>
          <w:tcPr>
            <w:tcW w:w="1994" w:type="dxa"/>
            <w:vMerge w:val="restart"/>
          </w:tcPr>
          <w:p w14:paraId="4AC11C4F" w14:textId="258AA843" w:rsidR="006C488E" w:rsidRDefault="006C488E" w:rsidP="001947F6">
            <w:pPr>
              <w:rPr>
                <w:lang w:val="en-US"/>
              </w:rPr>
            </w:pPr>
            <w:r>
              <w:rPr>
                <w:lang w:val="en-US"/>
              </w:rPr>
              <w:t>Exclusion as % of CP</w:t>
            </w:r>
          </w:p>
        </w:tc>
        <w:tc>
          <w:tcPr>
            <w:tcW w:w="5319" w:type="dxa"/>
            <w:gridSpan w:val="3"/>
          </w:tcPr>
          <w:p w14:paraId="13881D21" w14:textId="65FC2B62" w:rsidR="006C488E" w:rsidRDefault="006C488E" w:rsidP="006C488E">
            <w:pPr>
              <w:jc w:val="center"/>
              <w:rPr>
                <w:lang w:val="en-US"/>
              </w:rPr>
            </w:pPr>
            <w:r>
              <w:rPr>
                <w:lang w:val="en-US"/>
              </w:rPr>
              <w:t>Exclusion in us</w:t>
            </w:r>
          </w:p>
        </w:tc>
      </w:tr>
      <w:tr w:rsidR="006C488E" w14:paraId="248FF89E" w14:textId="77777777" w:rsidTr="006C488E">
        <w:tc>
          <w:tcPr>
            <w:tcW w:w="2308" w:type="dxa"/>
            <w:vMerge/>
          </w:tcPr>
          <w:p w14:paraId="4785DB8B" w14:textId="77777777" w:rsidR="006C488E" w:rsidRDefault="006C488E" w:rsidP="001947F6">
            <w:pPr>
              <w:rPr>
                <w:lang w:val="en-US"/>
              </w:rPr>
            </w:pPr>
          </w:p>
        </w:tc>
        <w:tc>
          <w:tcPr>
            <w:tcW w:w="1994" w:type="dxa"/>
            <w:vMerge/>
          </w:tcPr>
          <w:p w14:paraId="75444773" w14:textId="77777777" w:rsidR="006C488E" w:rsidRDefault="006C488E" w:rsidP="001947F6">
            <w:pPr>
              <w:rPr>
                <w:lang w:val="en-US"/>
              </w:rPr>
            </w:pPr>
          </w:p>
        </w:tc>
        <w:tc>
          <w:tcPr>
            <w:tcW w:w="1773" w:type="dxa"/>
          </w:tcPr>
          <w:p w14:paraId="5775EC74" w14:textId="32325DEF" w:rsidR="006C488E" w:rsidRDefault="006C488E" w:rsidP="001947F6">
            <w:pPr>
              <w:rPr>
                <w:lang w:val="en-US"/>
              </w:rPr>
            </w:pPr>
            <w:r>
              <w:rPr>
                <w:lang w:val="en-US"/>
              </w:rPr>
              <w:t>15 kHz SCS</w:t>
            </w:r>
          </w:p>
        </w:tc>
        <w:tc>
          <w:tcPr>
            <w:tcW w:w="1773" w:type="dxa"/>
          </w:tcPr>
          <w:p w14:paraId="61FD0AB6" w14:textId="427F4B10" w:rsidR="006C488E" w:rsidRDefault="006C488E" w:rsidP="001947F6">
            <w:pPr>
              <w:rPr>
                <w:lang w:val="en-US"/>
              </w:rPr>
            </w:pPr>
            <w:r>
              <w:rPr>
                <w:lang w:val="en-US"/>
              </w:rPr>
              <w:t>30 kHz SCS</w:t>
            </w:r>
          </w:p>
        </w:tc>
        <w:tc>
          <w:tcPr>
            <w:tcW w:w="1773" w:type="dxa"/>
          </w:tcPr>
          <w:p w14:paraId="4390C986" w14:textId="14ADD8E5" w:rsidR="006C488E" w:rsidRDefault="006C488E" w:rsidP="001947F6">
            <w:pPr>
              <w:rPr>
                <w:lang w:val="en-US"/>
              </w:rPr>
            </w:pPr>
            <w:r>
              <w:rPr>
                <w:lang w:val="en-US"/>
              </w:rPr>
              <w:t>60 kHz SCS</w:t>
            </w:r>
          </w:p>
        </w:tc>
      </w:tr>
      <w:tr w:rsidR="006C488E" w14:paraId="4009A9D3" w14:textId="1379CA6F" w:rsidTr="006C488E">
        <w:tc>
          <w:tcPr>
            <w:tcW w:w="2308" w:type="dxa"/>
          </w:tcPr>
          <w:p w14:paraId="20C4E80B" w14:textId="4B17DEC5" w:rsidR="006C488E" w:rsidRDefault="006C488E" w:rsidP="001947F6">
            <w:pPr>
              <w:rPr>
                <w:lang w:val="en-US"/>
              </w:rPr>
            </w:pPr>
            <w:r>
              <w:rPr>
                <w:lang w:val="en-US"/>
              </w:rPr>
              <w:t>Min(EVM_L, EVM_H)</w:t>
            </w:r>
          </w:p>
        </w:tc>
        <w:tc>
          <w:tcPr>
            <w:tcW w:w="1994" w:type="dxa"/>
          </w:tcPr>
          <w:p w14:paraId="3D06B1F5" w14:textId="2FF5D7EC" w:rsidR="006C488E" w:rsidRDefault="006C488E" w:rsidP="001947F6">
            <w:pPr>
              <w:rPr>
                <w:lang w:val="en-US"/>
              </w:rPr>
            </w:pPr>
            <w:r>
              <w:rPr>
                <w:lang w:val="en-US"/>
              </w:rPr>
              <w:t>150% CP</w:t>
            </w:r>
          </w:p>
        </w:tc>
        <w:tc>
          <w:tcPr>
            <w:tcW w:w="1773" w:type="dxa"/>
          </w:tcPr>
          <w:p w14:paraId="44E5D42D" w14:textId="416A2146" w:rsidR="006C488E" w:rsidRDefault="006C488E" w:rsidP="001947F6">
            <w:pPr>
              <w:rPr>
                <w:lang w:val="en-US"/>
              </w:rPr>
            </w:pPr>
            <w:r>
              <w:rPr>
                <w:lang w:val="en-US"/>
              </w:rPr>
              <w:t>7.0</w:t>
            </w:r>
          </w:p>
        </w:tc>
        <w:tc>
          <w:tcPr>
            <w:tcW w:w="1773" w:type="dxa"/>
          </w:tcPr>
          <w:p w14:paraId="7C63F287" w14:textId="35BF7159" w:rsidR="006C488E" w:rsidRDefault="006C488E" w:rsidP="001947F6">
            <w:pPr>
              <w:rPr>
                <w:lang w:val="en-US"/>
              </w:rPr>
            </w:pPr>
            <w:r>
              <w:rPr>
                <w:lang w:val="en-US"/>
              </w:rPr>
              <w:t>3.5</w:t>
            </w:r>
          </w:p>
        </w:tc>
        <w:tc>
          <w:tcPr>
            <w:tcW w:w="1773" w:type="dxa"/>
          </w:tcPr>
          <w:p w14:paraId="4257B70D" w14:textId="584EE1DC" w:rsidR="006C488E" w:rsidRDefault="006C488E" w:rsidP="001947F6">
            <w:pPr>
              <w:rPr>
                <w:lang w:val="en-US"/>
              </w:rPr>
            </w:pPr>
            <w:r>
              <w:rPr>
                <w:lang w:val="en-US"/>
              </w:rPr>
              <w:t>1.8</w:t>
            </w:r>
          </w:p>
        </w:tc>
      </w:tr>
      <w:tr w:rsidR="006C488E" w14:paraId="1A5D3F0C" w14:textId="3A164670" w:rsidTr="006C488E">
        <w:tc>
          <w:tcPr>
            <w:tcW w:w="2308" w:type="dxa"/>
          </w:tcPr>
          <w:p w14:paraId="4DC4D792" w14:textId="4F76833A" w:rsidR="006C488E" w:rsidRDefault="006C488E" w:rsidP="001947F6">
            <w:pPr>
              <w:rPr>
                <w:lang w:val="en-US"/>
              </w:rPr>
            </w:pPr>
            <w:r>
              <w:rPr>
                <w:lang w:val="en-US"/>
              </w:rPr>
              <w:t>Max(EVM_L, EVM_H)</w:t>
            </w:r>
          </w:p>
        </w:tc>
        <w:tc>
          <w:tcPr>
            <w:tcW w:w="1994" w:type="dxa"/>
          </w:tcPr>
          <w:p w14:paraId="138EE6AA" w14:textId="4007C6DC" w:rsidR="006C488E" w:rsidRDefault="006C488E" w:rsidP="001947F6">
            <w:pPr>
              <w:rPr>
                <w:lang w:val="en-US"/>
              </w:rPr>
            </w:pPr>
            <w:r>
              <w:rPr>
                <w:lang w:val="en-US"/>
              </w:rPr>
              <w:t>50% CP</w:t>
            </w:r>
          </w:p>
        </w:tc>
        <w:tc>
          <w:tcPr>
            <w:tcW w:w="1773" w:type="dxa"/>
          </w:tcPr>
          <w:p w14:paraId="6C33CD70" w14:textId="134D21ED" w:rsidR="006C488E" w:rsidRDefault="006C488E" w:rsidP="001947F6">
            <w:pPr>
              <w:rPr>
                <w:lang w:val="en-US"/>
              </w:rPr>
            </w:pPr>
            <w:r>
              <w:rPr>
                <w:lang w:val="en-US"/>
              </w:rPr>
              <w:t>2.3</w:t>
            </w:r>
          </w:p>
        </w:tc>
        <w:tc>
          <w:tcPr>
            <w:tcW w:w="1773" w:type="dxa"/>
          </w:tcPr>
          <w:p w14:paraId="64C62DCF" w14:textId="15C43031" w:rsidR="006C488E" w:rsidRDefault="006C488E" w:rsidP="001947F6">
            <w:pPr>
              <w:rPr>
                <w:lang w:val="en-US"/>
              </w:rPr>
            </w:pPr>
            <w:r>
              <w:rPr>
                <w:lang w:val="en-US"/>
              </w:rPr>
              <w:t>1.2</w:t>
            </w:r>
          </w:p>
        </w:tc>
        <w:tc>
          <w:tcPr>
            <w:tcW w:w="1773" w:type="dxa"/>
          </w:tcPr>
          <w:p w14:paraId="039912EE" w14:textId="522A0609" w:rsidR="006C488E" w:rsidRDefault="006C488E" w:rsidP="001947F6">
            <w:pPr>
              <w:rPr>
                <w:lang w:val="en-US"/>
              </w:rPr>
            </w:pPr>
            <w:r>
              <w:rPr>
                <w:lang w:val="en-US"/>
              </w:rPr>
              <w:t>0.6</w:t>
            </w:r>
          </w:p>
        </w:tc>
      </w:tr>
      <w:tr w:rsidR="006C488E" w14:paraId="41E62E05" w14:textId="2277D894" w:rsidTr="006C488E">
        <w:tc>
          <w:tcPr>
            <w:tcW w:w="2308" w:type="dxa"/>
          </w:tcPr>
          <w:p w14:paraId="06485E7E" w14:textId="2FB0E1D5" w:rsidR="006C488E" w:rsidRDefault="006C488E" w:rsidP="001947F6">
            <w:pPr>
              <w:rPr>
                <w:lang w:val="en-US"/>
              </w:rPr>
            </w:pPr>
            <w:r>
              <w:rPr>
                <w:lang w:val="en-US"/>
              </w:rPr>
              <w:t>EVM_M</w:t>
            </w:r>
          </w:p>
        </w:tc>
        <w:tc>
          <w:tcPr>
            <w:tcW w:w="1994" w:type="dxa"/>
          </w:tcPr>
          <w:p w14:paraId="215DC4EB" w14:textId="7799C1C1" w:rsidR="006C488E" w:rsidRDefault="006C488E" w:rsidP="001947F6">
            <w:pPr>
              <w:rPr>
                <w:lang w:val="en-US"/>
              </w:rPr>
            </w:pPr>
            <w:r>
              <w:rPr>
                <w:lang w:val="en-US"/>
              </w:rPr>
              <w:t>100% CP</w:t>
            </w:r>
          </w:p>
        </w:tc>
        <w:tc>
          <w:tcPr>
            <w:tcW w:w="1773" w:type="dxa"/>
          </w:tcPr>
          <w:p w14:paraId="2558273E" w14:textId="16A71BDB" w:rsidR="006C488E" w:rsidRDefault="006C488E" w:rsidP="001947F6">
            <w:pPr>
              <w:rPr>
                <w:lang w:val="en-US"/>
              </w:rPr>
            </w:pPr>
            <w:r>
              <w:rPr>
                <w:lang w:val="en-US"/>
              </w:rPr>
              <w:t>4.7</w:t>
            </w:r>
          </w:p>
        </w:tc>
        <w:tc>
          <w:tcPr>
            <w:tcW w:w="1773" w:type="dxa"/>
          </w:tcPr>
          <w:p w14:paraId="037C94AC" w14:textId="6D47B3D4" w:rsidR="006C488E" w:rsidRDefault="006C488E" w:rsidP="001947F6">
            <w:pPr>
              <w:rPr>
                <w:lang w:val="en-US"/>
              </w:rPr>
            </w:pPr>
            <w:r>
              <w:rPr>
                <w:lang w:val="en-US"/>
              </w:rPr>
              <w:t>2.3</w:t>
            </w:r>
          </w:p>
        </w:tc>
        <w:tc>
          <w:tcPr>
            <w:tcW w:w="1773" w:type="dxa"/>
          </w:tcPr>
          <w:p w14:paraId="6ABC6E5E" w14:textId="02C4A23D" w:rsidR="006C488E" w:rsidRDefault="006C488E" w:rsidP="001947F6">
            <w:pPr>
              <w:rPr>
                <w:lang w:val="en-US"/>
              </w:rPr>
            </w:pPr>
            <w:r>
              <w:rPr>
                <w:lang w:val="en-US"/>
              </w:rPr>
              <w:t>1.2</w:t>
            </w:r>
          </w:p>
        </w:tc>
      </w:tr>
    </w:tbl>
    <w:p w14:paraId="68525F86" w14:textId="77777777" w:rsidR="006C488E" w:rsidRDefault="006C488E" w:rsidP="001947F6">
      <w:pPr>
        <w:rPr>
          <w:lang w:val="en-US"/>
        </w:rPr>
      </w:pPr>
    </w:p>
    <w:p w14:paraId="4956E616" w14:textId="0F9CC5FA" w:rsidR="00EE124C" w:rsidRDefault="00AF35B9" w:rsidP="001947F6">
      <w:pPr>
        <w:rPr>
          <w:lang w:val="en-US"/>
        </w:rPr>
      </w:pPr>
      <w:r>
        <w:rPr>
          <w:lang w:val="en-US"/>
        </w:rPr>
        <w:t xml:space="preserve">From these values, it can be seen that available exclusions are 0.6, 1.2, 1.8, 2.3, 3.5, 4.7, and 7.0 us.  </w:t>
      </w:r>
      <w:r w:rsidR="00FA45D5">
        <w:rPr>
          <w:lang w:val="en-US"/>
        </w:rPr>
        <w:t xml:space="preserve">Since support of 60 kHz SCS is optional, then 0.6 us exclusion may not be available to all UE’s.  Nonetheless, with this set of values it is possible to verify reported capabilities of 1, 2, 4, and 7us by using exclusion periods of 1.2, 2.3, 4.7, and 7.0 us.  </w:t>
      </w:r>
    </w:p>
    <w:p w14:paraId="17ECDF7D" w14:textId="307EF200" w:rsidR="00FA01C7" w:rsidRDefault="00FA01C7" w:rsidP="00FA01C7">
      <w:pPr>
        <w:pStyle w:val="Heading1"/>
        <w:tabs>
          <w:tab w:val="clear" w:pos="432"/>
          <w:tab w:val="num" w:pos="522"/>
        </w:tabs>
        <w:ind w:left="522" w:hanging="522"/>
        <w:rPr>
          <w:lang w:val="en-US"/>
        </w:rPr>
      </w:pPr>
      <w:r>
        <w:rPr>
          <w:lang w:val="en-US"/>
        </w:rPr>
        <w:t>Conclusion</w:t>
      </w:r>
    </w:p>
    <w:p w14:paraId="18E54C9A" w14:textId="3C13F029" w:rsidR="004A2CAA" w:rsidRPr="000E5C05" w:rsidRDefault="00862B5F" w:rsidP="000E5C05">
      <w:pPr>
        <w:rPr>
          <w:lang w:val="en-US"/>
        </w:rPr>
      </w:pPr>
      <w:r>
        <w:rPr>
          <w:lang w:val="en-US"/>
        </w:rPr>
        <w:t>The current proposal for testability of transient period capability does not enable the ability to distinguish between the reported values of 1, 2, 4, and 7 us.  In this contribution, two approaches are presented to address this shortcoming.  The first approach is to set the FFT timing according to the reported transient duration.  As long as it is within a CP, the duration of the transient can be captured by exclusion.  The second approach reuses the existing FFT timings already used by the EVM test procedure.  By combination of these available timings, the values of 1, 2, 4, and 7 us can be verified</w:t>
      </w:r>
      <w:r w:rsidR="00574DBC">
        <w:rPr>
          <w:lang w:val="en-US"/>
        </w:rPr>
        <w:t xml:space="preserve"> albeit in some cases with reduced precision</w:t>
      </w:r>
      <w:r>
        <w:rPr>
          <w:lang w:val="en-US"/>
        </w:rPr>
        <w:t>.</w:t>
      </w:r>
      <w:r w:rsidR="004A2CAA">
        <w:rPr>
          <w:lang w:val="en-US"/>
        </w:rPr>
        <w:t xml:space="preserve">  Note that the timings and approaches described in this contribution are only relevant to the symbols for which a transient occurs.  For other symbols, the existing EVM procedure continues to apply.</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A4BD26F" w14:textId="52FD1ACF" w:rsidR="00EA267C" w:rsidRDefault="001F4B45" w:rsidP="001219FC">
      <w:pPr>
        <w:numPr>
          <w:ilvl w:val="0"/>
          <w:numId w:val="2"/>
        </w:numPr>
        <w:tabs>
          <w:tab w:val="left" w:pos="1080"/>
        </w:tabs>
        <w:rPr>
          <w:lang w:val="en-US" w:eastAsia="x-none"/>
        </w:rPr>
      </w:pPr>
      <w:bookmarkStart w:id="1" w:name="_Hlk859252"/>
      <w:r>
        <w:rPr>
          <w:lang w:val="en-US" w:eastAsia="x-none"/>
        </w:rPr>
        <w:t>R</w:t>
      </w:r>
      <w:r w:rsidR="00EA267C">
        <w:rPr>
          <w:lang w:val="en-US" w:eastAsia="x-none"/>
        </w:rPr>
        <w:t>P-200261, “</w:t>
      </w:r>
      <w:r w:rsidR="00EA267C" w:rsidRPr="00EA267C">
        <w:rPr>
          <w:lang w:val="en-US" w:eastAsia="x-none"/>
        </w:rPr>
        <w:t>Transient Period Capability in NR</w:t>
      </w:r>
      <w:r w:rsidR="00EA267C">
        <w:rPr>
          <w:lang w:val="en-US" w:eastAsia="x-none"/>
        </w:rPr>
        <w:t xml:space="preserve">,” </w:t>
      </w:r>
      <w:r w:rsidR="00EA267C" w:rsidRPr="00EA267C">
        <w:rPr>
          <w:lang w:val="en-US" w:eastAsia="x-none"/>
        </w:rPr>
        <w:t>Qualcomm Incorporated, Skyworks Solutions Inc., Verizon, Dish Network, Ericsson, CMCC, Keysight Technologies, Nokia, Nokia Shanghai Bell, Sprint, AT&amp;T, ZTE, Vodafone, Orange, T-mobile, Deutsche Telekom, Telecom Italia, CHTTL, China Telecom, SGS Wireless, Interdigital, Anritsu</w:t>
      </w:r>
    </w:p>
    <w:p w14:paraId="3444394C" w14:textId="38DF7C28" w:rsidR="00CB6D97" w:rsidRDefault="00EE124C" w:rsidP="001219FC">
      <w:pPr>
        <w:numPr>
          <w:ilvl w:val="0"/>
          <w:numId w:val="2"/>
        </w:numPr>
        <w:tabs>
          <w:tab w:val="left" w:pos="1080"/>
        </w:tabs>
        <w:rPr>
          <w:lang w:val="en-US" w:eastAsia="x-none"/>
        </w:rPr>
      </w:pPr>
      <w:r>
        <w:rPr>
          <w:lang w:val="en-US" w:eastAsia="x-none"/>
        </w:rPr>
        <w:t>RP-200281, “Testability of transient period capability,” Huawei, HiSilicon</w:t>
      </w:r>
    </w:p>
    <w:p w14:paraId="70AAC9FE" w14:textId="686D7A62" w:rsidR="00EE124C" w:rsidRDefault="00EE124C" w:rsidP="001219FC">
      <w:pPr>
        <w:numPr>
          <w:ilvl w:val="0"/>
          <w:numId w:val="2"/>
        </w:numPr>
        <w:tabs>
          <w:tab w:val="left" w:pos="1080"/>
        </w:tabs>
        <w:rPr>
          <w:lang w:val="en-US" w:eastAsia="x-none"/>
        </w:rPr>
      </w:pPr>
      <w:r>
        <w:rPr>
          <w:lang w:val="en-US" w:eastAsia="x-none"/>
        </w:rPr>
        <w:t>R4-1912461, “</w:t>
      </w:r>
      <w:r w:rsidRPr="00EE124C">
        <w:rPr>
          <w:lang w:val="en-US" w:eastAsia="x-none"/>
        </w:rPr>
        <w:t>Test procedure for measuring the effect of transient period duration on EVM outside of transient for FR1</w:t>
      </w:r>
      <w:r>
        <w:rPr>
          <w:lang w:val="en-US" w:eastAsia="x-none"/>
        </w:rPr>
        <w:t>,” Qualcomm Incorporated, Keysight Technologies</w:t>
      </w:r>
    </w:p>
    <w:p w14:paraId="4AFCF30B" w14:textId="236CA8BA" w:rsidR="000E5C05" w:rsidRDefault="000E5C05" w:rsidP="001219FC">
      <w:pPr>
        <w:numPr>
          <w:ilvl w:val="0"/>
          <w:numId w:val="2"/>
        </w:numPr>
        <w:tabs>
          <w:tab w:val="left" w:pos="1080"/>
        </w:tabs>
        <w:rPr>
          <w:lang w:val="en-US" w:eastAsia="x-none"/>
        </w:rPr>
      </w:pPr>
      <w:r>
        <w:rPr>
          <w:lang w:val="en-US" w:eastAsia="x-none"/>
        </w:rPr>
        <w:t>R4-1915298, “</w:t>
      </w:r>
      <w:r w:rsidRPr="000E5C05">
        <w:rPr>
          <w:lang w:val="en-US" w:eastAsia="x-none"/>
        </w:rPr>
        <w:t>Proposal for CP-OFDM Transient Period Capability Requirements and Testability</w:t>
      </w:r>
      <w:r>
        <w:rPr>
          <w:lang w:val="en-US" w:eastAsia="x-none"/>
        </w:rPr>
        <w:t>,” Skyworks Solutions, Inc.</w:t>
      </w:r>
      <w:bookmarkEnd w:id="1"/>
    </w:p>
    <w:sectPr w:rsidR="000E5C05"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FDF9A" w14:textId="77777777" w:rsidR="00471CF9" w:rsidRDefault="00471CF9">
      <w:r>
        <w:separator/>
      </w:r>
    </w:p>
  </w:endnote>
  <w:endnote w:type="continuationSeparator" w:id="0">
    <w:p w14:paraId="6FB27ED7" w14:textId="77777777" w:rsidR="00471CF9" w:rsidRDefault="0047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1CE9C" w14:textId="77777777" w:rsidR="00471CF9" w:rsidRDefault="00471CF9">
      <w:r>
        <w:separator/>
      </w:r>
    </w:p>
  </w:footnote>
  <w:footnote w:type="continuationSeparator" w:id="0">
    <w:p w14:paraId="24BDF045" w14:textId="77777777" w:rsidR="00471CF9" w:rsidRDefault="00471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15"/>
  </w:num>
  <w:num w:numId="5">
    <w:abstractNumId w:val="11"/>
  </w:num>
  <w:num w:numId="6">
    <w:abstractNumId w:val="4"/>
  </w:num>
  <w:num w:numId="7">
    <w:abstractNumId w:val="1"/>
  </w:num>
  <w:num w:numId="8">
    <w:abstractNumId w:val="13"/>
  </w:num>
  <w:num w:numId="9">
    <w:abstractNumId w:val="5"/>
  </w:num>
  <w:num w:numId="10">
    <w:abstractNumId w:val="10"/>
  </w:num>
  <w:num w:numId="11">
    <w:abstractNumId w:val="17"/>
  </w:num>
  <w:num w:numId="12">
    <w:abstractNumId w:val="3"/>
  </w:num>
  <w:num w:numId="13">
    <w:abstractNumId w:val="9"/>
  </w:num>
  <w:num w:numId="14">
    <w:abstractNumId w:val="2"/>
  </w:num>
  <w:num w:numId="15">
    <w:abstractNumId w:val="8"/>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05"/>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7F6"/>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1CF9"/>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829"/>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2CAA"/>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5A6"/>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DBC"/>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067"/>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88E"/>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4C03"/>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2B5F"/>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1F99"/>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5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5B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4F58"/>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5256"/>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2B1"/>
    <w:rsid w:val="00E31E1A"/>
    <w:rsid w:val="00E31F40"/>
    <w:rsid w:val="00E32A79"/>
    <w:rsid w:val="00E32E94"/>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E24"/>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7C"/>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24C"/>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5D5"/>
    <w:rsid w:val="00FA496F"/>
    <w:rsid w:val="00FA49F2"/>
    <w:rsid w:val="00FA525D"/>
    <w:rsid w:val="00FA5EDD"/>
    <w:rsid w:val="00FA60B6"/>
    <w:rsid w:val="00FA6138"/>
    <w:rsid w:val="00FA62E0"/>
    <w:rsid w:val="00FA636E"/>
    <w:rsid w:val="00FA6A53"/>
    <w:rsid w:val="00FA6B0A"/>
    <w:rsid w:val="00FA70D2"/>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7D0E7-3802-403C-AA1B-B47E0678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2020-04-10T18:48:00Z</dcterms:created>
  <dcterms:modified xsi:type="dcterms:W3CDTF">2020-04-10T18:48:00Z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