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357F4A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77E81">
        <w:rPr>
          <w:rFonts w:ascii="Arial" w:eastAsia="SimSun" w:hAnsi="Arial" w:cs="Times New Roman"/>
          <w:b/>
          <w:sz w:val="24"/>
          <w:szCs w:val="20"/>
          <w:lang w:val="en-GB"/>
        </w:rPr>
        <w:t>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0A460D" w:rsidRPr="004C41B9">
        <w:rPr>
          <w:rFonts w:ascii="Arial" w:eastAsia="SimSun" w:hAnsi="Arial" w:cs="Times New Roman"/>
          <w:b/>
          <w:bCs/>
          <w:sz w:val="24"/>
          <w:szCs w:val="20"/>
          <w:lang w:val="en-GB" w:eastAsia="zh-CN"/>
        </w:rPr>
        <w:t>2004445</w:t>
      </w:r>
      <w:bookmarkStart w:id="3" w:name="_GoBack"/>
      <w:bookmarkEnd w:id="3"/>
    </w:p>
    <w:p w14:paraId="3DEDC117" w14:textId="4ECA05D4"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Pr>
          <w:rFonts w:ascii="Arial" w:eastAsia="SimSun" w:hAnsi="Arial" w:cs="Times New Roman"/>
          <w:b/>
          <w:sz w:val="24"/>
          <w:szCs w:val="20"/>
          <w:lang w:val="en-GB"/>
        </w:rPr>
        <w:t>0</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C70A68">
        <w:rPr>
          <w:rFonts w:ascii="Arial" w:eastAsia="SimSun" w:hAnsi="Arial" w:cs="Times New Roman"/>
          <w:b/>
          <w:sz w:val="24"/>
          <w:szCs w:val="20"/>
          <w:lang w:val="en-GB"/>
        </w:rPr>
        <w:t>April 30</w:t>
      </w:r>
      <w:r w:rsidR="00C70A68" w:rsidRPr="00C70A68">
        <w:rPr>
          <w:rFonts w:ascii="Arial" w:eastAsia="SimSun" w:hAnsi="Arial" w:cs="Times New Roman"/>
          <w:b/>
          <w:sz w:val="24"/>
          <w:szCs w:val="20"/>
          <w:vertAlign w:val="superscript"/>
          <w:lang w:val="en-GB"/>
        </w:rPr>
        <w:t>th</w:t>
      </w:r>
      <w:r w:rsidR="00C70A68">
        <w:rPr>
          <w:rFonts w:ascii="Arial" w:eastAsia="SimSun" w:hAnsi="Arial" w:cs="Times New Roman"/>
          <w:b/>
          <w:sz w:val="24"/>
          <w:szCs w:val="20"/>
          <w:lang w:val="en-GB"/>
        </w:rPr>
        <w:t>,</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EDB8C91"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E2B1A">
        <w:rPr>
          <w:rFonts w:ascii="Arial" w:eastAsia="Calibri" w:hAnsi="Arial" w:cs="Arial"/>
          <w:b/>
          <w:bCs/>
          <w:sz w:val="24"/>
          <w:lang w:val="en-GB"/>
        </w:rPr>
        <w:t>SCell Dormancy requirements discussion</w:t>
      </w:r>
      <w:r w:rsidRPr="00841BCD" w:rsidDel="000A742C">
        <w:rPr>
          <w:rFonts w:ascii="Arial" w:eastAsia="Calibri" w:hAnsi="Arial" w:cs="Arial"/>
          <w:b/>
          <w:bCs/>
          <w:sz w:val="24"/>
          <w:lang w:val="en-GB"/>
        </w:rPr>
        <w:t xml:space="preserve"> </w:t>
      </w:r>
    </w:p>
    <w:p w14:paraId="53921647" w14:textId="140AF045"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70A68">
        <w:rPr>
          <w:rFonts w:ascii="Arial" w:eastAsia="MS Mincho" w:hAnsi="Arial" w:cs="Arial"/>
          <w:b/>
          <w:bCs/>
          <w:sz w:val="24"/>
          <w:szCs w:val="20"/>
          <w:lang w:val="en-GB"/>
        </w:rPr>
        <w:t>6.6.3.3.2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C70A68">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4937BB" w14:textId="60ACB6D9" w:rsidR="005433E0" w:rsidRPr="000132EC" w:rsidRDefault="00D359A5" w:rsidP="00841BCD">
      <w:pPr>
        <w:ind w:right="-22"/>
        <w:rPr>
          <w:rFonts w:eastAsia="Calibri" w:cs="Times New Roman"/>
          <w:szCs w:val="20"/>
          <w:lang w:val="en-GB"/>
        </w:rPr>
      </w:pPr>
      <w:r>
        <w:rPr>
          <w:rFonts w:eastAsia="Calibri" w:cs="Times New Roman"/>
          <w:szCs w:val="20"/>
          <w:lang w:val="en-GB"/>
        </w:rPr>
        <w:t xml:space="preserve">RAN1 and RAN2 has been working SCell dormancy for some time and had reached </w:t>
      </w:r>
      <w:proofErr w:type="gramStart"/>
      <w:r>
        <w:rPr>
          <w:rFonts w:eastAsia="Calibri" w:cs="Times New Roman"/>
          <w:szCs w:val="20"/>
          <w:lang w:val="en-GB"/>
        </w:rPr>
        <w:t>a number of</w:t>
      </w:r>
      <w:proofErr w:type="gramEnd"/>
      <w:r>
        <w:rPr>
          <w:rFonts w:eastAsia="Calibri" w:cs="Times New Roman"/>
          <w:szCs w:val="20"/>
          <w:lang w:val="en-GB"/>
        </w:rPr>
        <w:t xml:space="preserve"> agreements enabling some initial discussions in RAN4. In last meeting RAN4 had the initial discussions related to dormancy SCell resulting in the agreed WF [</w:t>
      </w:r>
      <w:r w:rsidR="00C70A68">
        <w:rPr>
          <w:rFonts w:eastAsia="Calibri" w:cs="Times New Roman"/>
          <w:szCs w:val="20"/>
          <w:lang w:val="en-GB"/>
        </w:rPr>
        <w:t>1</w:t>
      </w:r>
      <w:r>
        <w:rPr>
          <w:rFonts w:eastAsia="Calibri" w:cs="Times New Roman"/>
          <w:szCs w:val="20"/>
          <w:lang w:val="en-GB"/>
        </w:rPr>
        <w:t>]. In this paper we take the discussion further based on the agreements and propose how the UE requirements should be.</w:t>
      </w:r>
    </w:p>
    <w:p w14:paraId="2FF6A72B" w14:textId="77777777" w:rsidR="003B659E" w:rsidRPr="00841BCD" w:rsidRDefault="003B659E" w:rsidP="00AE56B1">
      <w:pPr>
        <w:pStyle w:val="RAN4H1"/>
      </w:pPr>
      <w:r w:rsidRPr="00AE56B1">
        <w:t>Discussion</w:t>
      </w:r>
    </w:p>
    <w:p w14:paraId="1B5CA386" w14:textId="5CEF947F" w:rsidR="00D359A5" w:rsidRDefault="00D359A5" w:rsidP="00EA17AC">
      <w:pPr>
        <w:ind w:right="-22"/>
        <w:rPr>
          <w:rFonts w:eastAsia="Calibri" w:cs="Times New Roman"/>
          <w:szCs w:val="20"/>
          <w:lang w:val="en-GB"/>
        </w:rPr>
      </w:pPr>
      <w:r>
        <w:rPr>
          <w:rFonts w:eastAsia="Calibri" w:cs="Times New Roman"/>
          <w:szCs w:val="20"/>
          <w:lang w:val="en-GB"/>
        </w:rPr>
        <w:t>The agreements in last me</w:t>
      </w:r>
      <w:r w:rsidR="00C70A68">
        <w:rPr>
          <w:rFonts w:eastAsia="Calibri" w:cs="Times New Roman"/>
          <w:szCs w:val="20"/>
          <w:lang w:val="en-GB"/>
        </w:rPr>
        <w:t>e</w:t>
      </w:r>
      <w:r>
        <w:rPr>
          <w:rFonts w:eastAsia="Calibri" w:cs="Times New Roman"/>
          <w:szCs w:val="20"/>
          <w:lang w:val="en-GB"/>
        </w:rPr>
        <w:t>ting related to dormancy SCell were:</w:t>
      </w:r>
    </w:p>
    <w:p w14:paraId="0D883000" w14:textId="77777777" w:rsidR="00D359A5" w:rsidRPr="00D359A5" w:rsidRDefault="00D359A5" w:rsidP="00D359A5">
      <w:pPr>
        <w:spacing w:line="240" w:lineRule="auto"/>
        <w:ind w:right="-22"/>
        <w:rPr>
          <w:rFonts w:eastAsia="Calibri" w:cs="Times New Roman"/>
          <w:szCs w:val="20"/>
          <w:lang w:val="en-GB"/>
        </w:rPr>
      </w:pPr>
      <w:r w:rsidRPr="00D359A5">
        <w:rPr>
          <w:rFonts w:eastAsia="Calibri" w:cs="Times New Roman"/>
          <w:szCs w:val="20"/>
          <w:lang w:val="en-GB"/>
        </w:rPr>
        <w:t>RAN4 to define UE requirements for:</w:t>
      </w:r>
    </w:p>
    <w:p w14:paraId="3CA637DB" w14:textId="77777777" w:rsidR="00D359A5" w:rsidRPr="00D359A5" w:rsidRDefault="00D359A5" w:rsidP="00D359A5">
      <w:pPr>
        <w:numPr>
          <w:ilvl w:val="1"/>
          <w:numId w:val="22"/>
        </w:numPr>
        <w:spacing w:line="240" w:lineRule="auto"/>
        <w:ind w:right="-22"/>
        <w:rPr>
          <w:rFonts w:eastAsia="Calibri" w:cs="Times New Roman"/>
          <w:szCs w:val="20"/>
          <w:lang w:val="en-GB"/>
        </w:rPr>
      </w:pPr>
      <w:r w:rsidRPr="00D359A5">
        <w:rPr>
          <w:rFonts w:eastAsia="Calibri" w:cs="Times New Roman"/>
          <w:szCs w:val="20"/>
          <w:lang w:val="en-GB"/>
        </w:rPr>
        <w:t>BWP switch delay from dormancy to non-dormancy</w:t>
      </w:r>
    </w:p>
    <w:p w14:paraId="4FB9ADD1" w14:textId="77777777" w:rsidR="00D359A5" w:rsidRPr="00D359A5" w:rsidRDefault="00D359A5" w:rsidP="00D359A5">
      <w:pPr>
        <w:numPr>
          <w:ilvl w:val="1"/>
          <w:numId w:val="22"/>
        </w:numPr>
        <w:spacing w:line="240" w:lineRule="auto"/>
        <w:ind w:right="-22"/>
        <w:rPr>
          <w:rFonts w:eastAsia="Calibri" w:cs="Times New Roman"/>
          <w:szCs w:val="20"/>
          <w:lang w:val="en-GB"/>
        </w:rPr>
      </w:pPr>
      <w:r w:rsidRPr="00D359A5">
        <w:rPr>
          <w:rFonts w:eastAsia="Calibri" w:cs="Times New Roman"/>
          <w:szCs w:val="20"/>
          <w:lang w:val="en-GB"/>
        </w:rPr>
        <w:t>BWP switch delay from non-dormancy to dormancy</w:t>
      </w:r>
    </w:p>
    <w:p w14:paraId="214DFBED" w14:textId="77777777" w:rsidR="00D359A5" w:rsidRPr="00D359A5" w:rsidRDefault="00D359A5" w:rsidP="00D359A5">
      <w:pPr>
        <w:spacing w:line="240" w:lineRule="auto"/>
        <w:ind w:right="-22"/>
        <w:rPr>
          <w:rFonts w:eastAsia="Calibri" w:cs="Times New Roman"/>
          <w:szCs w:val="20"/>
          <w:lang w:val="en-GB"/>
        </w:rPr>
      </w:pPr>
      <w:r w:rsidRPr="00D359A5">
        <w:rPr>
          <w:rFonts w:eastAsia="Calibri" w:cs="Times New Roman"/>
          <w:szCs w:val="20"/>
          <w:lang w:val="en-GB"/>
        </w:rPr>
        <w:t>RAN4 to define UE dormancy switch delay requirements for:</w:t>
      </w:r>
    </w:p>
    <w:p w14:paraId="47C67423" w14:textId="77777777" w:rsidR="00D359A5" w:rsidRPr="00D359A5" w:rsidRDefault="00D359A5" w:rsidP="00D359A5">
      <w:pPr>
        <w:numPr>
          <w:ilvl w:val="1"/>
          <w:numId w:val="23"/>
        </w:numPr>
        <w:spacing w:line="240" w:lineRule="auto"/>
        <w:ind w:right="-22"/>
        <w:rPr>
          <w:rFonts w:eastAsia="Calibri" w:cs="Times New Roman"/>
          <w:szCs w:val="20"/>
          <w:lang w:val="en-GB"/>
        </w:rPr>
      </w:pPr>
      <w:r w:rsidRPr="00D359A5">
        <w:rPr>
          <w:rFonts w:eastAsia="Calibri" w:cs="Times New Roman"/>
          <w:szCs w:val="20"/>
          <w:lang w:val="en-GB"/>
        </w:rPr>
        <w:t>DCI based switch</w:t>
      </w:r>
    </w:p>
    <w:p w14:paraId="23622FAB" w14:textId="77777777" w:rsidR="00D359A5" w:rsidRPr="00D359A5" w:rsidRDefault="00D359A5" w:rsidP="00D359A5">
      <w:pPr>
        <w:numPr>
          <w:ilvl w:val="1"/>
          <w:numId w:val="23"/>
        </w:numPr>
        <w:spacing w:line="240" w:lineRule="auto"/>
        <w:ind w:right="-22"/>
        <w:rPr>
          <w:rFonts w:eastAsia="Calibri" w:cs="Times New Roman"/>
          <w:szCs w:val="20"/>
          <w:lang w:val="en-GB"/>
        </w:rPr>
      </w:pPr>
      <w:r w:rsidRPr="00D359A5">
        <w:rPr>
          <w:rFonts w:eastAsia="Calibri" w:cs="Times New Roman"/>
          <w:szCs w:val="20"/>
          <w:lang w:val="en-GB"/>
        </w:rPr>
        <w:t>Timer based switch</w:t>
      </w:r>
    </w:p>
    <w:p w14:paraId="08CB7B81" w14:textId="77777777" w:rsidR="00D359A5" w:rsidRPr="00D359A5" w:rsidRDefault="00D359A5" w:rsidP="00D359A5">
      <w:pPr>
        <w:spacing w:line="240" w:lineRule="auto"/>
        <w:ind w:right="-22"/>
        <w:rPr>
          <w:rFonts w:eastAsia="Calibri" w:cs="Times New Roman"/>
          <w:szCs w:val="20"/>
          <w:lang w:val="en-GB"/>
        </w:rPr>
      </w:pPr>
      <w:r w:rsidRPr="00D359A5">
        <w:rPr>
          <w:rFonts w:eastAsia="Calibri" w:cs="Times New Roman"/>
          <w:szCs w:val="20"/>
        </w:rPr>
        <w:t>RAN4 defines UE dormancy switch delay requirements for:</w:t>
      </w:r>
    </w:p>
    <w:p w14:paraId="014DC92D" w14:textId="77777777" w:rsidR="00D359A5" w:rsidRPr="00D359A5" w:rsidRDefault="00D359A5" w:rsidP="00D359A5">
      <w:pPr>
        <w:numPr>
          <w:ilvl w:val="1"/>
          <w:numId w:val="24"/>
        </w:numPr>
        <w:spacing w:line="240" w:lineRule="auto"/>
        <w:ind w:right="-22"/>
        <w:rPr>
          <w:rFonts w:eastAsia="Calibri" w:cs="Times New Roman"/>
          <w:szCs w:val="20"/>
          <w:lang w:val="en-GB"/>
        </w:rPr>
      </w:pPr>
      <w:r w:rsidRPr="00D359A5">
        <w:rPr>
          <w:rFonts w:eastAsia="Calibri" w:cs="Times New Roman"/>
          <w:szCs w:val="20"/>
        </w:rPr>
        <w:t>Scheduled DCI dormancy switch indication</w:t>
      </w:r>
    </w:p>
    <w:p w14:paraId="202B7780" w14:textId="77777777" w:rsidR="00D359A5" w:rsidRPr="00D359A5" w:rsidRDefault="00D359A5" w:rsidP="00D359A5">
      <w:pPr>
        <w:numPr>
          <w:ilvl w:val="1"/>
          <w:numId w:val="24"/>
        </w:numPr>
        <w:spacing w:line="240" w:lineRule="auto"/>
        <w:ind w:right="-22"/>
        <w:rPr>
          <w:rFonts w:eastAsia="Calibri" w:cs="Times New Roman"/>
          <w:szCs w:val="20"/>
          <w:lang w:val="en-GB"/>
        </w:rPr>
      </w:pPr>
      <w:r w:rsidRPr="00D359A5">
        <w:rPr>
          <w:rFonts w:eastAsia="Calibri" w:cs="Times New Roman"/>
          <w:szCs w:val="20"/>
        </w:rPr>
        <w:t>Non-scheduled dormancy switch indication</w:t>
      </w:r>
    </w:p>
    <w:p w14:paraId="3E942D29" w14:textId="77777777" w:rsidR="00D359A5" w:rsidRPr="00D359A5" w:rsidRDefault="00D359A5" w:rsidP="00D359A5">
      <w:pPr>
        <w:numPr>
          <w:ilvl w:val="1"/>
          <w:numId w:val="24"/>
        </w:numPr>
        <w:spacing w:line="240" w:lineRule="auto"/>
        <w:ind w:right="-22"/>
        <w:rPr>
          <w:rFonts w:eastAsia="Calibri" w:cs="Times New Roman"/>
          <w:szCs w:val="20"/>
          <w:lang w:val="en-GB"/>
        </w:rPr>
      </w:pPr>
      <w:r w:rsidRPr="00D359A5">
        <w:rPr>
          <w:rFonts w:eastAsia="Calibri" w:cs="Times New Roman"/>
          <w:szCs w:val="20"/>
        </w:rPr>
        <w:t>WUS indicated dormancy switch indication</w:t>
      </w:r>
    </w:p>
    <w:p w14:paraId="4C710C21" w14:textId="59EF4D23" w:rsidR="00D359A5" w:rsidRDefault="00D359A5" w:rsidP="00EA17AC">
      <w:pPr>
        <w:ind w:right="-22"/>
        <w:rPr>
          <w:rFonts w:eastAsia="Calibri" w:cs="Times New Roman"/>
          <w:szCs w:val="20"/>
          <w:lang w:val="en-GB"/>
        </w:rPr>
      </w:pPr>
      <w:r>
        <w:rPr>
          <w:rFonts w:eastAsia="Calibri" w:cs="Times New Roman"/>
          <w:szCs w:val="20"/>
          <w:lang w:val="en-GB"/>
        </w:rPr>
        <w:t>Additionally, it was agreed to focus on defining requirements for a single SCell dormancy requirements.</w:t>
      </w:r>
    </w:p>
    <w:p w14:paraId="2DD9EC6F" w14:textId="77777777" w:rsidR="002B5C89" w:rsidRPr="002B5C89" w:rsidRDefault="002B5C89" w:rsidP="002B5C89"/>
    <w:p w14:paraId="12459158" w14:textId="5AFA644B" w:rsidR="00AD58AB" w:rsidRDefault="00D359A5" w:rsidP="00AD58AB">
      <w:pPr>
        <w:pStyle w:val="RAN4H2"/>
        <w:rPr>
          <w:rFonts w:eastAsia="Calibri"/>
          <w:lang w:val="en-GB"/>
        </w:rPr>
      </w:pPr>
      <w:r>
        <w:rPr>
          <w:rFonts w:eastAsia="Calibri"/>
          <w:lang w:val="en-GB"/>
        </w:rPr>
        <w:t>BWP switch delay</w:t>
      </w:r>
    </w:p>
    <w:p w14:paraId="70D72C6C" w14:textId="4FE28839" w:rsidR="00D359A5" w:rsidRDefault="00D359A5" w:rsidP="00AD58AB">
      <w:pPr>
        <w:rPr>
          <w:lang w:val="en-GB"/>
        </w:rPr>
      </w:pPr>
      <w:r>
        <w:rPr>
          <w:lang w:val="en-GB"/>
        </w:rPr>
        <w:t>An activated SCell can be in dormancy or non-dormancy. The change between dormancy and non-dormancy and non-dormancy and dormancy is done by indication and timer. The actual realization is done by network configuring the UE with a dormancy BWP (and at least one other non-dormancy BWP), and the change between dormancy is then done as a switch between the BWPs.</w:t>
      </w:r>
    </w:p>
    <w:p w14:paraId="4090C1AF" w14:textId="5589DC9C" w:rsidR="00D359A5" w:rsidRDefault="00A64608" w:rsidP="00AD58AB">
      <w:pPr>
        <w:rPr>
          <w:lang w:val="en-GB"/>
        </w:rPr>
      </w:pPr>
      <w:r>
        <w:rPr>
          <w:lang w:val="en-GB"/>
        </w:rPr>
        <w:t>Based on this RAN4 agreed to define the in and out of SCell dormancy switch delay requirements based on the BWP switch delay framework as captured in the agreements above.</w:t>
      </w:r>
    </w:p>
    <w:p w14:paraId="11A95ED1" w14:textId="501E1801" w:rsidR="00D359A5" w:rsidRDefault="00A64608" w:rsidP="00AD58AB">
      <w:pPr>
        <w:rPr>
          <w:lang w:val="en-GB"/>
        </w:rPr>
      </w:pPr>
      <w:r>
        <w:rPr>
          <w:lang w:val="en-GB"/>
        </w:rPr>
        <w:t>Next step is now to discuss the actual BWP switch delay requirements when the BWP switch is due to dormancy control. In last meeting RAN4 listed following options:</w:t>
      </w:r>
    </w:p>
    <w:p w14:paraId="786EE3CB" w14:textId="77777777" w:rsidR="00A64608" w:rsidRPr="00A64608" w:rsidRDefault="00A64608" w:rsidP="00A64608">
      <w:pPr>
        <w:numPr>
          <w:ilvl w:val="0"/>
          <w:numId w:val="25"/>
        </w:numPr>
        <w:spacing w:line="240" w:lineRule="auto"/>
        <w:rPr>
          <w:lang w:val="en-GB"/>
        </w:rPr>
      </w:pPr>
      <w:r w:rsidRPr="00A64608">
        <w:rPr>
          <w:lang w:val="en-GB"/>
        </w:rPr>
        <w:t>Option 1: Re-use existing Rel-15 BWP switch delay requirements</w:t>
      </w:r>
    </w:p>
    <w:p w14:paraId="5125CC18" w14:textId="77777777" w:rsidR="00A64608" w:rsidRPr="00A64608" w:rsidRDefault="00A64608" w:rsidP="00A64608">
      <w:pPr>
        <w:numPr>
          <w:ilvl w:val="0"/>
          <w:numId w:val="25"/>
        </w:numPr>
        <w:spacing w:line="240" w:lineRule="auto"/>
        <w:rPr>
          <w:lang w:val="en-GB"/>
        </w:rPr>
      </w:pPr>
      <w:r w:rsidRPr="00A64608">
        <w:rPr>
          <w:lang w:val="en-GB"/>
        </w:rPr>
        <w:t>Option 2: Type-1 Rel-15 BWP switch delay requirements apply with conditions,</w:t>
      </w:r>
    </w:p>
    <w:p w14:paraId="32139D8B" w14:textId="77777777" w:rsidR="00A64608" w:rsidRPr="00A64608" w:rsidRDefault="00A64608" w:rsidP="00A64608">
      <w:pPr>
        <w:numPr>
          <w:ilvl w:val="1"/>
          <w:numId w:val="25"/>
        </w:numPr>
        <w:spacing w:line="240" w:lineRule="auto"/>
        <w:rPr>
          <w:lang w:val="en-GB"/>
        </w:rPr>
      </w:pPr>
      <w:r w:rsidRPr="00A64608">
        <w:rPr>
          <w:lang w:val="en-GB"/>
        </w:rPr>
        <w:lastRenderedPageBreak/>
        <w:t>otherwise Type-2 BWP switch delay requirements apply</w:t>
      </w:r>
    </w:p>
    <w:p w14:paraId="358FBBC2" w14:textId="77777777" w:rsidR="00A64608" w:rsidRPr="00A64608" w:rsidRDefault="00A64608" w:rsidP="00A64608">
      <w:pPr>
        <w:numPr>
          <w:ilvl w:val="1"/>
          <w:numId w:val="25"/>
        </w:numPr>
        <w:spacing w:line="240" w:lineRule="auto"/>
        <w:rPr>
          <w:lang w:val="en-GB"/>
        </w:rPr>
      </w:pPr>
      <w:r w:rsidRPr="00A64608">
        <w:rPr>
          <w:lang w:val="en-GB"/>
        </w:rPr>
        <w:t>RAN4 to discuss further the possible conditions for when Type-1 BWP switch delay applies.</w:t>
      </w:r>
    </w:p>
    <w:p w14:paraId="6622C848" w14:textId="77777777" w:rsidR="00A64608" w:rsidRPr="00A64608" w:rsidRDefault="00A64608" w:rsidP="00A64608">
      <w:pPr>
        <w:numPr>
          <w:ilvl w:val="0"/>
          <w:numId w:val="25"/>
        </w:numPr>
        <w:spacing w:line="240" w:lineRule="auto"/>
        <w:rPr>
          <w:lang w:val="en-GB"/>
        </w:rPr>
      </w:pPr>
      <w:r w:rsidRPr="00A64608">
        <w:t xml:space="preserve"> Other options not precluded</w:t>
      </w:r>
    </w:p>
    <w:p w14:paraId="2D8BAFE3" w14:textId="6E0AD60E" w:rsidR="00A64608" w:rsidRDefault="003F1988" w:rsidP="00AD58AB">
      <w:pPr>
        <w:rPr>
          <w:lang w:val="en-GB"/>
        </w:rPr>
      </w:pPr>
      <w:r>
        <w:rPr>
          <w:lang w:val="en-GB"/>
        </w:rPr>
        <w:t xml:space="preserve">When discussing the existing BWP switch delay requirements </w:t>
      </w:r>
      <w:r w:rsidR="00794809">
        <w:rPr>
          <w:lang w:val="en-GB"/>
        </w:rPr>
        <w:t xml:space="preserve">this was done based on the assumption that in the worst case a BWP switch from BWP1 to BWP2 could in fact include a change of any BWP related parameters, including frequency location and SCS among others. To account for these worst-case scenarios and UE implementation limitation in processing, RAN4 ended up defining two BWP switch delays – BWP switch delay Type-1 and Type-2 (table 8.6.2-1). UE would indicate </w:t>
      </w:r>
      <w:r w:rsidR="002B7570">
        <w:rPr>
          <w:lang w:val="en-GB"/>
        </w:rPr>
        <w:t xml:space="preserve">its BWP switch delay capability </w:t>
      </w:r>
      <w:r w:rsidR="00794809">
        <w:rPr>
          <w:lang w:val="en-GB"/>
        </w:rPr>
        <w:t xml:space="preserve">to the network </w:t>
      </w:r>
      <w:r w:rsidR="002B7570">
        <w:rPr>
          <w:lang w:val="en-GB"/>
        </w:rPr>
        <w:t xml:space="preserve">with </w:t>
      </w:r>
      <w:proofErr w:type="spellStart"/>
      <w:r w:rsidR="002B7570">
        <w:rPr>
          <w:i/>
          <w:iCs/>
          <w:szCs w:val="20"/>
        </w:rPr>
        <w:t>bwp-SwitchingDelay</w:t>
      </w:r>
      <w:proofErr w:type="spellEnd"/>
      <w:r w:rsidR="002B7570">
        <w:rPr>
          <w:lang w:val="en-GB"/>
        </w:rPr>
        <w:t>.</w:t>
      </w:r>
    </w:p>
    <w:p w14:paraId="2AF34D23" w14:textId="30BFAAB7" w:rsidR="00C52E7F" w:rsidRDefault="00C52E7F" w:rsidP="00AD58AB">
      <w:pPr>
        <w:rPr>
          <w:lang w:val="en-GB"/>
        </w:rPr>
      </w:pPr>
      <w:r>
        <w:rPr>
          <w:lang w:val="en-GB"/>
        </w:rPr>
        <w:t>Based on the discussions in RAN1 we observe that existing control means for BWP switch also apply for dormancy BWP switch. Hence, RRC based dormancy BWP switch is not precluded.</w:t>
      </w:r>
    </w:p>
    <w:p w14:paraId="71304AD0" w14:textId="7B4FABC4" w:rsidR="00C52E7F" w:rsidRDefault="00C52E7F" w:rsidP="00C52E7F">
      <w:pPr>
        <w:pStyle w:val="RAN4observation0"/>
      </w:pPr>
      <w:r>
        <w:t>RRC based dormancy BWP switch is not precluded.</w:t>
      </w:r>
    </w:p>
    <w:p w14:paraId="6DA28E1D" w14:textId="3B9D83A0" w:rsidR="00D54F40" w:rsidRDefault="002B7570" w:rsidP="00AD58AB">
      <w:pPr>
        <w:rPr>
          <w:lang w:val="en-GB"/>
        </w:rPr>
      </w:pPr>
      <w:r>
        <w:rPr>
          <w:lang w:val="en-GB"/>
        </w:rPr>
        <w:t>It is probably fair to assume</w:t>
      </w:r>
      <w:r w:rsidR="00D54F40">
        <w:rPr>
          <w:lang w:val="en-GB"/>
        </w:rPr>
        <w:t xml:space="preserve"> that the existing BWP switch delay framework from section 8.</w:t>
      </w:r>
      <w:r w:rsidR="00C52E7F">
        <w:rPr>
          <w:lang w:val="en-GB"/>
        </w:rPr>
        <w:t>6</w:t>
      </w:r>
      <w:r w:rsidR="00D54F40">
        <w:rPr>
          <w:lang w:val="en-GB"/>
        </w:rPr>
        <w:t xml:space="preserve"> </w:t>
      </w:r>
      <w:r w:rsidR="00C52E7F">
        <w:rPr>
          <w:lang w:val="en-GB"/>
        </w:rPr>
        <w:t>can be readily re-used without m</w:t>
      </w:r>
      <w:r w:rsidR="00C70A68">
        <w:rPr>
          <w:lang w:val="en-GB"/>
        </w:rPr>
        <w:t>any</w:t>
      </w:r>
      <w:r w:rsidR="00C52E7F">
        <w:rPr>
          <w:lang w:val="en-GB"/>
        </w:rPr>
        <w:t xml:space="preserve"> changes</w:t>
      </w:r>
      <w:r w:rsidR="00D54F40">
        <w:rPr>
          <w:lang w:val="en-GB"/>
        </w:rPr>
        <w:t xml:space="preserve">. </w:t>
      </w:r>
    </w:p>
    <w:p w14:paraId="0A8536DD" w14:textId="5682A71A" w:rsidR="00D54F40" w:rsidRDefault="00C52E7F" w:rsidP="00C52E7F">
      <w:pPr>
        <w:pStyle w:val="RAN4proposal"/>
      </w:pPr>
      <w:r>
        <w:t>BWP switch delay framework from section 8.6 can be readily re-used</w:t>
      </w:r>
      <w:r w:rsidR="00D54F40">
        <w:t>.</w:t>
      </w:r>
    </w:p>
    <w:p w14:paraId="78D9222C" w14:textId="24CF6B1E" w:rsidR="005F0F30" w:rsidRDefault="005F0F30" w:rsidP="00AD58AB">
      <w:pPr>
        <w:rPr>
          <w:lang w:val="en-GB"/>
        </w:rPr>
      </w:pPr>
      <w:r>
        <w:rPr>
          <w:lang w:val="en-GB"/>
        </w:rPr>
        <w:t>3</w:t>
      </w:r>
      <w:r w:rsidR="00C70A68">
        <w:rPr>
          <w:lang w:val="en-GB"/>
        </w:rPr>
        <w:t xml:space="preserve"> </w:t>
      </w:r>
      <w:r>
        <w:rPr>
          <w:lang w:val="en-GB"/>
        </w:rPr>
        <w:t>different scenarios were discussed in last meeting related to BWP switch delay:</w:t>
      </w:r>
    </w:p>
    <w:p w14:paraId="536A0B98" w14:textId="77777777" w:rsidR="005F0F30" w:rsidRPr="005F0F30" w:rsidRDefault="005F0F30" w:rsidP="005F0F30">
      <w:pPr>
        <w:numPr>
          <w:ilvl w:val="0"/>
          <w:numId w:val="27"/>
        </w:numPr>
        <w:spacing w:line="240" w:lineRule="auto"/>
        <w:rPr>
          <w:lang w:val="en-GB"/>
        </w:rPr>
      </w:pPr>
      <w:r w:rsidRPr="005F0F30">
        <w:t>Scheduled DCI dormancy switch indication</w:t>
      </w:r>
    </w:p>
    <w:p w14:paraId="264BA77A" w14:textId="77777777" w:rsidR="005F0F30" w:rsidRPr="005F0F30" w:rsidRDefault="005F0F30" w:rsidP="005F0F30">
      <w:pPr>
        <w:numPr>
          <w:ilvl w:val="0"/>
          <w:numId w:val="27"/>
        </w:numPr>
        <w:spacing w:line="240" w:lineRule="auto"/>
        <w:rPr>
          <w:lang w:val="en-GB"/>
        </w:rPr>
      </w:pPr>
      <w:r w:rsidRPr="005F0F30">
        <w:t>Non-scheduled dormancy switch indication</w:t>
      </w:r>
    </w:p>
    <w:p w14:paraId="3F64C451" w14:textId="77777777" w:rsidR="005F0F30" w:rsidRPr="005F0F30" w:rsidRDefault="005F0F30" w:rsidP="005F0F30">
      <w:pPr>
        <w:numPr>
          <w:ilvl w:val="0"/>
          <w:numId w:val="27"/>
        </w:numPr>
        <w:spacing w:line="240" w:lineRule="auto"/>
        <w:rPr>
          <w:lang w:val="en-GB"/>
        </w:rPr>
      </w:pPr>
      <w:r w:rsidRPr="005F0F30">
        <w:t>WUS indicated dormancy switch indication</w:t>
      </w:r>
    </w:p>
    <w:p w14:paraId="60276045" w14:textId="1AB1011A" w:rsidR="005F0F30" w:rsidRDefault="005F0F30" w:rsidP="00AD58AB">
      <w:pPr>
        <w:rPr>
          <w:lang w:val="en-GB"/>
        </w:rPr>
      </w:pPr>
      <w:r>
        <w:rPr>
          <w:lang w:val="en-GB"/>
        </w:rPr>
        <w:t xml:space="preserve">As such we see that BWP switch delay for scheduled and non-scheduled DCI dormancy switch delay would be covered by the </w:t>
      </w:r>
      <w:r w:rsidR="00C70A68">
        <w:rPr>
          <w:lang w:val="en-GB"/>
        </w:rPr>
        <w:t xml:space="preserve">DCI </w:t>
      </w:r>
      <w:r>
        <w:rPr>
          <w:lang w:val="en-GB"/>
        </w:rPr>
        <w:t xml:space="preserve">BWP switch delay requirement. Either existing or – if agreed – new BWP switch delay. However, for the WUS indicated BWP switch delay there should be no visible BWP switch delay on network side assuming that the WUS is received at least BWP switch delay before </w:t>
      </w:r>
      <w:r w:rsidR="00C70A68">
        <w:rPr>
          <w:lang w:val="en-GB"/>
        </w:rPr>
        <w:t xml:space="preserve">reception time on the non-dormancy BWP e.g. </w:t>
      </w:r>
      <w:r>
        <w:rPr>
          <w:lang w:val="en-GB"/>
        </w:rPr>
        <w:t>the DRX On-Duration.</w:t>
      </w:r>
    </w:p>
    <w:p w14:paraId="694F220F" w14:textId="6834C03B" w:rsidR="005F0F30" w:rsidRDefault="005F0F30" w:rsidP="005F0F30">
      <w:pPr>
        <w:pStyle w:val="RAN4proposal"/>
        <w:rPr>
          <w:lang w:val="en-GB"/>
        </w:rPr>
      </w:pPr>
      <w:r>
        <w:rPr>
          <w:lang w:val="en-GB"/>
        </w:rPr>
        <w:t xml:space="preserve">WUS based dormancy BWP switch does not lead to </w:t>
      </w:r>
      <w:r w:rsidR="00C70A68">
        <w:rPr>
          <w:lang w:val="en-GB"/>
        </w:rPr>
        <w:t xml:space="preserve">visible </w:t>
      </w:r>
      <w:r>
        <w:rPr>
          <w:lang w:val="en-GB"/>
        </w:rPr>
        <w:t>switch delay assuming WUS is received early enough before On-duration.</w:t>
      </w:r>
    </w:p>
    <w:p w14:paraId="1C648F05" w14:textId="3D00F8A2" w:rsidR="00C52E7F" w:rsidRDefault="00C52E7F" w:rsidP="00AD58AB">
      <w:pPr>
        <w:rPr>
          <w:lang w:val="en-GB"/>
        </w:rPr>
      </w:pPr>
      <w:r>
        <w:rPr>
          <w:lang w:val="en-GB"/>
        </w:rPr>
        <w:t>Having the framework in place, RAN4 should also define the actual BWP switch delay. Question is whether Type-1 is always applicable as dormancy switch delay, or whether Type-2 UEs are also allowed. And if Type-2 delay is allowed would there be conditions where a Type-2 BWP switch delay UE c</w:t>
      </w:r>
      <w:r w:rsidR="00E92382">
        <w:rPr>
          <w:lang w:val="en-GB"/>
        </w:rPr>
        <w:t>ould</w:t>
      </w:r>
      <w:r>
        <w:rPr>
          <w:lang w:val="en-GB"/>
        </w:rPr>
        <w:t xml:space="preserve"> perform dormancy switch delay shorter than Type-2?</w:t>
      </w:r>
    </w:p>
    <w:p w14:paraId="025F808F" w14:textId="41555493" w:rsidR="005220AC" w:rsidRDefault="00C77B77" w:rsidP="00AD58AB">
      <w:pPr>
        <w:rPr>
          <w:lang w:val="en-GB"/>
        </w:rPr>
      </w:pPr>
      <w:r>
        <w:rPr>
          <w:lang w:val="en-GB"/>
        </w:rPr>
        <w:t>In general, as there has not been enforced any limitations in RAN1 or RAN2 on what parameters can be changed in a dormancy BWP part compared to non-dormancy BWP, worst-case assumption would be that all parameters may change. If this assumption is correct it is safe to assume that the basic UE BWP switch delay capability (Type-1 or Type-2) applies also for dormancy BWP switch.</w:t>
      </w:r>
    </w:p>
    <w:p w14:paraId="019A6A7E" w14:textId="764A4C2B" w:rsidR="00C77B77" w:rsidRDefault="00C77B77" w:rsidP="00AD58AB">
      <w:pPr>
        <w:rPr>
          <w:lang w:val="en-GB"/>
        </w:rPr>
      </w:pPr>
      <w:r>
        <w:rPr>
          <w:lang w:val="en-GB"/>
        </w:rPr>
        <w:t>However, if the dormancy/non-dormancy BWPs part switch only differs e.g. by whether PDCCH is received or not, it can be expected that</w:t>
      </w:r>
      <w:r w:rsidR="00DD5011">
        <w:rPr>
          <w:lang w:val="en-GB"/>
        </w:rPr>
        <w:t xml:space="preserve"> a Type-1 BWP switch delay would be feasible even for a BWP Type-2 delay UE.</w:t>
      </w:r>
    </w:p>
    <w:p w14:paraId="1B5914A5" w14:textId="7B145F00" w:rsidR="006261FA" w:rsidRDefault="006261FA" w:rsidP="006261FA">
      <w:pPr>
        <w:pStyle w:val="RAN4observation0"/>
      </w:pPr>
      <w:r>
        <w:t>If dormancy change only implies change of PDCCH reception status Type-1 BWP switch delay should be feasible for all UEs.</w:t>
      </w:r>
    </w:p>
    <w:p w14:paraId="1D376D0F" w14:textId="574F5FAC" w:rsidR="00C52E7F" w:rsidRDefault="00C52E7F" w:rsidP="00AD58AB">
      <w:pPr>
        <w:rPr>
          <w:lang w:val="en-GB"/>
        </w:rPr>
      </w:pPr>
      <w:r>
        <w:rPr>
          <w:lang w:val="en-GB"/>
        </w:rPr>
        <w:t>Additionally, if the dormancy switch only implies a change in whether UE receives PDCCH or not</w:t>
      </w:r>
      <w:r w:rsidR="00E92382">
        <w:rPr>
          <w:lang w:val="en-GB"/>
        </w:rPr>
        <w:t>, one could expect that the switch delay could be even shorter than the current Type-1 delay for SCS type 1, 2 or 3</w:t>
      </w:r>
      <w:r w:rsidR="00DD5011">
        <w:rPr>
          <w:lang w:val="en-GB"/>
        </w:rPr>
        <w:t>.</w:t>
      </w:r>
    </w:p>
    <w:p w14:paraId="43184CF5" w14:textId="4810C8B8" w:rsidR="005220AC" w:rsidRDefault="006261FA" w:rsidP="006261FA">
      <w:pPr>
        <w:pStyle w:val="RAN4observation0"/>
      </w:pPr>
      <w:r>
        <w:t>If dormancy change only implies change of PDCCH reception status BWP switch delay shorter than current Type-1 delay seems feasible for SCS type 1, 2 or 3.</w:t>
      </w:r>
    </w:p>
    <w:p w14:paraId="5D254C1F" w14:textId="269D5401" w:rsidR="00C55740" w:rsidRDefault="00C55740" w:rsidP="00AD58AB">
      <w:pPr>
        <w:rPr>
          <w:lang w:val="en-GB"/>
        </w:rPr>
      </w:pPr>
      <w:r>
        <w:rPr>
          <w:lang w:val="en-GB"/>
        </w:rPr>
        <w:t xml:space="preserve">Under the assumption that only PDCCH reception is changed it should be possible to perform a BWP switch faster than </w:t>
      </w:r>
      <w:r w:rsidR="00F57F42">
        <w:rPr>
          <w:lang w:val="en-GB"/>
        </w:rPr>
        <w:t>within a slot, assuming UE RF is already active.</w:t>
      </w:r>
    </w:p>
    <w:p w14:paraId="30C2BCD7" w14:textId="4EC75936" w:rsidR="002B7570" w:rsidRDefault="00C55740" w:rsidP="00AD58AB">
      <w:pPr>
        <w:rPr>
          <w:lang w:val="en-GB"/>
        </w:rPr>
      </w:pPr>
      <w:r>
        <w:rPr>
          <w:lang w:val="en-GB"/>
        </w:rPr>
        <w:lastRenderedPageBreak/>
        <w:t xml:space="preserve">RAN4 should </w:t>
      </w:r>
      <w:r w:rsidR="00D54F40">
        <w:rPr>
          <w:lang w:val="en-GB"/>
        </w:rPr>
        <w:t xml:space="preserve">discuss the actual </w:t>
      </w:r>
      <w:r w:rsidR="00F57F42">
        <w:rPr>
          <w:lang w:val="en-GB"/>
        </w:rPr>
        <w:t xml:space="preserve">dormancy </w:t>
      </w:r>
      <w:r w:rsidR="00D54F40">
        <w:rPr>
          <w:lang w:val="en-GB"/>
        </w:rPr>
        <w:t xml:space="preserve">BWP switch delay – whether </w:t>
      </w:r>
      <w:r w:rsidR="00F57F42">
        <w:rPr>
          <w:lang w:val="en-GB"/>
        </w:rPr>
        <w:t>agree</w:t>
      </w:r>
      <w:r w:rsidR="00C70A68">
        <w:rPr>
          <w:lang w:val="en-GB"/>
        </w:rPr>
        <w:t>ment can be reached on</w:t>
      </w:r>
      <w:r w:rsidR="00F57F42">
        <w:rPr>
          <w:lang w:val="en-GB"/>
        </w:rPr>
        <w:t xml:space="preserve"> conditions which would lead to a generic UE dormancy BWP switch requirement</w:t>
      </w:r>
      <w:r w:rsidR="00D54F40">
        <w:rPr>
          <w:lang w:val="en-GB"/>
        </w:rPr>
        <w:t xml:space="preserve"> delay </w:t>
      </w:r>
      <w:r w:rsidR="00F57F42">
        <w:rPr>
          <w:lang w:val="en-GB"/>
        </w:rPr>
        <w:t xml:space="preserve">- </w:t>
      </w:r>
      <w:r w:rsidR="00D54F40">
        <w:rPr>
          <w:lang w:val="en-GB"/>
        </w:rPr>
        <w:t>Type-x</w:t>
      </w:r>
      <w:r w:rsidR="00C70A68">
        <w:rPr>
          <w:lang w:val="en-GB"/>
        </w:rPr>
        <w:t xml:space="preserve"> (x could be 1)</w:t>
      </w:r>
      <w:r w:rsidR="00F57F42">
        <w:rPr>
          <w:lang w:val="en-GB"/>
        </w:rPr>
        <w:t>, which is applicable for all UE if the conditions are fulfilled. One such conditions could be that difference between dormancy and non-dormancy BWP would be reception of PDCCH</w:t>
      </w:r>
      <w:r w:rsidR="00D54F40">
        <w:rPr>
          <w:lang w:val="en-GB"/>
        </w:rPr>
        <w:t>.</w:t>
      </w:r>
    </w:p>
    <w:p w14:paraId="4E122FEE" w14:textId="3145F584" w:rsidR="00042E00" w:rsidRDefault="00042E00" w:rsidP="00042E00">
      <w:pPr>
        <w:pStyle w:val="RAN4proposal"/>
        <w:rPr>
          <w:lang w:val="en-GB"/>
        </w:rPr>
      </w:pPr>
      <w:r>
        <w:rPr>
          <w:lang w:val="en-GB"/>
        </w:rPr>
        <w:t>Discuss if a generic new dormancy BWP switch delay, Type-x</w:t>
      </w:r>
      <w:r w:rsidR="00C70A68">
        <w:rPr>
          <w:lang w:val="en-GB"/>
        </w:rPr>
        <w:t xml:space="preserve"> (x could be 1)</w:t>
      </w:r>
      <w:r>
        <w:rPr>
          <w:lang w:val="en-GB"/>
        </w:rPr>
        <w:t>, can be introduced and the conditions.</w:t>
      </w:r>
    </w:p>
    <w:p w14:paraId="61BA446D" w14:textId="30447A3C" w:rsidR="00D54F40" w:rsidRDefault="00F57F42" w:rsidP="00AD58AB">
      <w:pPr>
        <w:rPr>
          <w:lang w:val="en-GB"/>
        </w:rPr>
      </w:pPr>
      <w:r>
        <w:rPr>
          <w:lang w:val="en-GB"/>
        </w:rPr>
        <w:t>However, a new BWP switch delay Type-x is only to be introduced if done under the assumption that all devices shall support such switch delay when the applicable conditions are fulfilled.</w:t>
      </w:r>
      <w:r w:rsidR="00DD5011">
        <w:rPr>
          <w:lang w:val="en-GB"/>
        </w:rPr>
        <w:t xml:space="preserve"> </w:t>
      </w:r>
    </w:p>
    <w:p w14:paraId="6AED64E4" w14:textId="74F4F27F" w:rsidR="00042E00" w:rsidRDefault="00042E00" w:rsidP="00042E00">
      <w:pPr>
        <w:pStyle w:val="RAN4proposal"/>
        <w:rPr>
          <w:lang w:val="en-GB"/>
        </w:rPr>
      </w:pPr>
      <w:r>
        <w:rPr>
          <w:lang w:val="en-GB"/>
        </w:rPr>
        <w:t>If new dormancy BWP switch delay Type-x is introduced it shall be mandatory for all devices.</w:t>
      </w:r>
    </w:p>
    <w:p w14:paraId="0BD19042" w14:textId="7349A289" w:rsidR="00D359A5" w:rsidRDefault="00C55740" w:rsidP="00AD58AB">
      <w:pPr>
        <w:rPr>
          <w:lang w:val="en-GB"/>
        </w:rPr>
      </w:pPr>
      <w:r>
        <w:rPr>
          <w:lang w:val="en-GB"/>
        </w:rPr>
        <w:t>Of course</w:t>
      </w:r>
      <w:r w:rsidR="00F57F42">
        <w:rPr>
          <w:lang w:val="en-GB"/>
        </w:rPr>
        <w:t>, one</w:t>
      </w:r>
      <w:r>
        <w:rPr>
          <w:lang w:val="en-GB"/>
        </w:rPr>
        <w:t xml:space="preserve"> part of the discussion relates to UE power saving and interruptions as discussed next.</w:t>
      </w:r>
    </w:p>
    <w:p w14:paraId="2A6A19F5" w14:textId="77777777" w:rsidR="00F57F42" w:rsidRDefault="00F57F42" w:rsidP="00AD58AB">
      <w:pPr>
        <w:rPr>
          <w:lang w:val="en-GB"/>
        </w:rPr>
      </w:pPr>
    </w:p>
    <w:p w14:paraId="3DFB6344" w14:textId="4DFEEB0E" w:rsidR="00D359A5" w:rsidRDefault="003F1988" w:rsidP="003F1988">
      <w:pPr>
        <w:pStyle w:val="RAN4H2"/>
        <w:rPr>
          <w:lang w:val="en-GB"/>
        </w:rPr>
      </w:pPr>
      <w:r>
        <w:rPr>
          <w:lang w:val="en-GB"/>
        </w:rPr>
        <w:t>Interrupt discussion</w:t>
      </w:r>
    </w:p>
    <w:p w14:paraId="59EB646C" w14:textId="276E5C14" w:rsidR="00251B9A" w:rsidRDefault="00251B9A" w:rsidP="003F1988">
      <w:pPr>
        <w:rPr>
          <w:lang w:val="en-GB"/>
        </w:rPr>
      </w:pPr>
      <w:r>
        <w:rPr>
          <w:lang w:val="en-GB"/>
        </w:rPr>
        <w:t xml:space="preserve">RAN1 has not discussed the aspect of allowing UE to turn on/off the receiver during SCell dormancy. However, it can be recognized that in order to enable any real UE power saving </w:t>
      </w:r>
      <w:r w:rsidR="00C259A6">
        <w:rPr>
          <w:lang w:val="en-GB"/>
        </w:rPr>
        <w:t xml:space="preserve">in via dormancy SCell </w:t>
      </w:r>
      <w:r>
        <w:rPr>
          <w:lang w:val="en-GB"/>
        </w:rPr>
        <w:t>on UE side this would be needed.</w:t>
      </w:r>
    </w:p>
    <w:p w14:paraId="3209B811" w14:textId="49D5E774" w:rsidR="0083186C" w:rsidRDefault="00251B9A" w:rsidP="003F1988">
      <w:pPr>
        <w:rPr>
          <w:lang w:val="en-GB"/>
        </w:rPr>
      </w:pPr>
      <w:r>
        <w:rPr>
          <w:lang w:val="en-GB"/>
        </w:rPr>
        <w:t>However, tu</w:t>
      </w:r>
      <w:r w:rsidR="0083186C">
        <w:rPr>
          <w:lang w:val="en-GB"/>
        </w:rPr>
        <w:t>rn</w:t>
      </w:r>
      <w:r>
        <w:rPr>
          <w:lang w:val="en-GB"/>
        </w:rPr>
        <w:t xml:space="preserve">ing on/off a UE receiver while having other active </w:t>
      </w:r>
      <w:r w:rsidR="0083186C">
        <w:rPr>
          <w:lang w:val="en-GB"/>
        </w:rPr>
        <w:t xml:space="preserve">reception or transmission can introduce interruption to those. Hence, there is an impact on the system and a possible loss of data. As the framework of </w:t>
      </w:r>
      <w:r w:rsidR="00C259A6">
        <w:rPr>
          <w:lang w:val="en-GB"/>
        </w:rPr>
        <w:t xml:space="preserve">a </w:t>
      </w:r>
      <w:r w:rsidR="0083186C">
        <w:rPr>
          <w:lang w:val="en-GB"/>
        </w:rPr>
        <w:t xml:space="preserve">dormancy </w:t>
      </w:r>
      <w:r w:rsidR="00C259A6">
        <w:rPr>
          <w:lang w:val="en-GB"/>
        </w:rPr>
        <w:t xml:space="preserve">SCell </w:t>
      </w:r>
      <w:r w:rsidR="0083186C">
        <w:rPr>
          <w:lang w:val="en-GB"/>
        </w:rPr>
        <w:t>includes following:</w:t>
      </w:r>
    </w:p>
    <w:p w14:paraId="1FB83595" w14:textId="77777777" w:rsidR="0083186C" w:rsidRDefault="0083186C" w:rsidP="0083186C">
      <w:pPr>
        <w:pStyle w:val="ListParagraph"/>
        <w:numPr>
          <w:ilvl w:val="0"/>
          <w:numId w:val="26"/>
        </w:numPr>
        <w:ind w:right="-22"/>
        <w:rPr>
          <w:rFonts w:eastAsia="Calibri" w:cs="Times New Roman"/>
          <w:szCs w:val="20"/>
          <w:lang w:val="en-GB"/>
        </w:rPr>
      </w:pPr>
      <w:r>
        <w:rPr>
          <w:rFonts w:eastAsia="Calibri" w:cs="Times New Roman"/>
          <w:szCs w:val="20"/>
          <w:lang w:val="en-GB"/>
        </w:rPr>
        <w:t>An SCell in dormancy is not deactivated</w:t>
      </w:r>
    </w:p>
    <w:p w14:paraId="78EC6393" w14:textId="77777777" w:rsidR="0083186C" w:rsidRPr="00E21659" w:rsidRDefault="0083186C" w:rsidP="0083186C">
      <w:pPr>
        <w:pStyle w:val="ListParagraph"/>
        <w:numPr>
          <w:ilvl w:val="0"/>
          <w:numId w:val="26"/>
        </w:numPr>
        <w:ind w:right="-22"/>
        <w:rPr>
          <w:rFonts w:eastAsia="Calibri" w:cs="Times New Roman"/>
          <w:bCs/>
          <w:szCs w:val="20"/>
          <w:lang w:val="en-GB"/>
        </w:rPr>
      </w:pPr>
      <w:r>
        <w:rPr>
          <w:rFonts w:eastAsia="Calibri" w:cs="Times New Roman"/>
          <w:bCs/>
          <w:szCs w:val="20"/>
        </w:rPr>
        <w:t>T</w:t>
      </w:r>
      <w:r w:rsidRPr="00E21659">
        <w:rPr>
          <w:rFonts w:eastAsia="Calibri" w:cs="Times New Roman"/>
          <w:bCs/>
          <w:szCs w:val="20"/>
        </w:rPr>
        <w:t>he UE stops monitoring PDCCH on SCell</w:t>
      </w:r>
    </w:p>
    <w:p w14:paraId="1FB5056D" w14:textId="77777777" w:rsidR="0083186C" w:rsidRPr="00AA7168" w:rsidRDefault="0083186C" w:rsidP="0083186C">
      <w:pPr>
        <w:pStyle w:val="ListParagraph"/>
        <w:numPr>
          <w:ilvl w:val="0"/>
          <w:numId w:val="26"/>
        </w:numPr>
        <w:ind w:right="-22"/>
        <w:rPr>
          <w:rFonts w:eastAsia="Calibri" w:cs="Times New Roman"/>
          <w:bCs/>
          <w:szCs w:val="20"/>
          <w:lang w:val="en-GB"/>
        </w:rPr>
      </w:pPr>
      <w:bookmarkStart w:id="4" w:name="_Hlk32483577"/>
      <w:r>
        <w:rPr>
          <w:rFonts w:eastAsia="Calibri" w:cs="Times New Roman"/>
          <w:bCs/>
          <w:szCs w:val="20"/>
        </w:rPr>
        <w:t>The UE</w:t>
      </w:r>
      <w:r w:rsidRPr="00E21659">
        <w:rPr>
          <w:rFonts w:eastAsia="Calibri" w:cs="Times New Roman"/>
          <w:bCs/>
          <w:szCs w:val="20"/>
        </w:rPr>
        <w:t xml:space="preserve"> continue performing</w:t>
      </w:r>
      <w:r>
        <w:rPr>
          <w:rFonts w:eastAsia="Calibri" w:cs="Times New Roman"/>
          <w:bCs/>
          <w:szCs w:val="20"/>
        </w:rPr>
        <w:t>:</w:t>
      </w:r>
    </w:p>
    <w:p w14:paraId="7E9DE65C" w14:textId="77777777" w:rsidR="0083186C" w:rsidRPr="00AA7168" w:rsidRDefault="0083186C" w:rsidP="0083186C">
      <w:pPr>
        <w:pStyle w:val="ListParagraph"/>
        <w:numPr>
          <w:ilvl w:val="1"/>
          <w:numId w:val="26"/>
        </w:numPr>
        <w:ind w:right="-22"/>
        <w:rPr>
          <w:rFonts w:eastAsia="Calibri" w:cs="Times New Roman"/>
          <w:bCs/>
          <w:szCs w:val="20"/>
          <w:lang w:val="en-GB"/>
        </w:rPr>
      </w:pPr>
      <w:r w:rsidRPr="00E21659">
        <w:rPr>
          <w:rFonts w:eastAsia="Calibri" w:cs="Times New Roman"/>
          <w:bCs/>
          <w:szCs w:val="20"/>
        </w:rPr>
        <w:t xml:space="preserve">CSI measurements, </w:t>
      </w:r>
    </w:p>
    <w:p w14:paraId="0A9B475E" w14:textId="77777777" w:rsidR="0083186C" w:rsidRPr="00AA7168" w:rsidRDefault="0083186C" w:rsidP="0083186C">
      <w:pPr>
        <w:pStyle w:val="ListParagraph"/>
        <w:numPr>
          <w:ilvl w:val="1"/>
          <w:numId w:val="26"/>
        </w:numPr>
        <w:ind w:right="-22"/>
        <w:rPr>
          <w:rFonts w:eastAsia="Calibri" w:cs="Times New Roman"/>
          <w:bCs/>
          <w:szCs w:val="20"/>
          <w:lang w:val="en-GB"/>
        </w:rPr>
      </w:pPr>
      <w:r w:rsidRPr="00AA7168">
        <w:rPr>
          <w:rFonts w:eastAsia="Calibri" w:cs="Times New Roman"/>
          <w:bCs/>
          <w:szCs w:val="20"/>
        </w:rPr>
        <w:t>AGC</w:t>
      </w:r>
      <w:r>
        <w:rPr>
          <w:rFonts w:eastAsia="Calibri" w:cs="Times New Roman"/>
          <w:bCs/>
          <w:szCs w:val="20"/>
        </w:rPr>
        <w:t>,</w:t>
      </w:r>
      <w:r w:rsidRPr="00AA7168">
        <w:rPr>
          <w:rFonts w:eastAsia="Calibri" w:cs="Times New Roman"/>
          <w:bCs/>
          <w:szCs w:val="20"/>
        </w:rPr>
        <w:t xml:space="preserve"> and </w:t>
      </w:r>
    </w:p>
    <w:p w14:paraId="020DA304" w14:textId="77777777" w:rsidR="0083186C" w:rsidRPr="00AA7168" w:rsidRDefault="0083186C" w:rsidP="0083186C">
      <w:pPr>
        <w:pStyle w:val="ListParagraph"/>
        <w:numPr>
          <w:ilvl w:val="1"/>
          <w:numId w:val="26"/>
        </w:numPr>
        <w:ind w:right="-22"/>
        <w:rPr>
          <w:rFonts w:eastAsia="Calibri" w:cs="Times New Roman"/>
          <w:bCs/>
          <w:szCs w:val="20"/>
          <w:lang w:val="en-GB"/>
        </w:rPr>
      </w:pPr>
      <w:r w:rsidRPr="00AA7168">
        <w:rPr>
          <w:rFonts w:eastAsia="Calibri" w:cs="Times New Roman"/>
          <w:bCs/>
          <w:szCs w:val="20"/>
        </w:rPr>
        <w:t>beam management, if configured</w:t>
      </w:r>
    </w:p>
    <w:bookmarkEnd w:id="4"/>
    <w:p w14:paraId="14AD87DB" w14:textId="77777777" w:rsidR="00C259A6" w:rsidRDefault="00C259A6" w:rsidP="003F1988">
      <w:pPr>
        <w:rPr>
          <w:lang w:val="en-GB"/>
        </w:rPr>
      </w:pPr>
      <w:r>
        <w:rPr>
          <w:lang w:val="en-GB"/>
        </w:rPr>
        <w:t>T</w:t>
      </w:r>
      <w:r w:rsidR="0083186C">
        <w:rPr>
          <w:lang w:val="en-GB"/>
        </w:rPr>
        <w:t xml:space="preserve">his in fact </w:t>
      </w:r>
      <w:r>
        <w:rPr>
          <w:lang w:val="en-GB"/>
        </w:rPr>
        <w:t xml:space="preserve">clearly </w:t>
      </w:r>
      <w:r w:rsidR="0083186C">
        <w:rPr>
          <w:lang w:val="en-GB"/>
        </w:rPr>
        <w:t>states that there should be no interruptions. As the SCell in dormancy is activated and DRX on an activated SCell follows the DRX of the PCell – the receiver on the dormancy SCell is assumed on</w:t>
      </w:r>
      <w:r>
        <w:rPr>
          <w:lang w:val="en-GB"/>
        </w:rPr>
        <w:t xml:space="preserve"> when reception is active on other active cells (PCell and </w:t>
      </w:r>
      <w:proofErr w:type="spellStart"/>
      <w:r>
        <w:rPr>
          <w:lang w:val="en-GB"/>
        </w:rPr>
        <w:t>SCells</w:t>
      </w:r>
      <w:proofErr w:type="spellEnd"/>
      <w:r>
        <w:rPr>
          <w:lang w:val="en-GB"/>
        </w:rPr>
        <w:t>)</w:t>
      </w:r>
      <w:r w:rsidR="0083186C">
        <w:rPr>
          <w:lang w:val="en-GB"/>
        </w:rPr>
        <w:t xml:space="preserve">. </w:t>
      </w:r>
    </w:p>
    <w:p w14:paraId="73D078D3" w14:textId="4D356697" w:rsidR="0083186C" w:rsidRDefault="0083186C" w:rsidP="003F1988">
      <w:pPr>
        <w:rPr>
          <w:lang w:val="en-GB"/>
        </w:rPr>
      </w:pPr>
      <w:r>
        <w:rPr>
          <w:lang w:val="en-GB"/>
        </w:rPr>
        <w:t>However, as the UE does not need to receive the PDCCH on the dormancy SCell there could be quite some time where the UE dormancy SCell receiver is active for no reason – and this would cause unnecessary power consumption on UE side.</w:t>
      </w:r>
    </w:p>
    <w:p w14:paraId="521E707E" w14:textId="288647CB" w:rsidR="0083186C" w:rsidRDefault="00C259A6" w:rsidP="003F1988">
      <w:pPr>
        <w:rPr>
          <w:lang w:val="en-GB"/>
        </w:rPr>
      </w:pPr>
      <w:r>
        <w:rPr>
          <w:lang w:val="en-GB"/>
        </w:rPr>
        <w:t>As listed, t</w:t>
      </w:r>
      <w:r w:rsidR="0083186C">
        <w:rPr>
          <w:lang w:val="en-GB"/>
        </w:rPr>
        <w:t>he UE is required to continue to perform CSI measurements, AGC and BM on the dormancy SCell. Fulfilling these requirements mean</w:t>
      </w:r>
      <w:r>
        <w:rPr>
          <w:lang w:val="en-GB"/>
        </w:rPr>
        <w:t>s that the</w:t>
      </w:r>
      <w:r w:rsidR="0083186C">
        <w:rPr>
          <w:lang w:val="en-GB"/>
        </w:rPr>
        <w:t xml:space="preserve"> UE </w:t>
      </w:r>
      <w:proofErr w:type="gramStart"/>
      <w:r w:rsidR="0083186C">
        <w:rPr>
          <w:lang w:val="en-GB"/>
        </w:rPr>
        <w:t>has to</w:t>
      </w:r>
      <w:proofErr w:type="gramEnd"/>
      <w:r w:rsidR="0083186C">
        <w:rPr>
          <w:lang w:val="en-GB"/>
        </w:rPr>
        <w:t xml:space="preserve"> actively receive</w:t>
      </w:r>
      <w:r>
        <w:rPr>
          <w:lang w:val="en-GB"/>
        </w:rPr>
        <w:t>/measure</w:t>
      </w:r>
      <w:r w:rsidR="0083186C">
        <w:rPr>
          <w:lang w:val="en-GB"/>
        </w:rPr>
        <w:t xml:space="preserve"> on the dormancy SCell with some periodicity based on the dormancy BWP configuration.</w:t>
      </w:r>
    </w:p>
    <w:p w14:paraId="7128C967" w14:textId="53D85FC3" w:rsidR="0083186C" w:rsidRDefault="0083186C" w:rsidP="003F1988">
      <w:pPr>
        <w:rPr>
          <w:lang w:val="en-GB"/>
        </w:rPr>
      </w:pPr>
      <w:r>
        <w:rPr>
          <w:lang w:val="en-GB"/>
        </w:rPr>
        <w:t xml:space="preserve">To balance the system impact and the UE power consumption we </w:t>
      </w:r>
      <w:r w:rsidR="005F0F30">
        <w:rPr>
          <w:lang w:val="en-GB"/>
        </w:rPr>
        <w:t>propose to allow UE an interruption when a dormancy SCell is changed to non-dormancy to allow for the UE turning on the RF when needed.</w:t>
      </w:r>
    </w:p>
    <w:p w14:paraId="2AE0F24C" w14:textId="4157B9B4" w:rsidR="005F0F30" w:rsidRDefault="005F0F30" w:rsidP="005F0F30">
      <w:pPr>
        <w:pStyle w:val="RAN4proposal"/>
        <w:rPr>
          <w:lang w:val="en-GB"/>
        </w:rPr>
      </w:pPr>
      <w:r>
        <w:rPr>
          <w:lang w:val="en-GB"/>
        </w:rPr>
        <w:t>UE is allowed an interruption when dormancy SCell is changed to non-dormancy SCell.</w:t>
      </w:r>
    </w:p>
    <w:p w14:paraId="40E0AAC1" w14:textId="46280FA7" w:rsidR="00251B9A" w:rsidRDefault="00BA4CF5" w:rsidP="003F1988">
      <w:pPr>
        <w:rPr>
          <w:lang w:val="en-GB"/>
        </w:rPr>
      </w:pPr>
      <w:r>
        <w:rPr>
          <w:lang w:val="en-GB"/>
        </w:rPr>
        <w:t xml:space="preserve">Other interruptions due to potential measurement needs further discussion. It needs to be discussed what is reasonable interruption rate compared to UE power saving. If the interrupt impact on the data transmission is too high this could withhold usage of the dormancy feature. </w:t>
      </w:r>
      <w:r w:rsidR="00C259A6">
        <w:rPr>
          <w:lang w:val="en-GB"/>
        </w:rPr>
        <w:t xml:space="preserve">It does </w:t>
      </w:r>
      <w:r>
        <w:rPr>
          <w:lang w:val="en-GB"/>
        </w:rPr>
        <w:t>not see</w:t>
      </w:r>
      <w:r w:rsidR="00C259A6">
        <w:rPr>
          <w:lang w:val="en-GB"/>
        </w:rPr>
        <w:t>m</w:t>
      </w:r>
      <w:r>
        <w:rPr>
          <w:lang w:val="en-GB"/>
        </w:rPr>
        <w:t xml:space="preserve"> attractive from network point of view if the interruption impact become</w:t>
      </w:r>
      <w:r w:rsidR="00C259A6">
        <w:rPr>
          <w:lang w:val="en-GB"/>
        </w:rPr>
        <w:t>s</w:t>
      </w:r>
      <w:r>
        <w:rPr>
          <w:lang w:val="en-GB"/>
        </w:rPr>
        <w:t xml:space="preserve"> measurable on the data TP and impact the system performance. On the other hand</w:t>
      </w:r>
      <w:r w:rsidR="00C259A6">
        <w:rPr>
          <w:lang w:val="en-GB"/>
        </w:rPr>
        <w:t>,</w:t>
      </w:r>
      <w:r>
        <w:rPr>
          <w:lang w:val="en-GB"/>
        </w:rPr>
        <w:t xml:space="preserve"> the system is not fully flexible in terms of which measurements are needed and how often to ensure good performance.</w:t>
      </w:r>
    </w:p>
    <w:p w14:paraId="0E765944" w14:textId="0B25363E" w:rsidR="00BA4CF5" w:rsidRDefault="00BA4CF5" w:rsidP="00BA4CF5">
      <w:pPr>
        <w:pStyle w:val="RAN4proposal"/>
        <w:rPr>
          <w:lang w:val="en-GB"/>
        </w:rPr>
      </w:pPr>
      <w:r>
        <w:rPr>
          <w:lang w:val="en-GB"/>
        </w:rPr>
        <w:t>Discuss further the interruption need due to CSI measurements and BM.</w:t>
      </w:r>
    </w:p>
    <w:p w14:paraId="6229BBC3" w14:textId="77777777" w:rsidR="002C2D19" w:rsidRDefault="002C2D19" w:rsidP="003B659E">
      <w:pPr>
        <w:ind w:right="-22"/>
        <w:rPr>
          <w:rFonts w:cs="Times New Roman"/>
        </w:rPr>
      </w:pPr>
    </w:p>
    <w:p w14:paraId="761516E1" w14:textId="27032369" w:rsidR="00CD7492" w:rsidRDefault="00CD7492" w:rsidP="00A37002">
      <w:pPr>
        <w:pStyle w:val="RAN4H1"/>
      </w:pPr>
      <w:r w:rsidRPr="00A37002">
        <w:lastRenderedPageBreak/>
        <w:t>Conclusion</w:t>
      </w:r>
    </w:p>
    <w:p w14:paraId="3E72444B" w14:textId="3D1C4AC4" w:rsidR="00DF1963" w:rsidRDefault="00DF1963" w:rsidP="00DF1963">
      <w:pPr>
        <w:rPr>
          <w:lang w:val="en-GB"/>
        </w:rPr>
      </w:pPr>
      <w:r>
        <w:rPr>
          <w:lang w:val="en-GB"/>
        </w:rPr>
        <w:t xml:space="preserve">In this paper we continued the discussion related to UE requirement for dormancy SCell based on the agreement in last meeting [1]. </w:t>
      </w:r>
    </w:p>
    <w:p w14:paraId="556D816A" w14:textId="77777777" w:rsidR="00DF1963" w:rsidRDefault="00DF1963" w:rsidP="00DF1963">
      <w:pPr>
        <w:pStyle w:val="RAN4Observation"/>
        <w:numPr>
          <w:ilvl w:val="0"/>
          <w:numId w:val="28"/>
        </w:numPr>
      </w:pPr>
      <w:r>
        <w:t>RRC based dormancy BWP switch is not precluded.</w:t>
      </w:r>
    </w:p>
    <w:p w14:paraId="45FC7945" w14:textId="77777777" w:rsidR="00DF1963" w:rsidRDefault="00DF1963" w:rsidP="00DF1963">
      <w:pPr>
        <w:pStyle w:val="RAN4proposal"/>
        <w:numPr>
          <w:ilvl w:val="0"/>
          <w:numId w:val="29"/>
        </w:numPr>
      </w:pPr>
      <w:r>
        <w:t>BWP switch delay framework from section 8.6 can be readily re-used.</w:t>
      </w:r>
    </w:p>
    <w:p w14:paraId="254AEC01" w14:textId="77777777" w:rsidR="00DF1963" w:rsidRPr="00DF1963" w:rsidRDefault="00DF1963" w:rsidP="00DF1963">
      <w:pPr>
        <w:pStyle w:val="RAN4proposal"/>
        <w:numPr>
          <w:ilvl w:val="0"/>
          <w:numId w:val="29"/>
        </w:numPr>
        <w:rPr>
          <w:lang w:val="en-GB"/>
        </w:rPr>
      </w:pPr>
      <w:r w:rsidRPr="00DF1963">
        <w:rPr>
          <w:lang w:val="en-GB"/>
        </w:rPr>
        <w:t>WUS based dormancy BWP switch does not lead to visible switch delay assuming WUS is received early enough before On-duration.</w:t>
      </w:r>
    </w:p>
    <w:p w14:paraId="5533FC15" w14:textId="77777777" w:rsidR="00DF1963" w:rsidRDefault="00DF1963" w:rsidP="00DF1963">
      <w:pPr>
        <w:pStyle w:val="RAN4observation0"/>
      </w:pPr>
      <w:r>
        <w:t>If dormancy change only implies change of PDCCH reception status Type-1 BWP switch delay should be feasible for all UEs.</w:t>
      </w:r>
    </w:p>
    <w:p w14:paraId="1BD03ED1" w14:textId="77777777" w:rsidR="00DF1963" w:rsidRDefault="00DF1963" w:rsidP="00DF1963">
      <w:pPr>
        <w:pStyle w:val="RAN4observation0"/>
      </w:pPr>
      <w:r>
        <w:t>If dormancy change only implies change of PDCCH reception status BWP switch delay shorter than current Type-1 delay seems feasible for SCS type 1, 2 or 3.</w:t>
      </w:r>
    </w:p>
    <w:p w14:paraId="2AB6615F" w14:textId="77777777" w:rsidR="00DF1963" w:rsidRDefault="00DF1963" w:rsidP="00DF1963">
      <w:pPr>
        <w:pStyle w:val="RAN4proposal"/>
        <w:rPr>
          <w:lang w:val="en-GB"/>
        </w:rPr>
      </w:pPr>
      <w:r>
        <w:rPr>
          <w:lang w:val="en-GB"/>
        </w:rPr>
        <w:t>Discuss if a generic new dormancy BWP switch delay, Type-x (x could be 1), can be introduced and the conditions.</w:t>
      </w:r>
    </w:p>
    <w:p w14:paraId="02C5E642" w14:textId="77777777" w:rsidR="00DF1963" w:rsidRDefault="00DF1963" w:rsidP="00DF1963">
      <w:pPr>
        <w:pStyle w:val="RAN4proposal"/>
        <w:rPr>
          <w:lang w:val="en-GB"/>
        </w:rPr>
      </w:pPr>
      <w:r>
        <w:rPr>
          <w:lang w:val="en-GB"/>
        </w:rPr>
        <w:t>If new dormancy BWP switch delay Type-x is introduced it shall be mandatory for all devices.</w:t>
      </w:r>
    </w:p>
    <w:p w14:paraId="2C96BFB7" w14:textId="77777777" w:rsidR="00DF1963" w:rsidRDefault="00DF1963" w:rsidP="00DF1963">
      <w:pPr>
        <w:pStyle w:val="RAN4proposal"/>
        <w:rPr>
          <w:lang w:val="en-GB"/>
        </w:rPr>
      </w:pPr>
      <w:r>
        <w:rPr>
          <w:lang w:val="en-GB"/>
        </w:rPr>
        <w:t>UE is allowed an interruption when dormancy SCell is changed to non-dormancy SCell.</w:t>
      </w:r>
    </w:p>
    <w:p w14:paraId="411BC4DC" w14:textId="615BF7F9" w:rsidR="00DF1963" w:rsidRDefault="00DF1963" w:rsidP="00DF1963">
      <w:pPr>
        <w:pStyle w:val="RAN4proposal"/>
        <w:rPr>
          <w:lang w:val="en-GB"/>
        </w:rPr>
      </w:pPr>
      <w:r>
        <w:rPr>
          <w:lang w:val="en-GB"/>
        </w:rPr>
        <w:t>Discuss further the interruption need due to CSI measurements and BM.</w:t>
      </w:r>
    </w:p>
    <w:p w14:paraId="2044F34F" w14:textId="77777777" w:rsidR="00DF1963" w:rsidRPr="00DF1963" w:rsidRDefault="00DF1963" w:rsidP="00DF1963">
      <w:pPr>
        <w:rPr>
          <w:lang w:val="en-GB"/>
        </w:rPr>
      </w:pPr>
    </w:p>
    <w:p w14:paraId="3DAFBD41" w14:textId="77777777" w:rsidR="003B659E" w:rsidRPr="0095295C" w:rsidRDefault="003B659E" w:rsidP="0008612A">
      <w:pPr>
        <w:pStyle w:val="RAN4H1"/>
      </w:pPr>
      <w:r w:rsidRPr="0095295C">
        <w:t>References</w:t>
      </w:r>
    </w:p>
    <w:p w14:paraId="19FC2F12" w14:textId="2CDA969C" w:rsidR="003B659E" w:rsidRPr="00C70A68" w:rsidRDefault="00C70A68" w:rsidP="00216F6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C70A68">
        <w:rPr>
          <w:rFonts w:eastAsia="Times New Roman"/>
        </w:rPr>
        <w:t>R4-2002238</w:t>
      </w:r>
      <w:r w:rsidR="003B659E" w:rsidRPr="00C70A68">
        <w:rPr>
          <w:rFonts w:eastAsia="Times New Roman" w:cs="Times New Roman"/>
          <w:szCs w:val="20"/>
          <w:lang w:val="en-GB"/>
        </w:rPr>
        <w:t xml:space="preserve">, </w:t>
      </w:r>
      <w:r w:rsidRPr="00C70A68">
        <w:rPr>
          <w:rFonts w:eastAsia="Times New Roman" w:cs="Times New Roman"/>
          <w:bCs/>
          <w:szCs w:val="20"/>
          <w:lang w:val="en-GB"/>
        </w:rPr>
        <w:t>WF on UE RRM requirements for dormancy SCell</w:t>
      </w:r>
      <w:r w:rsidR="003B659E" w:rsidRPr="00C70A68">
        <w:rPr>
          <w:rFonts w:eastAsia="Times New Roman" w:cs="Times New Roman"/>
          <w:szCs w:val="20"/>
          <w:lang w:val="en-GB"/>
        </w:rPr>
        <w:t xml:space="preserve">, Nokia, </w:t>
      </w:r>
      <w:r w:rsidRPr="00C70A68">
        <w:rPr>
          <w:rFonts w:eastAsia="Times New Roman" w:cs="Times New Roman"/>
          <w:szCs w:val="20"/>
          <w:lang w:val="en-GB"/>
        </w:rPr>
        <w:t>Nokia</w:t>
      </w:r>
      <w:r w:rsidR="003B659E" w:rsidRPr="00C70A68">
        <w:rPr>
          <w:rFonts w:eastAsia="Times New Roman" w:cs="Times New Roman"/>
          <w:szCs w:val="20"/>
          <w:lang w:val="en-GB"/>
        </w:rPr>
        <w:t xml:space="preserve"> Shanghai Bell</w:t>
      </w:r>
      <w:r w:rsidR="003B659E" w:rsidRPr="00C70A68" w:rsidDel="00C651B9">
        <w:rPr>
          <w:rFonts w:eastAsia="Times New Roman" w:cs="Times New Roman"/>
          <w:szCs w:val="20"/>
          <w:lang w:val="en-GB"/>
        </w:rPr>
        <w:t xml:space="preserve"> </w:t>
      </w:r>
      <w:bookmarkEnd w:id="5"/>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95EAC"/>
    <w:multiLevelType w:val="hybridMultilevel"/>
    <w:tmpl w:val="6AD863F0"/>
    <w:lvl w:ilvl="0" w:tplc="5C523E08">
      <w:start w:val="1"/>
      <w:numFmt w:val="bullet"/>
      <w:lvlText w:val="•"/>
      <w:lvlJc w:val="left"/>
      <w:pPr>
        <w:tabs>
          <w:tab w:val="num" w:pos="720"/>
        </w:tabs>
        <w:ind w:left="720" w:hanging="360"/>
      </w:pPr>
      <w:rPr>
        <w:rFonts w:ascii="Arial" w:hAnsi="Arial" w:hint="default"/>
      </w:rPr>
    </w:lvl>
    <w:lvl w:ilvl="1" w:tplc="2C80B61E">
      <w:start w:val="1"/>
      <w:numFmt w:val="bullet"/>
      <w:lvlText w:val="•"/>
      <w:lvlJc w:val="left"/>
      <w:pPr>
        <w:tabs>
          <w:tab w:val="num" w:pos="1440"/>
        </w:tabs>
        <w:ind w:left="1440" w:hanging="360"/>
      </w:pPr>
      <w:rPr>
        <w:rFonts w:ascii="Arial" w:hAnsi="Arial" w:hint="default"/>
      </w:rPr>
    </w:lvl>
    <w:lvl w:ilvl="2" w:tplc="2018B29E" w:tentative="1">
      <w:start w:val="1"/>
      <w:numFmt w:val="bullet"/>
      <w:lvlText w:val="•"/>
      <w:lvlJc w:val="left"/>
      <w:pPr>
        <w:tabs>
          <w:tab w:val="num" w:pos="2160"/>
        </w:tabs>
        <w:ind w:left="2160" w:hanging="360"/>
      </w:pPr>
      <w:rPr>
        <w:rFonts w:ascii="Arial" w:hAnsi="Arial" w:hint="default"/>
      </w:rPr>
    </w:lvl>
    <w:lvl w:ilvl="3" w:tplc="F45C1F28" w:tentative="1">
      <w:start w:val="1"/>
      <w:numFmt w:val="bullet"/>
      <w:lvlText w:val="•"/>
      <w:lvlJc w:val="left"/>
      <w:pPr>
        <w:tabs>
          <w:tab w:val="num" w:pos="2880"/>
        </w:tabs>
        <w:ind w:left="2880" w:hanging="360"/>
      </w:pPr>
      <w:rPr>
        <w:rFonts w:ascii="Arial" w:hAnsi="Arial" w:hint="default"/>
      </w:rPr>
    </w:lvl>
    <w:lvl w:ilvl="4" w:tplc="9E2A3D50" w:tentative="1">
      <w:start w:val="1"/>
      <w:numFmt w:val="bullet"/>
      <w:lvlText w:val="•"/>
      <w:lvlJc w:val="left"/>
      <w:pPr>
        <w:tabs>
          <w:tab w:val="num" w:pos="3600"/>
        </w:tabs>
        <w:ind w:left="3600" w:hanging="360"/>
      </w:pPr>
      <w:rPr>
        <w:rFonts w:ascii="Arial" w:hAnsi="Arial" w:hint="default"/>
      </w:rPr>
    </w:lvl>
    <w:lvl w:ilvl="5" w:tplc="9B1877B4" w:tentative="1">
      <w:start w:val="1"/>
      <w:numFmt w:val="bullet"/>
      <w:lvlText w:val="•"/>
      <w:lvlJc w:val="left"/>
      <w:pPr>
        <w:tabs>
          <w:tab w:val="num" w:pos="4320"/>
        </w:tabs>
        <w:ind w:left="4320" w:hanging="360"/>
      </w:pPr>
      <w:rPr>
        <w:rFonts w:ascii="Arial" w:hAnsi="Arial" w:hint="default"/>
      </w:rPr>
    </w:lvl>
    <w:lvl w:ilvl="6" w:tplc="C67040AA" w:tentative="1">
      <w:start w:val="1"/>
      <w:numFmt w:val="bullet"/>
      <w:lvlText w:val="•"/>
      <w:lvlJc w:val="left"/>
      <w:pPr>
        <w:tabs>
          <w:tab w:val="num" w:pos="5040"/>
        </w:tabs>
        <w:ind w:left="5040" w:hanging="360"/>
      </w:pPr>
      <w:rPr>
        <w:rFonts w:ascii="Arial" w:hAnsi="Arial" w:hint="default"/>
      </w:rPr>
    </w:lvl>
    <w:lvl w:ilvl="7" w:tplc="28689B3A" w:tentative="1">
      <w:start w:val="1"/>
      <w:numFmt w:val="bullet"/>
      <w:lvlText w:val="•"/>
      <w:lvlJc w:val="left"/>
      <w:pPr>
        <w:tabs>
          <w:tab w:val="num" w:pos="5760"/>
        </w:tabs>
        <w:ind w:left="5760" w:hanging="360"/>
      </w:pPr>
      <w:rPr>
        <w:rFonts w:ascii="Arial" w:hAnsi="Arial" w:hint="default"/>
      </w:rPr>
    </w:lvl>
    <w:lvl w:ilvl="8" w:tplc="965A935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EA6A79"/>
    <w:multiLevelType w:val="hybridMultilevel"/>
    <w:tmpl w:val="D1E26942"/>
    <w:lvl w:ilvl="0" w:tplc="9C1436D6">
      <w:start w:val="1"/>
      <w:numFmt w:val="bullet"/>
      <w:lvlText w:val="•"/>
      <w:lvlJc w:val="left"/>
      <w:pPr>
        <w:tabs>
          <w:tab w:val="num" w:pos="720"/>
        </w:tabs>
        <w:ind w:left="720" w:hanging="360"/>
      </w:pPr>
      <w:rPr>
        <w:rFonts w:ascii="Arial" w:hAnsi="Arial" w:hint="default"/>
      </w:rPr>
    </w:lvl>
    <w:lvl w:ilvl="1" w:tplc="1AEC4B44">
      <w:start w:val="1"/>
      <w:numFmt w:val="bullet"/>
      <w:lvlText w:val="•"/>
      <w:lvlJc w:val="left"/>
      <w:pPr>
        <w:tabs>
          <w:tab w:val="num" w:pos="1440"/>
        </w:tabs>
        <w:ind w:left="1440" w:hanging="360"/>
      </w:pPr>
      <w:rPr>
        <w:rFonts w:ascii="Arial" w:hAnsi="Arial" w:hint="default"/>
      </w:rPr>
    </w:lvl>
    <w:lvl w:ilvl="2" w:tplc="D6CE3028" w:tentative="1">
      <w:start w:val="1"/>
      <w:numFmt w:val="bullet"/>
      <w:lvlText w:val="•"/>
      <w:lvlJc w:val="left"/>
      <w:pPr>
        <w:tabs>
          <w:tab w:val="num" w:pos="2160"/>
        </w:tabs>
        <w:ind w:left="2160" w:hanging="360"/>
      </w:pPr>
      <w:rPr>
        <w:rFonts w:ascii="Arial" w:hAnsi="Arial" w:hint="default"/>
      </w:rPr>
    </w:lvl>
    <w:lvl w:ilvl="3" w:tplc="E3C8F1CA" w:tentative="1">
      <w:start w:val="1"/>
      <w:numFmt w:val="bullet"/>
      <w:lvlText w:val="•"/>
      <w:lvlJc w:val="left"/>
      <w:pPr>
        <w:tabs>
          <w:tab w:val="num" w:pos="2880"/>
        </w:tabs>
        <w:ind w:left="2880" w:hanging="360"/>
      </w:pPr>
      <w:rPr>
        <w:rFonts w:ascii="Arial" w:hAnsi="Arial" w:hint="default"/>
      </w:rPr>
    </w:lvl>
    <w:lvl w:ilvl="4" w:tplc="632E7670" w:tentative="1">
      <w:start w:val="1"/>
      <w:numFmt w:val="bullet"/>
      <w:lvlText w:val="•"/>
      <w:lvlJc w:val="left"/>
      <w:pPr>
        <w:tabs>
          <w:tab w:val="num" w:pos="3600"/>
        </w:tabs>
        <w:ind w:left="3600" w:hanging="360"/>
      </w:pPr>
      <w:rPr>
        <w:rFonts w:ascii="Arial" w:hAnsi="Arial" w:hint="default"/>
      </w:rPr>
    </w:lvl>
    <w:lvl w:ilvl="5" w:tplc="3E34DB82" w:tentative="1">
      <w:start w:val="1"/>
      <w:numFmt w:val="bullet"/>
      <w:lvlText w:val="•"/>
      <w:lvlJc w:val="left"/>
      <w:pPr>
        <w:tabs>
          <w:tab w:val="num" w:pos="4320"/>
        </w:tabs>
        <w:ind w:left="4320" w:hanging="360"/>
      </w:pPr>
      <w:rPr>
        <w:rFonts w:ascii="Arial" w:hAnsi="Arial" w:hint="default"/>
      </w:rPr>
    </w:lvl>
    <w:lvl w:ilvl="6" w:tplc="ABCC6418" w:tentative="1">
      <w:start w:val="1"/>
      <w:numFmt w:val="bullet"/>
      <w:lvlText w:val="•"/>
      <w:lvlJc w:val="left"/>
      <w:pPr>
        <w:tabs>
          <w:tab w:val="num" w:pos="5040"/>
        </w:tabs>
        <w:ind w:left="5040" w:hanging="360"/>
      </w:pPr>
      <w:rPr>
        <w:rFonts w:ascii="Arial" w:hAnsi="Arial" w:hint="default"/>
      </w:rPr>
    </w:lvl>
    <w:lvl w:ilvl="7" w:tplc="66DC8C5A" w:tentative="1">
      <w:start w:val="1"/>
      <w:numFmt w:val="bullet"/>
      <w:lvlText w:val="•"/>
      <w:lvlJc w:val="left"/>
      <w:pPr>
        <w:tabs>
          <w:tab w:val="num" w:pos="5760"/>
        </w:tabs>
        <w:ind w:left="5760" w:hanging="360"/>
      </w:pPr>
      <w:rPr>
        <w:rFonts w:ascii="Arial" w:hAnsi="Arial" w:hint="default"/>
      </w:rPr>
    </w:lvl>
    <w:lvl w:ilvl="8" w:tplc="C7604F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3F1584"/>
    <w:multiLevelType w:val="hybridMultilevel"/>
    <w:tmpl w:val="5470C812"/>
    <w:lvl w:ilvl="0" w:tplc="E8409334">
      <w:start w:val="1"/>
      <w:numFmt w:val="bullet"/>
      <w:lvlText w:val="•"/>
      <w:lvlJc w:val="left"/>
      <w:pPr>
        <w:tabs>
          <w:tab w:val="num" w:pos="720"/>
        </w:tabs>
        <w:ind w:left="720" w:hanging="360"/>
      </w:pPr>
      <w:rPr>
        <w:rFonts w:ascii="Arial" w:hAnsi="Arial" w:hint="default"/>
      </w:rPr>
    </w:lvl>
    <w:lvl w:ilvl="1" w:tplc="9F3E9EA2">
      <w:start w:val="1"/>
      <w:numFmt w:val="bullet"/>
      <w:lvlText w:val="•"/>
      <w:lvlJc w:val="left"/>
      <w:pPr>
        <w:tabs>
          <w:tab w:val="num" w:pos="1440"/>
        </w:tabs>
        <w:ind w:left="1440" w:hanging="360"/>
      </w:pPr>
      <w:rPr>
        <w:rFonts w:ascii="Arial" w:hAnsi="Arial" w:hint="default"/>
      </w:rPr>
    </w:lvl>
    <w:lvl w:ilvl="2" w:tplc="48BA7D42" w:tentative="1">
      <w:start w:val="1"/>
      <w:numFmt w:val="bullet"/>
      <w:lvlText w:val="•"/>
      <w:lvlJc w:val="left"/>
      <w:pPr>
        <w:tabs>
          <w:tab w:val="num" w:pos="2160"/>
        </w:tabs>
        <w:ind w:left="2160" w:hanging="360"/>
      </w:pPr>
      <w:rPr>
        <w:rFonts w:ascii="Arial" w:hAnsi="Arial" w:hint="default"/>
      </w:rPr>
    </w:lvl>
    <w:lvl w:ilvl="3" w:tplc="EDD0FDE8" w:tentative="1">
      <w:start w:val="1"/>
      <w:numFmt w:val="bullet"/>
      <w:lvlText w:val="•"/>
      <w:lvlJc w:val="left"/>
      <w:pPr>
        <w:tabs>
          <w:tab w:val="num" w:pos="2880"/>
        </w:tabs>
        <w:ind w:left="2880" w:hanging="360"/>
      </w:pPr>
      <w:rPr>
        <w:rFonts w:ascii="Arial" w:hAnsi="Arial" w:hint="default"/>
      </w:rPr>
    </w:lvl>
    <w:lvl w:ilvl="4" w:tplc="5F14020E" w:tentative="1">
      <w:start w:val="1"/>
      <w:numFmt w:val="bullet"/>
      <w:lvlText w:val="•"/>
      <w:lvlJc w:val="left"/>
      <w:pPr>
        <w:tabs>
          <w:tab w:val="num" w:pos="3600"/>
        </w:tabs>
        <w:ind w:left="3600" w:hanging="360"/>
      </w:pPr>
      <w:rPr>
        <w:rFonts w:ascii="Arial" w:hAnsi="Arial" w:hint="default"/>
      </w:rPr>
    </w:lvl>
    <w:lvl w:ilvl="5" w:tplc="1E065350" w:tentative="1">
      <w:start w:val="1"/>
      <w:numFmt w:val="bullet"/>
      <w:lvlText w:val="•"/>
      <w:lvlJc w:val="left"/>
      <w:pPr>
        <w:tabs>
          <w:tab w:val="num" w:pos="4320"/>
        </w:tabs>
        <w:ind w:left="4320" w:hanging="360"/>
      </w:pPr>
      <w:rPr>
        <w:rFonts w:ascii="Arial" w:hAnsi="Arial" w:hint="default"/>
      </w:rPr>
    </w:lvl>
    <w:lvl w:ilvl="6" w:tplc="8EC0C7A8" w:tentative="1">
      <w:start w:val="1"/>
      <w:numFmt w:val="bullet"/>
      <w:lvlText w:val="•"/>
      <w:lvlJc w:val="left"/>
      <w:pPr>
        <w:tabs>
          <w:tab w:val="num" w:pos="5040"/>
        </w:tabs>
        <w:ind w:left="5040" w:hanging="360"/>
      </w:pPr>
      <w:rPr>
        <w:rFonts w:ascii="Arial" w:hAnsi="Arial" w:hint="default"/>
      </w:rPr>
    </w:lvl>
    <w:lvl w:ilvl="7" w:tplc="F45CFCF6" w:tentative="1">
      <w:start w:val="1"/>
      <w:numFmt w:val="bullet"/>
      <w:lvlText w:val="•"/>
      <w:lvlJc w:val="left"/>
      <w:pPr>
        <w:tabs>
          <w:tab w:val="num" w:pos="5760"/>
        </w:tabs>
        <w:ind w:left="5760" w:hanging="360"/>
      </w:pPr>
      <w:rPr>
        <w:rFonts w:ascii="Arial" w:hAnsi="Arial" w:hint="default"/>
      </w:rPr>
    </w:lvl>
    <w:lvl w:ilvl="8" w:tplc="12D85D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952744"/>
    <w:multiLevelType w:val="hybridMultilevel"/>
    <w:tmpl w:val="4BF8D24C"/>
    <w:lvl w:ilvl="0" w:tplc="2CE47842">
      <w:start w:val="1"/>
      <w:numFmt w:val="bullet"/>
      <w:lvlText w:val="•"/>
      <w:lvlJc w:val="left"/>
      <w:pPr>
        <w:tabs>
          <w:tab w:val="num" w:pos="720"/>
        </w:tabs>
        <w:ind w:left="720" w:hanging="360"/>
      </w:pPr>
      <w:rPr>
        <w:rFonts w:ascii="Arial" w:hAnsi="Arial" w:hint="default"/>
      </w:rPr>
    </w:lvl>
    <w:lvl w:ilvl="1" w:tplc="F3466CCE">
      <w:start w:val="110"/>
      <w:numFmt w:val="bullet"/>
      <w:lvlText w:val="•"/>
      <w:lvlJc w:val="left"/>
      <w:pPr>
        <w:tabs>
          <w:tab w:val="num" w:pos="1440"/>
        </w:tabs>
        <w:ind w:left="1440" w:hanging="360"/>
      </w:pPr>
      <w:rPr>
        <w:rFonts w:ascii="Arial" w:hAnsi="Arial" w:hint="default"/>
      </w:rPr>
    </w:lvl>
    <w:lvl w:ilvl="2" w:tplc="7FD46EAC" w:tentative="1">
      <w:start w:val="1"/>
      <w:numFmt w:val="bullet"/>
      <w:lvlText w:val="•"/>
      <w:lvlJc w:val="left"/>
      <w:pPr>
        <w:tabs>
          <w:tab w:val="num" w:pos="2160"/>
        </w:tabs>
        <w:ind w:left="2160" w:hanging="360"/>
      </w:pPr>
      <w:rPr>
        <w:rFonts w:ascii="Arial" w:hAnsi="Arial" w:hint="default"/>
      </w:rPr>
    </w:lvl>
    <w:lvl w:ilvl="3" w:tplc="35DA47A6" w:tentative="1">
      <w:start w:val="1"/>
      <w:numFmt w:val="bullet"/>
      <w:lvlText w:val="•"/>
      <w:lvlJc w:val="left"/>
      <w:pPr>
        <w:tabs>
          <w:tab w:val="num" w:pos="2880"/>
        </w:tabs>
        <w:ind w:left="2880" w:hanging="360"/>
      </w:pPr>
      <w:rPr>
        <w:rFonts w:ascii="Arial" w:hAnsi="Arial" w:hint="default"/>
      </w:rPr>
    </w:lvl>
    <w:lvl w:ilvl="4" w:tplc="3DB0DFE4" w:tentative="1">
      <w:start w:val="1"/>
      <w:numFmt w:val="bullet"/>
      <w:lvlText w:val="•"/>
      <w:lvlJc w:val="left"/>
      <w:pPr>
        <w:tabs>
          <w:tab w:val="num" w:pos="3600"/>
        </w:tabs>
        <w:ind w:left="3600" w:hanging="360"/>
      </w:pPr>
      <w:rPr>
        <w:rFonts w:ascii="Arial" w:hAnsi="Arial" w:hint="default"/>
      </w:rPr>
    </w:lvl>
    <w:lvl w:ilvl="5" w:tplc="D0A4A502" w:tentative="1">
      <w:start w:val="1"/>
      <w:numFmt w:val="bullet"/>
      <w:lvlText w:val="•"/>
      <w:lvlJc w:val="left"/>
      <w:pPr>
        <w:tabs>
          <w:tab w:val="num" w:pos="4320"/>
        </w:tabs>
        <w:ind w:left="4320" w:hanging="360"/>
      </w:pPr>
      <w:rPr>
        <w:rFonts w:ascii="Arial" w:hAnsi="Arial" w:hint="default"/>
      </w:rPr>
    </w:lvl>
    <w:lvl w:ilvl="6" w:tplc="E294E37A" w:tentative="1">
      <w:start w:val="1"/>
      <w:numFmt w:val="bullet"/>
      <w:lvlText w:val="•"/>
      <w:lvlJc w:val="left"/>
      <w:pPr>
        <w:tabs>
          <w:tab w:val="num" w:pos="5040"/>
        </w:tabs>
        <w:ind w:left="5040" w:hanging="360"/>
      </w:pPr>
      <w:rPr>
        <w:rFonts w:ascii="Arial" w:hAnsi="Arial" w:hint="default"/>
      </w:rPr>
    </w:lvl>
    <w:lvl w:ilvl="7" w:tplc="67EAEB10" w:tentative="1">
      <w:start w:val="1"/>
      <w:numFmt w:val="bullet"/>
      <w:lvlText w:val="•"/>
      <w:lvlJc w:val="left"/>
      <w:pPr>
        <w:tabs>
          <w:tab w:val="num" w:pos="5760"/>
        </w:tabs>
        <w:ind w:left="5760" w:hanging="360"/>
      </w:pPr>
      <w:rPr>
        <w:rFonts w:ascii="Arial" w:hAnsi="Arial" w:hint="default"/>
      </w:rPr>
    </w:lvl>
    <w:lvl w:ilvl="8" w:tplc="640EDC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42051F"/>
    <w:multiLevelType w:val="hybridMultilevel"/>
    <w:tmpl w:val="41B6469E"/>
    <w:lvl w:ilvl="0" w:tplc="932ECEA4">
      <w:start w:val="1"/>
      <w:numFmt w:val="bullet"/>
      <w:lvlText w:val="•"/>
      <w:lvlJc w:val="left"/>
      <w:pPr>
        <w:tabs>
          <w:tab w:val="num" w:pos="720"/>
        </w:tabs>
        <w:ind w:left="720" w:hanging="360"/>
      </w:pPr>
      <w:rPr>
        <w:rFonts w:ascii="Arial" w:hAnsi="Arial" w:hint="default"/>
      </w:rPr>
    </w:lvl>
    <w:lvl w:ilvl="1" w:tplc="FB1C09D2">
      <w:start w:val="1"/>
      <w:numFmt w:val="bullet"/>
      <w:lvlText w:val="•"/>
      <w:lvlJc w:val="left"/>
      <w:pPr>
        <w:tabs>
          <w:tab w:val="num" w:pos="1440"/>
        </w:tabs>
        <w:ind w:left="1440" w:hanging="360"/>
      </w:pPr>
      <w:rPr>
        <w:rFonts w:ascii="Arial" w:hAnsi="Arial" w:hint="default"/>
      </w:rPr>
    </w:lvl>
    <w:lvl w:ilvl="2" w:tplc="03B81F72" w:tentative="1">
      <w:start w:val="1"/>
      <w:numFmt w:val="bullet"/>
      <w:lvlText w:val="•"/>
      <w:lvlJc w:val="left"/>
      <w:pPr>
        <w:tabs>
          <w:tab w:val="num" w:pos="2160"/>
        </w:tabs>
        <w:ind w:left="2160" w:hanging="360"/>
      </w:pPr>
      <w:rPr>
        <w:rFonts w:ascii="Arial" w:hAnsi="Arial" w:hint="default"/>
      </w:rPr>
    </w:lvl>
    <w:lvl w:ilvl="3" w:tplc="D00A88C6" w:tentative="1">
      <w:start w:val="1"/>
      <w:numFmt w:val="bullet"/>
      <w:lvlText w:val="•"/>
      <w:lvlJc w:val="left"/>
      <w:pPr>
        <w:tabs>
          <w:tab w:val="num" w:pos="2880"/>
        </w:tabs>
        <w:ind w:left="2880" w:hanging="360"/>
      </w:pPr>
      <w:rPr>
        <w:rFonts w:ascii="Arial" w:hAnsi="Arial" w:hint="default"/>
      </w:rPr>
    </w:lvl>
    <w:lvl w:ilvl="4" w:tplc="986CF074" w:tentative="1">
      <w:start w:val="1"/>
      <w:numFmt w:val="bullet"/>
      <w:lvlText w:val="•"/>
      <w:lvlJc w:val="left"/>
      <w:pPr>
        <w:tabs>
          <w:tab w:val="num" w:pos="3600"/>
        </w:tabs>
        <w:ind w:left="3600" w:hanging="360"/>
      </w:pPr>
      <w:rPr>
        <w:rFonts w:ascii="Arial" w:hAnsi="Arial" w:hint="default"/>
      </w:rPr>
    </w:lvl>
    <w:lvl w:ilvl="5" w:tplc="4D0AD5F4" w:tentative="1">
      <w:start w:val="1"/>
      <w:numFmt w:val="bullet"/>
      <w:lvlText w:val="•"/>
      <w:lvlJc w:val="left"/>
      <w:pPr>
        <w:tabs>
          <w:tab w:val="num" w:pos="4320"/>
        </w:tabs>
        <w:ind w:left="4320" w:hanging="360"/>
      </w:pPr>
      <w:rPr>
        <w:rFonts w:ascii="Arial" w:hAnsi="Arial" w:hint="default"/>
      </w:rPr>
    </w:lvl>
    <w:lvl w:ilvl="6" w:tplc="A5564706" w:tentative="1">
      <w:start w:val="1"/>
      <w:numFmt w:val="bullet"/>
      <w:lvlText w:val="•"/>
      <w:lvlJc w:val="left"/>
      <w:pPr>
        <w:tabs>
          <w:tab w:val="num" w:pos="5040"/>
        </w:tabs>
        <w:ind w:left="5040" w:hanging="360"/>
      </w:pPr>
      <w:rPr>
        <w:rFonts w:ascii="Arial" w:hAnsi="Arial" w:hint="default"/>
      </w:rPr>
    </w:lvl>
    <w:lvl w:ilvl="7" w:tplc="48EA9DF8" w:tentative="1">
      <w:start w:val="1"/>
      <w:numFmt w:val="bullet"/>
      <w:lvlText w:val="•"/>
      <w:lvlJc w:val="left"/>
      <w:pPr>
        <w:tabs>
          <w:tab w:val="num" w:pos="5760"/>
        </w:tabs>
        <w:ind w:left="5760" w:hanging="360"/>
      </w:pPr>
      <w:rPr>
        <w:rFonts w:ascii="Arial" w:hAnsi="Arial" w:hint="default"/>
      </w:rPr>
    </w:lvl>
    <w:lvl w:ilvl="8" w:tplc="D624C3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6E3167"/>
    <w:multiLevelType w:val="hybridMultilevel"/>
    <w:tmpl w:val="813ECDE0"/>
    <w:lvl w:ilvl="0" w:tplc="A094F508">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AC689E"/>
    <w:multiLevelType w:val="hybridMultilevel"/>
    <w:tmpl w:val="CED8D75A"/>
    <w:lvl w:ilvl="0" w:tplc="AEC8D1DE">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2"/>
  </w:num>
  <w:num w:numId="4">
    <w:abstractNumId w:val="5"/>
  </w:num>
  <w:num w:numId="5">
    <w:abstractNumId w:val="15"/>
  </w:num>
  <w:num w:numId="6">
    <w:abstractNumId w:val="9"/>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9"/>
    <w:lvlOverride w:ilvl="0">
      <w:startOverride w:val="1"/>
    </w:lvlOverride>
  </w:num>
  <w:num w:numId="12">
    <w:abstractNumId w:val="11"/>
    <w:lvlOverride w:ilvl="0">
      <w:startOverride w:val="1"/>
    </w:lvlOverride>
  </w:num>
  <w:num w:numId="13">
    <w:abstractNumId w:val="9"/>
    <w:lvlOverride w:ilvl="0">
      <w:startOverride w:val="1"/>
    </w:lvlOverride>
  </w:num>
  <w:num w:numId="14">
    <w:abstractNumId w:val="11"/>
    <w:lvlOverride w:ilvl="0">
      <w:startOverride w:val="1"/>
    </w:lvlOverride>
  </w:num>
  <w:num w:numId="15">
    <w:abstractNumId w:val="17"/>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2"/>
  </w:num>
  <w:num w:numId="23">
    <w:abstractNumId w:val="0"/>
  </w:num>
  <w:num w:numId="24">
    <w:abstractNumId w:val="10"/>
  </w:num>
  <w:num w:numId="25">
    <w:abstractNumId w:val="7"/>
  </w:num>
  <w:num w:numId="26">
    <w:abstractNumId w:val="16"/>
  </w:num>
  <w:num w:numId="27">
    <w:abstractNumId w:val="4"/>
  </w:num>
  <w:num w:numId="28">
    <w:abstractNumId w:val="9"/>
    <w:lvlOverride w:ilvl="0">
      <w:startOverride w:val="1"/>
    </w:lvlOverride>
  </w:num>
  <w:num w:numId="29">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42E00"/>
    <w:rsid w:val="00066DCA"/>
    <w:rsid w:val="0008612A"/>
    <w:rsid w:val="000A460D"/>
    <w:rsid w:val="000B0056"/>
    <w:rsid w:val="0010671C"/>
    <w:rsid w:val="001274EF"/>
    <w:rsid w:val="00141D43"/>
    <w:rsid w:val="001745F8"/>
    <w:rsid w:val="00176671"/>
    <w:rsid w:val="001838CF"/>
    <w:rsid w:val="001C2F6D"/>
    <w:rsid w:val="001E30F6"/>
    <w:rsid w:val="00235F5C"/>
    <w:rsid w:val="00251B9A"/>
    <w:rsid w:val="002B4922"/>
    <w:rsid w:val="002B5C89"/>
    <w:rsid w:val="002B7570"/>
    <w:rsid w:val="002C2D19"/>
    <w:rsid w:val="002D10FA"/>
    <w:rsid w:val="002D4C55"/>
    <w:rsid w:val="00363CF1"/>
    <w:rsid w:val="003B659E"/>
    <w:rsid w:val="003F1988"/>
    <w:rsid w:val="00417AA0"/>
    <w:rsid w:val="0043750A"/>
    <w:rsid w:val="004B7B4A"/>
    <w:rsid w:val="004E5E66"/>
    <w:rsid w:val="00503B4D"/>
    <w:rsid w:val="00504EE9"/>
    <w:rsid w:val="005220AC"/>
    <w:rsid w:val="005433E0"/>
    <w:rsid w:val="0054442C"/>
    <w:rsid w:val="00550285"/>
    <w:rsid w:val="00577E81"/>
    <w:rsid w:val="005836F8"/>
    <w:rsid w:val="005918FA"/>
    <w:rsid w:val="005E3125"/>
    <w:rsid w:val="005E61A8"/>
    <w:rsid w:val="005F0F30"/>
    <w:rsid w:val="005F6419"/>
    <w:rsid w:val="00617400"/>
    <w:rsid w:val="006261FA"/>
    <w:rsid w:val="00664950"/>
    <w:rsid w:val="00683220"/>
    <w:rsid w:val="00687FA0"/>
    <w:rsid w:val="006B7010"/>
    <w:rsid w:val="007145FF"/>
    <w:rsid w:val="00751515"/>
    <w:rsid w:val="00785232"/>
    <w:rsid w:val="00794809"/>
    <w:rsid w:val="007C3ED0"/>
    <w:rsid w:val="00806A76"/>
    <w:rsid w:val="00811C9D"/>
    <w:rsid w:val="00816C80"/>
    <w:rsid w:val="0083186C"/>
    <w:rsid w:val="00841BCD"/>
    <w:rsid w:val="008826C1"/>
    <w:rsid w:val="009042BD"/>
    <w:rsid w:val="00977E1D"/>
    <w:rsid w:val="009C003D"/>
    <w:rsid w:val="00A22B78"/>
    <w:rsid w:val="00A25AE5"/>
    <w:rsid w:val="00A37002"/>
    <w:rsid w:val="00A64608"/>
    <w:rsid w:val="00A704F9"/>
    <w:rsid w:val="00AA1B0E"/>
    <w:rsid w:val="00AC5CA7"/>
    <w:rsid w:val="00AD58AB"/>
    <w:rsid w:val="00AE2B1A"/>
    <w:rsid w:val="00AE56B1"/>
    <w:rsid w:val="00B73862"/>
    <w:rsid w:val="00BA4CF5"/>
    <w:rsid w:val="00BA6900"/>
    <w:rsid w:val="00BA6E48"/>
    <w:rsid w:val="00BA724E"/>
    <w:rsid w:val="00BF2218"/>
    <w:rsid w:val="00C259A6"/>
    <w:rsid w:val="00C52E7F"/>
    <w:rsid w:val="00C55740"/>
    <w:rsid w:val="00C70A68"/>
    <w:rsid w:val="00C77B77"/>
    <w:rsid w:val="00C94120"/>
    <w:rsid w:val="00CD7492"/>
    <w:rsid w:val="00CE3A6B"/>
    <w:rsid w:val="00D00211"/>
    <w:rsid w:val="00D06309"/>
    <w:rsid w:val="00D27872"/>
    <w:rsid w:val="00D351EA"/>
    <w:rsid w:val="00D359A5"/>
    <w:rsid w:val="00D43403"/>
    <w:rsid w:val="00D54F40"/>
    <w:rsid w:val="00D62E71"/>
    <w:rsid w:val="00D740CA"/>
    <w:rsid w:val="00D85728"/>
    <w:rsid w:val="00D97F4E"/>
    <w:rsid w:val="00DA2EF9"/>
    <w:rsid w:val="00DD5011"/>
    <w:rsid w:val="00DD555A"/>
    <w:rsid w:val="00DF1963"/>
    <w:rsid w:val="00DF2997"/>
    <w:rsid w:val="00E92382"/>
    <w:rsid w:val="00EA17AC"/>
    <w:rsid w:val="00EC7BC3"/>
    <w:rsid w:val="00ED7600"/>
    <w:rsid w:val="00EF2A70"/>
    <w:rsid w:val="00F1362C"/>
    <w:rsid w:val="00F57F42"/>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8040">
      <w:bodyDiv w:val="1"/>
      <w:marLeft w:val="0"/>
      <w:marRight w:val="0"/>
      <w:marTop w:val="0"/>
      <w:marBottom w:val="0"/>
      <w:divBdr>
        <w:top w:val="none" w:sz="0" w:space="0" w:color="auto"/>
        <w:left w:val="none" w:sz="0" w:space="0" w:color="auto"/>
        <w:bottom w:val="none" w:sz="0" w:space="0" w:color="auto"/>
        <w:right w:val="none" w:sz="0" w:space="0" w:color="auto"/>
      </w:divBdr>
    </w:div>
    <w:div w:id="143209041">
      <w:bodyDiv w:val="1"/>
      <w:marLeft w:val="0"/>
      <w:marRight w:val="0"/>
      <w:marTop w:val="0"/>
      <w:marBottom w:val="0"/>
      <w:divBdr>
        <w:top w:val="none" w:sz="0" w:space="0" w:color="auto"/>
        <w:left w:val="none" w:sz="0" w:space="0" w:color="auto"/>
        <w:bottom w:val="none" w:sz="0" w:space="0" w:color="auto"/>
        <w:right w:val="none" w:sz="0" w:space="0" w:color="auto"/>
      </w:divBdr>
      <w:divsChild>
        <w:div w:id="2136172437">
          <w:marLeft w:val="1166"/>
          <w:marRight w:val="0"/>
          <w:marTop w:val="0"/>
          <w:marBottom w:val="0"/>
          <w:divBdr>
            <w:top w:val="none" w:sz="0" w:space="0" w:color="auto"/>
            <w:left w:val="none" w:sz="0" w:space="0" w:color="auto"/>
            <w:bottom w:val="none" w:sz="0" w:space="0" w:color="auto"/>
            <w:right w:val="none" w:sz="0" w:space="0" w:color="auto"/>
          </w:divBdr>
        </w:div>
        <w:div w:id="2123107111">
          <w:marLeft w:val="1166"/>
          <w:marRight w:val="0"/>
          <w:marTop w:val="0"/>
          <w:marBottom w:val="0"/>
          <w:divBdr>
            <w:top w:val="none" w:sz="0" w:space="0" w:color="auto"/>
            <w:left w:val="none" w:sz="0" w:space="0" w:color="auto"/>
            <w:bottom w:val="none" w:sz="0" w:space="0" w:color="auto"/>
            <w:right w:val="none" w:sz="0" w:space="0" w:color="auto"/>
          </w:divBdr>
        </w:div>
        <w:div w:id="1529758391">
          <w:marLeft w:val="1267"/>
          <w:marRight w:val="0"/>
          <w:marTop w:val="0"/>
          <w:marBottom w:val="0"/>
          <w:divBdr>
            <w:top w:val="none" w:sz="0" w:space="0" w:color="auto"/>
            <w:left w:val="none" w:sz="0" w:space="0" w:color="auto"/>
            <w:bottom w:val="none" w:sz="0" w:space="0" w:color="auto"/>
            <w:right w:val="none" w:sz="0" w:space="0" w:color="auto"/>
          </w:divBdr>
        </w:div>
        <w:div w:id="1796675203">
          <w:marLeft w:val="1267"/>
          <w:marRight w:val="0"/>
          <w:marTop w:val="0"/>
          <w:marBottom w:val="0"/>
          <w:divBdr>
            <w:top w:val="none" w:sz="0" w:space="0" w:color="auto"/>
            <w:left w:val="none" w:sz="0" w:space="0" w:color="auto"/>
            <w:bottom w:val="none" w:sz="0" w:space="0" w:color="auto"/>
            <w:right w:val="none" w:sz="0" w:space="0" w:color="auto"/>
          </w:divBdr>
        </w:div>
        <w:div w:id="949748146">
          <w:marLeft w:val="1267"/>
          <w:marRight w:val="0"/>
          <w:marTop w:val="0"/>
          <w:marBottom w:val="0"/>
          <w:divBdr>
            <w:top w:val="none" w:sz="0" w:space="0" w:color="auto"/>
            <w:left w:val="none" w:sz="0" w:space="0" w:color="auto"/>
            <w:bottom w:val="none" w:sz="0" w:space="0" w:color="auto"/>
            <w:right w:val="none" w:sz="0" w:space="0" w:color="auto"/>
          </w:divBdr>
        </w:div>
        <w:div w:id="1614553486">
          <w:marLeft w:val="1267"/>
          <w:marRight w:val="0"/>
          <w:marTop w:val="0"/>
          <w:marBottom w:val="0"/>
          <w:divBdr>
            <w:top w:val="none" w:sz="0" w:space="0" w:color="auto"/>
            <w:left w:val="none" w:sz="0" w:space="0" w:color="auto"/>
            <w:bottom w:val="none" w:sz="0" w:space="0" w:color="auto"/>
            <w:right w:val="none" w:sz="0" w:space="0" w:color="auto"/>
          </w:divBdr>
        </w:div>
        <w:div w:id="1301839637">
          <w:marLeft w:val="1267"/>
          <w:marRight w:val="0"/>
          <w:marTop w:val="0"/>
          <w:marBottom w:val="0"/>
          <w:divBdr>
            <w:top w:val="none" w:sz="0" w:space="0" w:color="auto"/>
            <w:left w:val="none" w:sz="0" w:space="0" w:color="auto"/>
            <w:bottom w:val="none" w:sz="0" w:space="0" w:color="auto"/>
            <w:right w:val="none" w:sz="0" w:space="0" w:color="auto"/>
          </w:divBdr>
        </w:div>
      </w:divsChild>
    </w:div>
    <w:div w:id="737436016">
      <w:bodyDiv w:val="1"/>
      <w:marLeft w:val="0"/>
      <w:marRight w:val="0"/>
      <w:marTop w:val="0"/>
      <w:marBottom w:val="0"/>
      <w:divBdr>
        <w:top w:val="none" w:sz="0" w:space="0" w:color="auto"/>
        <w:left w:val="none" w:sz="0" w:space="0" w:color="auto"/>
        <w:bottom w:val="none" w:sz="0" w:space="0" w:color="auto"/>
        <w:right w:val="none" w:sz="0" w:space="0" w:color="auto"/>
      </w:divBdr>
      <w:divsChild>
        <w:div w:id="771969909">
          <w:marLeft w:val="1267"/>
          <w:marRight w:val="0"/>
          <w:marTop w:val="0"/>
          <w:marBottom w:val="0"/>
          <w:divBdr>
            <w:top w:val="none" w:sz="0" w:space="0" w:color="auto"/>
            <w:left w:val="none" w:sz="0" w:space="0" w:color="auto"/>
            <w:bottom w:val="none" w:sz="0" w:space="0" w:color="auto"/>
            <w:right w:val="none" w:sz="0" w:space="0" w:color="auto"/>
          </w:divBdr>
        </w:div>
        <w:div w:id="623271320">
          <w:marLeft w:val="1267"/>
          <w:marRight w:val="0"/>
          <w:marTop w:val="0"/>
          <w:marBottom w:val="0"/>
          <w:divBdr>
            <w:top w:val="none" w:sz="0" w:space="0" w:color="auto"/>
            <w:left w:val="none" w:sz="0" w:space="0" w:color="auto"/>
            <w:bottom w:val="none" w:sz="0" w:space="0" w:color="auto"/>
            <w:right w:val="none" w:sz="0" w:space="0" w:color="auto"/>
          </w:divBdr>
        </w:div>
        <w:div w:id="217520584">
          <w:marLeft w:val="1267"/>
          <w:marRight w:val="0"/>
          <w:marTop w:val="0"/>
          <w:marBottom w:val="0"/>
          <w:divBdr>
            <w:top w:val="none" w:sz="0" w:space="0" w:color="auto"/>
            <w:left w:val="none" w:sz="0" w:space="0" w:color="auto"/>
            <w:bottom w:val="none" w:sz="0" w:space="0" w:color="auto"/>
            <w:right w:val="none" w:sz="0" w:space="0" w:color="auto"/>
          </w:divBdr>
        </w:div>
      </w:divsChild>
    </w:div>
    <w:div w:id="2007584329">
      <w:bodyDiv w:val="1"/>
      <w:marLeft w:val="0"/>
      <w:marRight w:val="0"/>
      <w:marTop w:val="0"/>
      <w:marBottom w:val="0"/>
      <w:divBdr>
        <w:top w:val="none" w:sz="0" w:space="0" w:color="auto"/>
        <w:left w:val="none" w:sz="0" w:space="0" w:color="auto"/>
        <w:bottom w:val="none" w:sz="0" w:space="0" w:color="auto"/>
        <w:right w:val="none" w:sz="0" w:space="0" w:color="auto"/>
      </w:divBdr>
      <w:divsChild>
        <w:div w:id="2072804983">
          <w:marLeft w:val="1166"/>
          <w:marRight w:val="0"/>
          <w:marTop w:val="0"/>
          <w:marBottom w:val="0"/>
          <w:divBdr>
            <w:top w:val="none" w:sz="0" w:space="0" w:color="auto"/>
            <w:left w:val="none" w:sz="0" w:space="0" w:color="auto"/>
            <w:bottom w:val="none" w:sz="0" w:space="0" w:color="auto"/>
            <w:right w:val="none" w:sz="0" w:space="0" w:color="auto"/>
          </w:divBdr>
        </w:div>
        <w:div w:id="181478703">
          <w:marLeft w:val="1166"/>
          <w:marRight w:val="0"/>
          <w:marTop w:val="0"/>
          <w:marBottom w:val="0"/>
          <w:divBdr>
            <w:top w:val="none" w:sz="0" w:space="0" w:color="auto"/>
            <w:left w:val="none" w:sz="0" w:space="0" w:color="auto"/>
            <w:bottom w:val="none" w:sz="0" w:space="0" w:color="auto"/>
            <w:right w:val="none" w:sz="0" w:space="0" w:color="auto"/>
          </w:divBdr>
        </w:div>
        <w:div w:id="524486724">
          <w:marLeft w:val="1267"/>
          <w:marRight w:val="0"/>
          <w:marTop w:val="0"/>
          <w:marBottom w:val="0"/>
          <w:divBdr>
            <w:top w:val="none" w:sz="0" w:space="0" w:color="auto"/>
            <w:left w:val="none" w:sz="0" w:space="0" w:color="auto"/>
            <w:bottom w:val="none" w:sz="0" w:space="0" w:color="auto"/>
            <w:right w:val="none" w:sz="0" w:space="0" w:color="auto"/>
          </w:divBdr>
        </w:div>
        <w:div w:id="1165632990">
          <w:marLeft w:val="1267"/>
          <w:marRight w:val="0"/>
          <w:marTop w:val="0"/>
          <w:marBottom w:val="0"/>
          <w:divBdr>
            <w:top w:val="none" w:sz="0" w:space="0" w:color="auto"/>
            <w:left w:val="none" w:sz="0" w:space="0" w:color="auto"/>
            <w:bottom w:val="none" w:sz="0" w:space="0" w:color="auto"/>
            <w:right w:val="none" w:sz="0" w:space="0" w:color="auto"/>
          </w:divBdr>
        </w:div>
        <w:div w:id="293601930">
          <w:marLeft w:val="1267"/>
          <w:marRight w:val="0"/>
          <w:marTop w:val="0"/>
          <w:marBottom w:val="0"/>
          <w:divBdr>
            <w:top w:val="none" w:sz="0" w:space="0" w:color="auto"/>
            <w:left w:val="none" w:sz="0" w:space="0" w:color="auto"/>
            <w:bottom w:val="none" w:sz="0" w:space="0" w:color="auto"/>
            <w:right w:val="none" w:sz="0" w:space="0" w:color="auto"/>
          </w:divBdr>
        </w:div>
        <w:div w:id="351808445">
          <w:marLeft w:val="1267"/>
          <w:marRight w:val="0"/>
          <w:marTop w:val="0"/>
          <w:marBottom w:val="0"/>
          <w:divBdr>
            <w:top w:val="none" w:sz="0" w:space="0" w:color="auto"/>
            <w:left w:val="none" w:sz="0" w:space="0" w:color="auto"/>
            <w:bottom w:val="none" w:sz="0" w:space="0" w:color="auto"/>
            <w:right w:val="none" w:sz="0" w:space="0" w:color="auto"/>
          </w:divBdr>
        </w:div>
        <w:div w:id="62069365">
          <w:marLeft w:val="1267"/>
          <w:marRight w:val="0"/>
          <w:marTop w:val="0"/>
          <w:marBottom w:val="0"/>
          <w:divBdr>
            <w:top w:val="none" w:sz="0" w:space="0" w:color="auto"/>
            <w:left w:val="none" w:sz="0" w:space="0" w:color="auto"/>
            <w:bottom w:val="none" w:sz="0" w:space="0" w:color="auto"/>
            <w:right w:val="none" w:sz="0" w:space="0" w:color="auto"/>
          </w:divBdr>
        </w:div>
      </w:divsChild>
    </w:div>
    <w:div w:id="2015301552">
      <w:bodyDiv w:val="1"/>
      <w:marLeft w:val="0"/>
      <w:marRight w:val="0"/>
      <w:marTop w:val="0"/>
      <w:marBottom w:val="0"/>
      <w:divBdr>
        <w:top w:val="none" w:sz="0" w:space="0" w:color="auto"/>
        <w:left w:val="none" w:sz="0" w:space="0" w:color="auto"/>
        <w:bottom w:val="none" w:sz="0" w:space="0" w:color="auto"/>
        <w:right w:val="none" w:sz="0" w:space="0" w:color="auto"/>
      </w:divBdr>
      <w:divsChild>
        <w:div w:id="1738700656">
          <w:marLeft w:val="547"/>
          <w:marRight w:val="0"/>
          <w:marTop w:val="0"/>
          <w:marBottom w:val="0"/>
          <w:divBdr>
            <w:top w:val="none" w:sz="0" w:space="0" w:color="auto"/>
            <w:left w:val="none" w:sz="0" w:space="0" w:color="auto"/>
            <w:bottom w:val="none" w:sz="0" w:space="0" w:color="auto"/>
            <w:right w:val="none" w:sz="0" w:space="0" w:color="auto"/>
          </w:divBdr>
        </w:div>
        <w:div w:id="1274675682">
          <w:marLeft w:val="547"/>
          <w:marRight w:val="0"/>
          <w:marTop w:val="0"/>
          <w:marBottom w:val="0"/>
          <w:divBdr>
            <w:top w:val="none" w:sz="0" w:space="0" w:color="auto"/>
            <w:left w:val="none" w:sz="0" w:space="0" w:color="auto"/>
            <w:bottom w:val="none" w:sz="0" w:space="0" w:color="auto"/>
            <w:right w:val="none" w:sz="0" w:space="0" w:color="auto"/>
          </w:divBdr>
        </w:div>
        <w:div w:id="780028910">
          <w:marLeft w:val="1267"/>
          <w:marRight w:val="0"/>
          <w:marTop w:val="0"/>
          <w:marBottom w:val="0"/>
          <w:divBdr>
            <w:top w:val="none" w:sz="0" w:space="0" w:color="auto"/>
            <w:left w:val="none" w:sz="0" w:space="0" w:color="auto"/>
            <w:bottom w:val="none" w:sz="0" w:space="0" w:color="auto"/>
            <w:right w:val="none" w:sz="0" w:space="0" w:color="auto"/>
          </w:divBdr>
        </w:div>
        <w:div w:id="954408344">
          <w:marLeft w:val="1267"/>
          <w:marRight w:val="0"/>
          <w:marTop w:val="0"/>
          <w:marBottom w:val="0"/>
          <w:divBdr>
            <w:top w:val="none" w:sz="0" w:space="0" w:color="auto"/>
            <w:left w:val="none" w:sz="0" w:space="0" w:color="auto"/>
            <w:bottom w:val="none" w:sz="0" w:space="0" w:color="auto"/>
            <w:right w:val="none" w:sz="0" w:space="0" w:color="auto"/>
          </w:divBdr>
        </w:div>
        <w:div w:id="183634031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BE924-7075-4EF3-ADD3-3B4CE80C93C2}">
  <ds:schemaRefs>
    <ds:schemaRef ds:uri="Microsoft.SharePoint.Taxonomy.ContentTypeSync"/>
  </ds:schemaRefs>
</ds:datastoreItem>
</file>

<file path=customXml/itemProps2.xml><?xml version="1.0" encoding="utf-8"?>
<ds:datastoreItem xmlns:ds="http://schemas.openxmlformats.org/officeDocument/2006/customXml" ds:itemID="{8FA6EF0D-58F5-45B7-A322-C838BBD6138D}">
  <ds:schemaRefs>
    <ds:schemaRef ds:uri="http://schemas.microsoft.com/sharepoint/events"/>
  </ds:schemaRefs>
</ds:datastoreItem>
</file>

<file path=customXml/itemProps3.xml><?xml version="1.0" encoding="utf-8"?>
<ds:datastoreItem xmlns:ds="http://schemas.openxmlformats.org/officeDocument/2006/customXml" ds:itemID="{334B550E-859F-4C06-99FE-CFF9F18963E5}">
  <ds:schemaRefs>
    <ds:schemaRef ds:uri="http://schemas.microsoft.com/sharepoint/v3/contenttype/forms"/>
  </ds:schemaRefs>
</ds:datastoreItem>
</file>

<file path=customXml/itemProps4.xml><?xml version="1.0" encoding="utf-8"?>
<ds:datastoreItem xmlns:ds="http://schemas.openxmlformats.org/officeDocument/2006/customXml" ds:itemID="{88B5DE0C-BAB6-450B-965B-2F4D6C39FC55}">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B03A4E01-E26D-4345-9B1A-629A2EBA9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32F139-62E7-4E46-8618-6B5BE0658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1482</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2020-04-10T17:10:00Z</dcterms:created>
  <dcterms:modified xsi:type="dcterms:W3CDTF">2020-04-10T17:10:00Z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