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7293BB8C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017ED1">
        <w:rPr>
          <w:rFonts w:ascii="Arial" w:hAnsi="Arial" w:cs="Arial"/>
          <w:b/>
          <w:sz w:val="24"/>
          <w:szCs w:val="28"/>
          <w:lang w:val="en-US"/>
        </w:rPr>
        <w:t>-e-Bis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7D079E" w:rsidRPr="007D079E">
        <w:rPr>
          <w:rFonts w:ascii="Arial" w:hAnsi="Arial" w:cs="Arial"/>
          <w:b/>
          <w:sz w:val="24"/>
          <w:szCs w:val="28"/>
          <w:lang w:val="en-US"/>
        </w:rPr>
        <w:t>R4-2004194</w:t>
      </w:r>
      <w:bookmarkStart w:id="1" w:name="_GoBack"/>
      <w:bookmarkEnd w:id="1"/>
    </w:p>
    <w:p w14:paraId="60407F1B" w14:textId="63E1ACAF" w:rsidR="00CC6F36" w:rsidRPr="00EE6163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DD54AC">
        <w:rPr>
          <w:rFonts w:ascii="Arial" w:hAnsi="Arial" w:cs="Arial"/>
          <w:b/>
          <w:sz w:val="24"/>
          <w:szCs w:val="28"/>
          <w:lang w:val="en-US"/>
        </w:rPr>
        <w:t>April 20-30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C174EF7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EB32E8">
        <w:rPr>
          <w:rFonts w:ascii="Arial" w:hAnsi="Arial" w:cs="Arial"/>
          <w:sz w:val="22"/>
          <w:szCs w:val="22"/>
          <w:lang w:val="en-US"/>
        </w:rPr>
        <w:t>5.11.3.4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2667401D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EB32E8" w:rsidRPr="00EB32E8">
        <w:rPr>
          <w:rFonts w:ascii="Arial" w:hAnsi="Arial" w:cs="Arial"/>
          <w:sz w:val="22"/>
          <w:szCs w:val="22"/>
        </w:rPr>
        <w:t>Analysis of NTA offset under NR and NB-IoT coexistence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EA2A11">
        <w:rPr>
          <w:sz w:val="36"/>
          <w:szCs w:val="36"/>
        </w:rPr>
        <w:t>Introduction</w:t>
      </w:r>
    </w:p>
    <w:p w14:paraId="305ADDDE" w14:textId="59623AC8" w:rsidR="006E0C2C" w:rsidRDefault="004A637A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in-band mode of NB-IoT can be operated within the bandwidth of an NR cell. This is </w:t>
      </w:r>
      <w:r w:rsidR="00407032">
        <w:rPr>
          <w:sz w:val="22"/>
          <w:szCs w:val="22"/>
          <w:lang w:val="en-US"/>
        </w:rPr>
        <w:t>familiarly called as NB-IoT-NR coexistence. This has no impact on RRM requirements for NB-IoT. However, it has been identified to clarify the applicable N</w:t>
      </w:r>
      <w:r w:rsidR="00407032" w:rsidRPr="00407032">
        <w:rPr>
          <w:sz w:val="22"/>
          <w:szCs w:val="22"/>
          <w:vertAlign w:val="subscript"/>
          <w:lang w:val="en-US"/>
        </w:rPr>
        <w:t>TA offset</w:t>
      </w:r>
      <w:r w:rsidR="00407032">
        <w:rPr>
          <w:sz w:val="22"/>
          <w:szCs w:val="22"/>
          <w:lang w:val="en-US"/>
        </w:rPr>
        <w:t xml:space="preserve"> to be applied by an NR UE when the NB-IoT and NR coexists on the same NR carrier e.g. within the BW of the NR carrier such as in NB-IoT in-band mode</w:t>
      </w:r>
      <w:r w:rsidR="00EF3075">
        <w:rPr>
          <w:sz w:val="22"/>
          <w:szCs w:val="22"/>
          <w:lang w:val="en-US"/>
        </w:rPr>
        <w:t xml:space="preserve"> [1-2]</w:t>
      </w:r>
      <w:r w:rsidR="00407032">
        <w:rPr>
          <w:sz w:val="22"/>
          <w:szCs w:val="22"/>
          <w:lang w:val="en-US"/>
        </w:rPr>
        <w:t>.</w:t>
      </w:r>
    </w:p>
    <w:p w14:paraId="6FC1710D" w14:textId="512BFF6C" w:rsidR="0055506E" w:rsidRDefault="00866CC5" w:rsidP="008F549F">
      <w:pPr>
        <w:spacing w:before="24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 xml:space="preserve">In this paper we </w:t>
      </w:r>
      <w:r w:rsidR="00A3788C">
        <w:rPr>
          <w:sz w:val="22"/>
          <w:szCs w:val="22"/>
          <w:lang w:val="en-US"/>
        </w:rPr>
        <w:t xml:space="preserve">analyze the </w:t>
      </w:r>
      <w:r w:rsidR="00407032">
        <w:rPr>
          <w:sz w:val="22"/>
          <w:szCs w:val="22"/>
          <w:lang w:val="en-US"/>
        </w:rPr>
        <w:t>applicability of N</w:t>
      </w:r>
      <w:r w:rsidR="00407032" w:rsidRPr="00407032">
        <w:rPr>
          <w:sz w:val="22"/>
          <w:szCs w:val="22"/>
          <w:vertAlign w:val="subscript"/>
          <w:lang w:val="en-US"/>
        </w:rPr>
        <w:t>TA offset</w:t>
      </w:r>
      <w:r w:rsidR="00407032">
        <w:rPr>
          <w:sz w:val="22"/>
          <w:szCs w:val="22"/>
          <w:lang w:val="en-US"/>
        </w:rPr>
        <w:t xml:space="preserve"> under NB-IoT-NR coexistence scenario and expressed our views based on the analysis</w:t>
      </w:r>
      <w:r w:rsidRPr="003052E9">
        <w:rPr>
          <w:sz w:val="22"/>
          <w:szCs w:val="22"/>
          <w:lang w:val="en-US"/>
        </w:rPr>
        <w:t xml:space="preserve">. </w:t>
      </w:r>
    </w:p>
    <w:p w14:paraId="078AC74E" w14:textId="32C60349" w:rsidR="0055506E" w:rsidRDefault="00407032" w:rsidP="0055506E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Analysis of UE timing in NB-IoT-NR Coexistence</w:t>
      </w:r>
    </w:p>
    <w:p w14:paraId="3A011305" w14:textId="77777777" w:rsidR="005B4247" w:rsidRDefault="005B4247" w:rsidP="005B4247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The </w:t>
      </w:r>
      <w:r>
        <w:rPr>
          <w:sz w:val="22"/>
          <w:szCs w:val="22"/>
          <w:lang w:val="en-US"/>
        </w:rPr>
        <w:t>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vertAlign w:val="subscript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specifies a fixed time offset before which the uplink frame </w:t>
      </w:r>
      <w:r w:rsidRPr="008947AB">
        <w:rPr>
          <w:i/>
          <w:iCs/>
          <w:sz w:val="22"/>
          <w:szCs w:val="22"/>
          <w:lang w:val="en-US"/>
        </w:rPr>
        <w:t>i</w:t>
      </w:r>
      <w:r>
        <w:rPr>
          <w:sz w:val="22"/>
          <w:szCs w:val="22"/>
          <w:lang w:val="en-US"/>
        </w:rPr>
        <w:t xml:space="preserve"> start before the corresponding downlink frame </w:t>
      </w:r>
      <w:r w:rsidRPr="008947AB">
        <w:rPr>
          <w:i/>
          <w:iCs/>
          <w:sz w:val="22"/>
          <w:szCs w:val="22"/>
          <w:lang w:val="en-US"/>
        </w:rPr>
        <w:t>i</w:t>
      </w:r>
      <w:r>
        <w:rPr>
          <w:sz w:val="22"/>
          <w:szCs w:val="22"/>
          <w:lang w:val="en-US"/>
        </w:rPr>
        <w:t xml:space="preserve">. </w:t>
      </w:r>
    </w:p>
    <w:p w14:paraId="6C18501A" w14:textId="77777777" w:rsidR="005B4247" w:rsidRDefault="00407032" w:rsidP="005B424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NR FR1 the UE can be configured with one of the three possible </w:t>
      </w:r>
      <w:r>
        <w:rPr>
          <w:sz w:val="22"/>
          <w:szCs w:val="22"/>
          <w:lang w:val="en-US"/>
        </w:rPr>
        <w:t>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lang w:val="en-US"/>
        </w:rPr>
        <w:t xml:space="preserve"> values (0, </w:t>
      </w:r>
      <w:r w:rsidRPr="00407032">
        <w:rPr>
          <w:sz w:val="22"/>
          <w:szCs w:val="22"/>
        </w:rPr>
        <w:t xml:space="preserve">25600 </w:t>
      </w:r>
      <w:r>
        <w:rPr>
          <w:sz w:val="22"/>
          <w:szCs w:val="22"/>
        </w:rPr>
        <w:t xml:space="preserve">Tc and </w:t>
      </w:r>
      <w:r w:rsidRPr="00407032">
        <w:rPr>
          <w:sz w:val="22"/>
          <w:szCs w:val="22"/>
        </w:rPr>
        <w:t>39936</w:t>
      </w:r>
      <w:r>
        <w:rPr>
          <w:sz w:val="22"/>
          <w:szCs w:val="22"/>
        </w:rPr>
        <w:t xml:space="preserve"> Tc), which the UE applies to its uplink timing for uplink transmission. The default value in FR1 (if </w:t>
      </w:r>
      <w:r>
        <w:rPr>
          <w:sz w:val="22"/>
          <w:szCs w:val="22"/>
          <w:lang w:val="en-US"/>
        </w:rPr>
        <w:t>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is not signalled) is </w:t>
      </w:r>
      <w:r w:rsidRPr="00407032">
        <w:rPr>
          <w:sz w:val="22"/>
          <w:szCs w:val="22"/>
        </w:rPr>
        <w:t xml:space="preserve">25600 </w:t>
      </w:r>
      <w:r>
        <w:rPr>
          <w:sz w:val="22"/>
          <w:szCs w:val="22"/>
        </w:rPr>
        <w:t>Tc (</w:t>
      </w:r>
      <w:r>
        <w:rPr>
          <w:sz w:val="22"/>
          <w:szCs w:val="22"/>
        </w:rPr>
        <w:sym w:font="Symbol" w:char="F0BB"/>
      </w:r>
      <w:r>
        <w:rPr>
          <w:sz w:val="22"/>
          <w:szCs w:val="22"/>
        </w:rPr>
        <w:t xml:space="preserve"> 13 µs).</w:t>
      </w:r>
    </w:p>
    <w:p w14:paraId="75A74713" w14:textId="77777777" w:rsidR="003C3889" w:rsidRDefault="005B4247" w:rsidP="003C3889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For NB-IoT operation in FDD band (standalone or within LTE BW) the NB-IoT UE applies </w:t>
      </w:r>
      <w:r>
        <w:rPr>
          <w:sz w:val="22"/>
          <w:szCs w:val="22"/>
          <w:lang w:val="en-US"/>
        </w:rPr>
        <w:t>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of 0 to its uplink timing for uplink transmission. For NB-IoT operation in TDD band (standalone or within LTE BW) the NB-IoT UE applies </w:t>
      </w:r>
      <w:r>
        <w:rPr>
          <w:sz w:val="22"/>
          <w:szCs w:val="22"/>
          <w:lang w:val="en-US"/>
        </w:rPr>
        <w:t>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of 20 µs (624 Ts </w:t>
      </w:r>
      <w:r>
        <w:rPr>
          <w:sz w:val="22"/>
          <w:szCs w:val="22"/>
        </w:rPr>
        <w:sym w:font="Symbol" w:char="F0BB"/>
      </w:r>
      <w:r>
        <w:rPr>
          <w:sz w:val="22"/>
          <w:szCs w:val="22"/>
        </w:rPr>
        <w:t xml:space="preserve"> 39936 Tc)</w:t>
      </w:r>
      <w:r w:rsidRPr="005B4247">
        <w:rPr>
          <w:sz w:val="22"/>
          <w:szCs w:val="22"/>
        </w:rPr>
        <w:t xml:space="preserve"> </w:t>
      </w:r>
      <w:r>
        <w:rPr>
          <w:sz w:val="22"/>
          <w:szCs w:val="22"/>
        </w:rPr>
        <w:t>to its uplink timing for uplink transmission. In general</w:t>
      </w:r>
      <w:r w:rsidR="0035522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the NB-IoT UE applies the same </w:t>
      </w:r>
      <w:r>
        <w:rPr>
          <w:sz w:val="22"/>
          <w:szCs w:val="22"/>
          <w:lang w:val="en-US"/>
        </w:rPr>
        <w:t>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lang w:val="en-US"/>
        </w:rPr>
        <w:t xml:space="preserve"> as applied by the LTE UE. Therefore, when NB-IoT operates within the NR bandwidth, the </w:t>
      </w:r>
      <w:r>
        <w:rPr>
          <w:sz w:val="22"/>
          <w:szCs w:val="22"/>
        </w:rPr>
        <w:t xml:space="preserve">NB-IoT UE shall apply the same </w:t>
      </w:r>
      <w:r>
        <w:rPr>
          <w:sz w:val="22"/>
          <w:szCs w:val="22"/>
          <w:lang w:val="en-US"/>
        </w:rPr>
        <w:t>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lang w:val="en-US"/>
        </w:rPr>
        <w:t xml:space="preserve"> as legacy </w:t>
      </w:r>
      <w:r>
        <w:rPr>
          <w:sz w:val="22"/>
          <w:szCs w:val="22"/>
        </w:rPr>
        <w:t>NB-IoT UE (0 in FDD band or 20 µs (624 Ts).</w:t>
      </w:r>
      <w:r w:rsidR="0035522B">
        <w:rPr>
          <w:sz w:val="22"/>
          <w:szCs w:val="22"/>
        </w:rPr>
        <w:t xml:space="preserve"> </w:t>
      </w:r>
      <w:r w:rsidR="003C3889">
        <w:rPr>
          <w:sz w:val="22"/>
          <w:szCs w:val="22"/>
        </w:rPr>
        <w:t xml:space="preserve">This implies that in NB-IoT and NR coexistence scenario, the NR UE applies the </w:t>
      </w:r>
      <w:r w:rsidR="003C3889">
        <w:rPr>
          <w:sz w:val="22"/>
          <w:szCs w:val="22"/>
          <w:lang w:val="en-US"/>
        </w:rPr>
        <w:t>N</w:t>
      </w:r>
      <w:r w:rsidR="003C3889" w:rsidRPr="00407032">
        <w:rPr>
          <w:sz w:val="22"/>
          <w:szCs w:val="22"/>
          <w:vertAlign w:val="subscript"/>
          <w:lang w:val="en-US"/>
        </w:rPr>
        <w:t>TA offset</w:t>
      </w:r>
      <w:r w:rsidR="003C3889">
        <w:rPr>
          <w:sz w:val="22"/>
          <w:szCs w:val="22"/>
          <w:lang w:val="en-US"/>
        </w:rPr>
        <w:t xml:space="preserve"> </w:t>
      </w:r>
      <w:r w:rsidR="003C3889">
        <w:rPr>
          <w:sz w:val="22"/>
          <w:szCs w:val="22"/>
        </w:rPr>
        <w:t xml:space="preserve">to its uplink timing for uplink transmission corresponding to that of the NB-IoT UE. </w:t>
      </w:r>
    </w:p>
    <w:p w14:paraId="499FE31B" w14:textId="3885FA95" w:rsidR="005B4247" w:rsidRPr="005B4247" w:rsidRDefault="003C3889" w:rsidP="003C3889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NB-IoT is special case of LTE. Therefore, in our view the term LTE-NR coexistence used </w:t>
      </w:r>
      <w:r w:rsidRPr="003C3889">
        <w:rPr>
          <w:sz w:val="22"/>
          <w:szCs w:val="22"/>
        </w:rPr>
        <w:t>Table 7.1.2-2</w:t>
      </w:r>
      <w:r>
        <w:rPr>
          <w:sz w:val="22"/>
          <w:szCs w:val="22"/>
        </w:rPr>
        <w:t xml:space="preserve"> of TS 38.133 is broad enough to also encompass NB-IoT-NR coexistence scenario. </w:t>
      </w:r>
      <w:proofErr w:type="spellStart"/>
      <w:r>
        <w:rPr>
          <w:sz w:val="22"/>
          <w:szCs w:val="22"/>
        </w:rPr>
        <w:t>Neverthless</w:t>
      </w:r>
      <w:proofErr w:type="spellEnd"/>
      <w:r>
        <w:rPr>
          <w:sz w:val="22"/>
          <w:szCs w:val="22"/>
        </w:rPr>
        <w:t xml:space="preserve">, for the sake of clarify we suggest to explicitly specify the applicable </w:t>
      </w:r>
      <w:r>
        <w:rPr>
          <w:sz w:val="22"/>
          <w:szCs w:val="22"/>
          <w:lang w:val="en-US"/>
        </w:rPr>
        <w:t>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lang w:val="en-US"/>
        </w:rPr>
        <w:t xml:space="preserve"> for the NR UE</w:t>
      </w:r>
      <w:r>
        <w:rPr>
          <w:sz w:val="22"/>
          <w:szCs w:val="22"/>
        </w:rPr>
        <w:t xml:space="preserve"> when NB-IoT co-exists with NR in FDD and TDD bands in FR1. </w:t>
      </w:r>
      <w:r w:rsidR="00EA77D6">
        <w:rPr>
          <w:sz w:val="22"/>
          <w:szCs w:val="22"/>
        </w:rPr>
        <w:t xml:space="preserve">This is in principle </w:t>
      </w:r>
      <w:proofErr w:type="gramStart"/>
      <w:r w:rsidR="00EA77D6">
        <w:rPr>
          <w:sz w:val="22"/>
          <w:szCs w:val="22"/>
        </w:rPr>
        <w:t>similar to</w:t>
      </w:r>
      <w:proofErr w:type="gramEnd"/>
      <w:r w:rsidR="00EA77D6">
        <w:rPr>
          <w:sz w:val="22"/>
          <w:szCs w:val="22"/>
        </w:rPr>
        <w:t xml:space="preserve"> the approach in [1] but expressed in separate rows to avoid any confusion. </w:t>
      </w:r>
    </w:p>
    <w:p w14:paraId="54324ED5" w14:textId="77777777" w:rsidR="005B4247" w:rsidRPr="008947AB" w:rsidRDefault="005B4247" w:rsidP="005B4247">
      <w:pPr>
        <w:spacing w:before="240"/>
        <w:rPr>
          <w:sz w:val="22"/>
          <w:szCs w:val="22"/>
        </w:rPr>
      </w:pPr>
    </w:p>
    <w:p w14:paraId="0FE2A54A" w14:textId="77777777" w:rsidR="003E6C48" w:rsidRPr="0008281E" w:rsidRDefault="003E6C48" w:rsidP="003E6C48">
      <w:pPr>
        <w:keepNext/>
        <w:keepLines/>
        <w:spacing w:before="60" w:after="0"/>
        <w:jc w:val="center"/>
        <w:rPr>
          <w:rFonts w:ascii="Arial" w:eastAsia="SimSun" w:hAnsi="Arial"/>
          <w:b/>
        </w:rPr>
      </w:pPr>
      <w:r w:rsidRPr="0008281E">
        <w:rPr>
          <w:rFonts w:ascii="Arial" w:eastAsia="SimSun" w:hAnsi="Arial"/>
          <w:b/>
        </w:rPr>
        <w:lastRenderedPageBreak/>
        <w:t xml:space="preserve">Table 7.1.2-2: The Value of </w:t>
      </w:r>
      <w:r w:rsidRPr="0008281E">
        <w:rPr>
          <w:rFonts w:ascii="Arial" w:eastAsia="SimSun" w:hAnsi="Arial"/>
          <w:b/>
          <w:noProof/>
          <w:position w:val="-10"/>
          <w:lang w:val="en-US" w:eastAsia="zh-CN"/>
        </w:rPr>
        <w:drawing>
          <wp:inline distT="0" distB="0" distL="0" distR="0" wp14:anchorId="1910D452" wp14:editId="35AE0B62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5"/>
        <w:gridCol w:w="2545"/>
      </w:tblGrid>
      <w:tr w:rsidR="003E6C48" w:rsidRPr="0008281E" w14:paraId="61760BF0" w14:textId="77777777" w:rsidTr="003E6C48">
        <w:trPr>
          <w:cantSplit/>
          <w:jc w:val="center"/>
        </w:trPr>
        <w:tc>
          <w:tcPr>
            <w:tcW w:w="3503" w:type="pct"/>
          </w:tcPr>
          <w:p w14:paraId="04EBC255" w14:textId="77777777" w:rsidR="003E6C48" w:rsidRPr="0008281E" w:rsidRDefault="003E6C48" w:rsidP="000E6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r w:rsidRPr="0008281E">
              <w:rPr>
                <w:rFonts w:ascii="Arial" w:eastAsia="SimSun" w:hAnsi="Arial"/>
                <w:b/>
                <w:sz w:val="16"/>
                <w:szCs w:val="16"/>
              </w:rPr>
              <w:t>Frequency range and band of cell used for uplink transmission</w:t>
            </w:r>
          </w:p>
        </w:tc>
        <w:tc>
          <w:tcPr>
            <w:tcW w:w="1497" w:type="pct"/>
          </w:tcPr>
          <w:p w14:paraId="638ADE11" w14:textId="77777777" w:rsidR="003E6C48" w:rsidRPr="0008281E" w:rsidRDefault="003E6C48" w:rsidP="000E61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08281E">
              <w:rPr>
                <w:rFonts w:ascii="Arial" w:eastAsia="SimSun" w:hAnsi="Arial"/>
                <w:b/>
                <w:noProof/>
                <w:position w:val="-10"/>
                <w:sz w:val="16"/>
                <w:szCs w:val="16"/>
                <w:lang w:val="en-US" w:eastAsia="zh-CN"/>
              </w:rPr>
              <w:drawing>
                <wp:inline distT="0" distB="0" distL="0" distR="0" wp14:anchorId="70F76DEA" wp14:editId="5F409681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81E">
              <w:rPr>
                <w:rFonts w:ascii="Arial" w:eastAsia="SimSun" w:hAnsi="Arial"/>
                <w:b/>
                <w:sz w:val="16"/>
                <w:szCs w:val="16"/>
              </w:rPr>
              <w:t>(Unit: T</w:t>
            </w:r>
            <w:r w:rsidRPr="0008281E">
              <w:rPr>
                <w:rFonts w:ascii="Arial" w:eastAsia="SimSun" w:hAnsi="Arial"/>
                <w:b/>
                <w:sz w:val="16"/>
                <w:szCs w:val="16"/>
                <w:vertAlign w:val="subscript"/>
              </w:rPr>
              <w:t>C</w:t>
            </w:r>
            <w:r w:rsidRPr="0008281E">
              <w:rPr>
                <w:rFonts w:ascii="Arial" w:eastAsia="SimSun" w:hAnsi="Arial"/>
                <w:b/>
                <w:sz w:val="16"/>
                <w:szCs w:val="16"/>
              </w:rPr>
              <w:t>)</w:t>
            </w:r>
          </w:p>
        </w:tc>
      </w:tr>
      <w:tr w:rsidR="003E6C48" w:rsidRPr="0008281E" w14:paraId="0ADE477B" w14:textId="77777777" w:rsidTr="003E6C48">
        <w:trPr>
          <w:cantSplit/>
          <w:jc w:val="center"/>
        </w:trPr>
        <w:tc>
          <w:tcPr>
            <w:tcW w:w="3503" w:type="pct"/>
          </w:tcPr>
          <w:p w14:paraId="08B4E742" w14:textId="77777777" w:rsidR="003E6C48" w:rsidRPr="0008281E" w:rsidRDefault="003E6C48" w:rsidP="000E611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8281E">
              <w:rPr>
                <w:rFonts w:ascii="Arial" w:eastAsia="SimSun" w:hAnsi="Arial"/>
                <w:sz w:val="16"/>
                <w:szCs w:val="16"/>
              </w:rPr>
              <w:t>FR1 FDD band without LTE-NR coexistence cas</w:t>
            </w:r>
            <w:r w:rsidRPr="0008281E">
              <w:rPr>
                <w:rFonts w:ascii="Arial" w:eastAsia="MS Mincho" w:hAnsi="Arial"/>
                <w:sz w:val="16"/>
                <w:szCs w:val="16"/>
                <w:lang w:eastAsia="ja-JP"/>
              </w:rPr>
              <w:t>e or FR1 T</w:t>
            </w:r>
            <w:r w:rsidRPr="0008281E">
              <w:rPr>
                <w:rFonts w:ascii="Arial" w:eastAsia="SimSun" w:hAnsi="Arial"/>
                <w:sz w:val="16"/>
                <w:szCs w:val="16"/>
              </w:rPr>
              <w:t>DD band without LTE-NR coexistence case</w:t>
            </w:r>
            <w:r w:rsidRPr="0008281E">
              <w:rPr>
                <w:rFonts w:ascii="MS Mincho" w:eastAsia="MS Mincho" w:hAnsi="MS Mincho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1497" w:type="pct"/>
          </w:tcPr>
          <w:p w14:paraId="1F188620" w14:textId="77777777" w:rsidR="003E6C48" w:rsidRPr="0008281E" w:rsidRDefault="003E6C48" w:rsidP="000E6111">
            <w:pPr>
              <w:keepNext/>
              <w:keepLines/>
              <w:spacing w:after="0"/>
              <w:rPr>
                <w:rFonts w:ascii="Arial" w:eastAsia="MS Mincho" w:hAnsi="Arial" w:cs="v4.2.0"/>
                <w:sz w:val="16"/>
                <w:szCs w:val="16"/>
                <w:lang w:eastAsia="ja-JP"/>
              </w:rPr>
            </w:pPr>
            <w:r w:rsidRPr="0008281E">
              <w:rPr>
                <w:rFonts w:ascii="Arial" w:eastAsia="SimSun" w:hAnsi="Arial" w:cs="v4.2.0"/>
                <w:sz w:val="16"/>
                <w:szCs w:val="16"/>
                <w:lang w:eastAsia="ja-JP"/>
              </w:rPr>
              <w:t>2560</w:t>
            </w:r>
            <w:r w:rsidRPr="0008281E">
              <w:rPr>
                <w:rFonts w:ascii="Arial" w:eastAsia="SimSun" w:hAnsi="Arial" w:cs="v4.2.0"/>
                <w:sz w:val="16"/>
                <w:szCs w:val="16"/>
              </w:rPr>
              <w:t>0</w:t>
            </w:r>
            <w:r w:rsidRPr="0008281E">
              <w:rPr>
                <w:rFonts w:ascii="Arial" w:eastAsia="MS Mincho" w:hAnsi="Arial" w:cs="v4.2.0"/>
                <w:sz w:val="16"/>
                <w:szCs w:val="16"/>
                <w:lang w:eastAsia="ja-JP"/>
              </w:rPr>
              <w:t xml:space="preserve"> (Note 1)</w:t>
            </w:r>
          </w:p>
        </w:tc>
      </w:tr>
      <w:tr w:rsidR="003E6C48" w:rsidRPr="0008281E" w14:paraId="0D1CB47C" w14:textId="77777777" w:rsidTr="003E6C48">
        <w:trPr>
          <w:cantSplit/>
          <w:jc w:val="center"/>
        </w:trPr>
        <w:tc>
          <w:tcPr>
            <w:tcW w:w="3503" w:type="pct"/>
          </w:tcPr>
          <w:p w14:paraId="0C68E299" w14:textId="77777777" w:rsidR="003E6C48" w:rsidRPr="0008281E" w:rsidRDefault="003E6C48" w:rsidP="000E611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08281E">
              <w:rPr>
                <w:rFonts w:ascii="Arial" w:eastAsia="SimSun" w:hAnsi="Arial"/>
                <w:sz w:val="16"/>
                <w:szCs w:val="16"/>
                <w:lang w:eastAsia="zh-CN"/>
              </w:rPr>
              <w:t>FR1 FDD band with LTE-NR coexistence case</w:t>
            </w:r>
          </w:p>
        </w:tc>
        <w:tc>
          <w:tcPr>
            <w:tcW w:w="1497" w:type="pct"/>
          </w:tcPr>
          <w:p w14:paraId="2EC9C1CD" w14:textId="77777777" w:rsidR="003E6C48" w:rsidRPr="0008281E" w:rsidRDefault="003E6C48" w:rsidP="000E611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8281E">
              <w:rPr>
                <w:rFonts w:ascii="Arial" w:eastAsia="SimSun" w:hAnsi="Arial" w:cs="v4.2.0"/>
                <w:sz w:val="16"/>
                <w:szCs w:val="16"/>
              </w:rPr>
              <w:t>0</w:t>
            </w:r>
            <w:r w:rsidRPr="0008281E">
              <w:rPr>
                <w:rFonts w:ascii="Arial" w:eastAsia="MS Mincho" w:hAnsi="Arial" w:cs="v4.2.0"/>
                <w:sz w:val="16"/>
                <w:szCs w:val="16"/>
                <w:lang w:eastAsia="ja-JP"/>
              </w:rPr>
              <w:t xml:space="preserve"> </w:t>
            </w:r>
            <w:r w:rsidRPr="0008281E">
              <w:rPr>
                <w:rFonts w:ascii="Arial" w:eastAsia="SimSun" w:hAnsi="Arial" w:cs="v4.2.0"/>
                <w:sz w:val="16"/>
                <w:szCs w:val="16"/>
                <w:lang w:eastAsia="zh-CN"/>
              </w:rPr>
              <w:t>(Note 1)</w:t>
            </w:r>
          </w:p>
        </w:tc>
      </w:tr>
      <w:tr w:rsidR="003E6C48" w:rsidRPr="0008281E" w14:paraId="2334C628" w14:textId="77777777" w:rsidTr="003E6C48">
        <w:trPr>
          <w:cantSplit/>
          <w:jc w:val="center"/>
        </w:trPr>
        <w:tc>
          <w:tcPr>
            <w:tcW w:w="3503" w:type="pct"/>
          </w:tcPr>
          <w:p w14:paraId="2144B8D0" w14:textId="77777777" w:rsidR="003E6C48" w:rsidRPr="0008281E" w:rsidRDefault="003E6C48" w:rsidP="000E611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8281E">
              <w:rPr>
                <w:rFonts w:ascii="Arial" w:eastAsia="SimSun" w:hAnsi="Arial"/>
                <w:sz w:val="16"/>
                <w:szCs w:val="16"/>
              </w:rPr>
              <w:t>FR1 TDD band</w:t>
            </w:r>
            <w:r w:rsidRPr="0008281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08281E">
              <w:rPr>
                <w:rFonts w:ascii="Arial" w:eastAsia="SimSun" w:hAnsi="Arial"/>
                <w:sz w:val="16"/>
                <w:szCs w:val="16"/>
                <w:lang w:eastAsia="zh-CN"/>
              </w:rPr>
              <w:t>with LTE-NR coexistence case</w:t>
            </w:r>
          </w:p>
        </w:tc>
        <w:tc>
          <w:tcPr>
            <w:tcW w:w="1497" w:type="pct"/>
          </w:tcPr>
          <w:p w14:paraId="6472CD24" w14:textId="77777777" w:rsidR="003E6C48" w:rsidRPr="0008281E" w:rsidRDefault="003E6C48" w:rsidP="000E6111">
            <w:pPr>
              <w:keepNext/>
              <w:keepLines/>
              <w:spacing w:after="0"/>
              <w:rPr>
                <w:rFonts w:ascii="Arial" w:eastAsia="SimSun" w:hAnsi="Arial" w:cs="v4.2.0"/>
                <w:sz w:val="16"/>
                <w:szCs w:val="16"/>
                <w:lang w:eastAsia="zh-CN"/>
              </w:rPr>
            </w:pPr>
            <w:r w:rsidRPr="0008281E">
              <w:rPr>
                <w:rFonts w:ascii="Arial" w:eastAsia="SimSun" w:hAnsi="Arial" w:cs="v4.2.0"/>
                <w:sz w:val="16"/>
                <w:szCs w:val="16"/>
              </w:rPr>
              <w:t>39936</w:t>
            </w:r>
            <w:r w:rsidRPr="0008281E">
              <w:rPr>
                <w:rFonts w:ascii="Arial" w:eastAsia="SimSun" w:hAnsi="Arial" w:cs="v4.2.0"/>
                <w:sz w:val="16"/>
                <w:szCs w:val="16"/>
                <w:lang w:eastAsia="zh-CN"/>
              </w:rPr>
              <w:t xml:space="preserve"> (Note 1)</w:t>
            </w:r>
          </w:p>
        </w:tc>
      </w:tr>
      <w:tr w:rsidR="003E6C48" w:rsidRPr="003E6C48" w14:paraId="4338F1B7" w14:textId="77777777" w:rsidTr="003E6C48">
        <w:trPr>
          <w:cantSplit/>
          <w:jc w:val="center"/>
        </w:trPr>
        <w:tc>
          <w:tcPr>
            <w:tcW w:w="3503" w:type="pct"/>
          </w:tcPr>
          <w:p w14:paraId="3AA2AB79" w14:textId="77777777" w:rsidR="003E6C48" w:rsidRPr="003E6C48" w:rsidRDefault="003E6C48" w:rsidP="000E6111">
            <w:pPr>
              <w:keepNext/>
              <w:keepLines/>
              <w:spacing w:after="0"/>
              <w:rPr>
                <w:rFonts w:ascii="Arial" w:eastAsia="SimSun" w:hAnsi="Arial"/>
                <w:color w:val="FF0000"/>
                <w:sz w:val="16"/>
                <w:szCs w:val="16"/>
              </w:rPr>
            </w:pPr>
            <w:r w:rsidRPr="003E6C48">
              <w:rPr>
                <w:rFonts w:ascii="Arial" w:eastAsia="SimSun" w:hAnsi="Arial"/>
                <w:color w:val="FF0000"/>
                <w:sz w:val="16"/>
                <w:szCs w:val="16"/>
              </w:rPr>
              <w:t>FR1 FDD band without NB-IoT-NR coexistence case or FR1 TDD band without NB-IoT-NR coexistence case </w:t>
            </w:r>
          </w:p>
        </w:tc>
        <w:tc>
          <w:tcPr>
            <w:tcW w:w="1497" w:type="pct"/>
          </w:tcPr>
          <w:p w14:paraId="0D990A9D" w14:textId="77777777" w:rsidR="003E6C48" w:rsidRPr="003E6C48" w:rsidRDefault="003E6C48" w:rsidP="000E6111">
            <w:pPr>
              <w:keepNext/>
              <w:keepLines/>
              <w:spacing w:after="0"/>
              <w:rPr>
                <w:rFonts w:ascii="Arial" w:eastAsia="SimSun" w:hAnsi="Arial" w:cs="v4.2.0"/>
                <w:color w:val="FF0000"/>
                <w:sz w:val="16"/>
                <w:szCs w:val="16"/>
              </w:rPr>
            </w:pPr>
            <w:r w:rsidRPr="0008281E">
              <w:rPr>
                <w:rFonts w:ascii="Arial" w:eastAsia="SimSun" w:hAnsi="Arial" w:cs="v4.2.0"/>
                <w:color w:val="FF0000"/>
                <w:sz w:val="16"/>
                <w:szCs w:val="16"/>
                <w:lang w:eastAsia="ja-JP"/>
              </w:rPr>
              <w:t>2560</w:t>
            </w:r>
            <w:r w:rsidRPr="0008281E">
              <w:rPr>
                <w:rFonts w:ascii="Arial" w:eastAsia="SimSun" w:hAnsi="Arial" w:cs="v4.2.0"/>
                <w:color w:val="FF0000"/>
                <w:sz w:val="16"/>
                <w:szCs w:val="16"/>
              </w:rPr>
              <w:t>0</w:t>
            </w:r>
            <w:r w:rsidRPr="0008281E">
              <w:rPr>
                <w:rFonts w:ascii="Arial" w:eastAsia="MS Mincho" w:hAnsi="Arial" w:cs="v4.2.0"/>
                <w:color w:val="FF0000"/>
                <w:sz w:val="16"/>
                <w:szCs w:val="16"/>
                <w:lang w:eastAsia="ja-JP"/>
              </w:rPr>
              <w:t xml:space="preserve"> (Note 1)</w:t>
            </w:r>
          </w:p>
        </w:tc>
      </w:tr>
      <w:tr w:rsidR="003E6C48" w:rsidRPr="003E6C48" w14:paraId="1BE58B8B" w14:textId="77777777" w:rsidTr="003E6C48">
        <w:trPr>
          <w:cantSplit/>
          <w:jc w:val="center"/>
        </w:trPr>
        <w:tc>
          <w:tcPr>
            <w:tcW w:w="3503" w:type="pct"/>
          </w:tcPr>
          <w:p w14:paraId="7A9DDAA9" w14:textId="77777777" w:rsidR="003E6C48" w:rsidRPr="003E6C48" w:rsidRDefault="003E6C48" w:rsidP="000E6111">
            <w:pPr>
              <w:keepNext/>
              <w:keepLines/>
              <w:spacing w:after="0"/>
              <w:rPr>
                <w:rFonts w:ascii="Arial" w:eastAsia="SimSun" w:hAnsi="Arial"/>
                <w:color w:val="FF0000"/>
                <w:sz w:val="16"/>
                <w:szCs w:val="16"/>
              </w:rPr>
            </w:pPr>
            <w:r w:rsidRPr="003E6C48">
              <w:rPr>
                <w:rFonts w:ascii="Arial" w:eastAsia="SimSun" w:hAnsi="Arial"/>
                <w:color w:val="FF0000"/>
                <w:sz w:val="16"/>
                <w:szCs w:val="16"/>
              </w:rPr>
              <w:t>FR1 FDD band with NB-IoT-NR coexistence case</w:t>
            </w:r>
          </w:p>
        </w:tc>
        <w:tc>
          <w:tcPr>
            <w:tcW w:w="1497" w:type="pct"/>
          </w:tcPr>
          <w:p w14:paraId="14DA75CA" w14:textId="77777777" w:rsidR="003E6C48" w:rsidRPr="003E6C48" w:rsidRDefault="003E6C48" w:rsidP="000E6111">
            <w:pPr>
              <w:keepNext/>
              <w:keepLines/>
              <w:spacing w:after="0"/>
              <w:rPr>
                <w:rFonts w:ascii="Arial" w:eastAsia="SimSun" w:hAnsi="Arial" w:cs="v4.2.0"/>
                <w:color w:val="FF0000"/>
                <w:sz w:val="16"/>
                <w:szCs w:val="16"/>
                <w:lang w:eastAsia="ja-JP"/>
              </w:rPr>
            </w:pPr>
            <w:r w:rsidRPr="0008281E">
              <w:rPr>
                <w:rFonts w:ascii="Arial" w:eastAsia="SimSun" w:hAnsi="Arial" w:cs="v4.2.0"/>
                <w:color w:val="FF0000"/>
                <w:sz w:val="16"/>
                <w:szCs w:val="16"/>
              </w:rPr>
              <w:t>0</w:t>
            </w:r>
            <w:r w:rsidRPr="0008281E">
              <w:rPr>
                <w:rFonts w:ascii="Arial" w:eastAsia="MS Mincho" w:hAnsi="Arial" w:cs="v4.2.0"/>
                <w:color w:val="FF0000"/>
                <w:sz w:val="16"/>
                <w:szCs w:val="16"/>
                <w:lang w:eastAsia="ja-JP"/>
              </w:rPr>
              <w:t xml:space="preserve"> </w:t>
            </w:r>
            <w:r w:rsidRPr="0008281E">
              <w:rPr>
                <w:rFonts w:ascii="Arial" w:eastAsia="SimSun" w:hAnsi="Arial" w:cs="v4.2.0"/>
                <w:color w:val="FF0000"/>
                <w:sz w:val="16"/>
                <w:szCs w:val="16"/>
                <w:lang w:eastAsia="zh-CN"/>
              </w:rPr>
              <w:t>(Note 1)</w:t>
            </w:r>
          </w:p>
        </w:tc>
      </w:tr>
      <w:tr w:rsidR="003E6C48" w:rsidRPr="003E6C48" w14:paraId="738A6CBF" w14:textId="77777777" w:rsidTr="003E6C48">
        <w:trPr>
          <w:cantSplit/>
          <w:jc w:val="center"/>
        </w:trPr>
        <w:tc>
          <w:tcPr>
            <w:tcW w:w="3503" w:type="pct"/>
          </w:tcPr>
          <w:p w14:paraId="50272012" w14:textId="77777777" w:rsidR="003E6C48" w:rsidRPr="003E6C48" w:rsidRDefault="003E6C48" w:rsidP="000E6111">
            <w:pPr>
              <w:keepNext/>
              <w:keepLines/>
              <w:spacing w:after="0"/>
              <w:rPr>
                <w:rFonts w:ascii="Arial" w:eastAsia="SimSun" w:hAnsi="Arial"/>
                <w:color w:val="FF0000"/>
                <w:sz w:val="16"/>
                <w:szCs w:val="16"/>
              </w:rPr>
            </w:pPr>
            <w:r w:rsidRPr="003E6C48">
              <w:rPr>
                <w:rFonts w:ascii="Arial" w:eastAsia="SimSun" w:hAnsi="Arial"/>
                <w:color w:val="FF0000"/>
                <w:sz w:val="16"/>
                <w:szCs w:val="16"/>
              </w:rPr>
              <w:t>FR1 TDD band with NB-IoT-NR coexistence case</w:t>
            </w:r>
          </w:p>
        </w:tc>
        <w:tc>
          <w:tcPr>
            <w:tcW w:w="1497" w:type="pct"/>
          </w:tcPr>
          <w:p w14:paraId="080644CF" w14:textId="77777777" w:rsidR="003E6C48" w:rsidRPr="003E6C48" w:rsidRDefault="003E6C48" w:rsidP="000E6111">
            <w:pPr>
              <w:keepNext/>
              <w:keepLines/>
              <w:spacing w:after="0"/>
              <w:rPr>
                <w:rFonts w:ascii="Arial" w:eastAsia="SimSun" w:hAnsi="Arial" w:cs="v4.2.0"/>
                <w:color w:val="FF0000"/>
                <w:sz w:val="16"/>
                <w:szCs w:val="16"/>
                <w:lang w:eastAsia="ja-JP"/>
              </w:rPr>
            </w:pPr>
            <w:r w:rsidRPr="0008281E">
              <w:rPr>
                <w:rFonts w:ascii="Arial" w:eastAsia="SimSun" w:hAnsi="Arial" w:cs="v4.2.0"/>
                <w:color w:val="FF0000"/>
                <w:sz w:val="16"/>
                <w:szCs w:val="16"/>
              </w:rPr>
              <w:t>39936</w:t>
            </w:r>
            <w:r w:rsidRPr="0008281E">
              <w:rPr>
                <w:rFonts w:ascii="Arial" w:eastAsia="SimSun" w:hAnsi="Arial" w:cs="v4.2.0"/>
                <w:color w:val="FF0000"/>
                <w:sz w:val="16"/>
                <w:szCs w:val="16"/>
                <w:lang w:eastAsia="zh-CN"/>
              </w:rPr>
              <w:t xml:space="preserve"> (Note 1)</w:t>
            </w:r>
          </w:p>
        </w:tc>
      </w:tr>
      <w:tr w:rsidR="003E6C48" w:rsidRPr="0008281E" w14:paraId="6EAEB30D" w14:textId="77777777" w:rsidTr="003E6C48">
        <w:trPr>
          <w:cantSplit/>
          <w:jc w:val="center"/>
        </w:trPr>
        <w:tc>
          <w:tcPr>
            <w:tcW w:w="3503" w:type="pct"/>
          </w:tcPr>
          <w:p w14:paraId="207ADA64" w14:textId="77777777" w:rsidR="003E6C48" w:rsidRPr="0008281E" w:rsidDel="00E06E79" w:rsidRDefault="003E6C48" w:rsidP="000E611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08281E">
              <w:rPr>
                <w:rFonts w:ascii="Arial" w:eastAsia="SimSun" w:hAnsi="Arial"/>
                <w:sz w:val="16"/>
                <w:szCs w:val="16"/>
              </w:rPr>
              <w:t>FR2</w:t>
            </w:r>
          </w:p>
        </w:tc>
        <w:tc>
          <w:tcPr>
            <w:tcW w:w="1497" w:type="pct"/>
          </w:tcPr>
          <w:p w14:paraId="241903AC" w14:textId="77777777" w:rsidR="003E6C48" w:rsidRPr="0008281E" w:rsidDel="00E06E79" w:rsidRDefault="003E6C48" w:rsidP="000E6111">
            <w:pPr>
              <w:keepNext/>
              <w:keepLines/>
              <w:spacing w:after="0"/>
              <w:rPr>
                <w:rFonts w:ascii="Arial" w:eastAsia="SimSun" w:hAnsi="Arial" w:cs="v4.2.0"/>
                <w:sz w:val="16"/>
                <w:szCs w:val="16"/>
              </w:rPr>
            </w:pPr>
            <w:r w:rsidRPr="0008281E">
              <w:rPr>
                <w:rFonts w:ascii="Arial" w:eastAsia="SimSun" w:hAnsi="Arial" w:cs="v4.2.0"/>
                <w:sz w:val="16"/>
                <w:szCs w:val="16"/>
              </w:rPr>
              <w:t>13792</w:t>
            </w:r>
          </w:p>
        </w:tc>
      </w:tr>
      <w:tr w:rsidR="003E6C48" w:rsidRPr="0008281E" w14:paraId="403DAC89" w14:textId="77777777" w:rsidTr="003E6C48">
        <w:trPr>
          <w:cantSplit/>
          <w:jc w:val="center"/>
        </w:trPr>
        <w:tc>
          <w:tcPr>
            <w:tcW w:w="5000" w:type="pct"/>
            <w:gridSpan w:val="2"/>
          </w:tcPr>
          <w:p w14:paraId="3F17E432" w14:textId="77777777" w:rsidR="003E6C48" w:rsidRPr="0008281E" w:rsidRDefault="003E6C48" w:rsidP="000E611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</w:rPr>
            </w:pPr>
            <w:r w:rsidRPr="0008281E">
              <w:rPr>
                <w:rFonts w:ascii="Arial" w:eastAsia="SimSun" w:hAnsi="Arial"/>
                <w:sz w:val="16"/>
                <w:szCs w:val="16"/>
              </w:rPr>
              <w:t>Note 1:</w:t>
            </w:r>
            <w:r w:rsidRPr="0008281E">
              <w:rPr>
                <w:rFonts w:ascii="Arial" w:eastAsia="SimSun" w:hAnsi="Arial"/>
                <w:sz w:val="16"/>
                <w:szCs w:val="16"/>
              </w:rPr>
              <w:tab/>
              <w:t xml:space="preserve">The UE identifies </w:t>
            </w:r>
            <w:r w:rsidRPr="0008281E">
              <w:rPr>
                <w:rFonts w:ascii="Arial" w:eastAsia="SimSun" w:hAnsi="Arial"/>
                <w:b/>
                <w:noProof/>
                <w:position w:val="-10"/>
                <w:sz w:val="16"/>
                <w:szCs w:val="16"/>
                <w:lang w:val="en-US" w:eastAsia="zh-CN"/>
              </w:rPr>
              <w:drawing>
                <wp:inline distT="0" distB="0" distL="0" distR="0" wp14:anchorId="4BDAAD4D" wp14:editId="1F374608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81E">
              <w:rPr>
                <w:rFonts w:ascii="Arial" w:eastAsia="SimSun" w:hAnsi="Arial"/>
                <w:sz w:val="16"/>
                <w:szCs w:val="16"/>
              </w:rPr>
              <w:t xml:space="preserve"> based on the information n-</w:t>
            </w:r>
            <w:proofErr w:type="spellStart"/>
            <w:r w:rsidRPr="0008281E">
              <w:rPr>
                <w:rFonts w:ascii="Arial" w:eastAsia="SimSun" w:hAnsi="Arial"/>
                <w:sz w:val="16"/>
                <w:szCs w:val="16"/>
              </w:rPr>
              <w:t>TimingAdvanceOffset</w:t>
            </w:r>
            <w:proofErr w:type="spellEnd"/>
            <w:r w:rsidRPr="0008281E" w:rsidDel="00406F3A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r w:rsidRPr="0008281E">
              <w:rPr>
                <w:rFonts w:ascii="Arial" w:eastAsia="SimSun" w:hAnsi="Arial"/>
                <w:sz w:val="16"/>
                <w:szCs w:val="16"/>
              </w:rPr>
              <w:t>as specified in TS 38.331 [2]. If UE is not provided with the information n-</w:t>
            </w:r>
            <w:proofErr w:type="spellStart"/>
            <w:r w:rsidRPr="0008281E">
              <w:rPr>
                <w:rFonts w:ascii="Arial" w:eastAsia="SimSun" w:hAnsi="Arial"/>
                <w:sz w:val="16"/>
                <w:szCs w:val="16"/>
              </w:rPr>
              <w:t>TimingAdvanceOffset</w:t>
            </w:r>
            <w:proofErr w:type="spellEnd"/>
            <w:r w:rsidRPr="0008281E">
              <w:rPr>
                <w:rFonts w:ascii="Arial" w:eastAsia="SimSun" w:hAnsi="Arial"/>
                <w:sz w:val="16"/>
                <w:szCs w:val="16"/>
              </w:rPr>
              <w:t xml:space="preserve">, the default value of </w:t>
            </w:r>
            <w:r w:rsidRPr="0008281E">
              <w:rPr>
                <w:rFonts w:ascii="Arial" w:eastAsia="SimSun" w:hAnsi="Arial"/>
                <w:b/>
                <w:noProof/>
                <w:position w:val="-10"/>
                <w:sz w:val="16"/>
                <w:szCs w:val="16"/>
                <w:lang w:val="en-US" w:eastAsia="zh-CN"/>
              </w:rPr>
              <w:drawing>
                <wp:inline distT="0" distB="0" distL="0" distR="0" wp14:anchorId="26865954" wp14:editId="0B1DBCBE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81E">
              <w:rPr>
                <w:rFonts w:ascii="Arial" w:eastAsia="SimSun" w:hAnsi="Arial"/>
                <w:sz w:val="16"/>
                <w:szCs w:val="16"/>
              </w:rPr>
              <w:t xml:space="preserve"> is set as </w:t>
            </w:r>
            <w:r w:rsidRPr="0008281E">
              <w:rPr>
                <w:rFonts w:ascii="Arial" w:eastAsia="SimSun" w:hAnsi="Arial"/>
                <w:sz w:val="16"/>
                <w:szCs w:val="16"/>
                <w:lang w:eastAsia="ja-JP"/>
              </w:rPr>
              <w:t>2560</w:t>
            </w:r>
            <w:r w:rsidRPr="0008281E">
              <w:rPr>
                <w:rFonts w:ascii="Arial" w:eastAsia="SimSun" w:hAnsi="Arial"/>
                <w:sz w:val="16"/>
                <w:szCs w:val="16"/>
              </w:rPr>
              <w:t>0 for FR1 band. In case of multiple UL carriers in the same TAG, UE expects that the same value of n-</w:t>
            </w:r>
            <w:proofErr w:type="spellStart"/>
            <w:r w:rsidRPr="0008281E">
              <w:rPr>
                <w:rFonts w:ascii="Arial" w:eastAsia="SimSun" w:hAnsi="Arial"/>
                <w:sz w:val="16"/>
                <w:szCs w:val="16"/>
              </w:rPr>
              <w:t>TimingAdvanceOffset</w:t>
            </w:r>
            <w:proofErr w:type="spellEnd"/>
            <w:r w:rsidRPr="0008281E">
              <w:rPr>
                <w:rFonts w:ascii="Arial" w:eastAsia="SimSun" w:hAnsi="Arial"/>
                <w:sz w:val="16"/>
                <w:szCs w:val="16"/>
              </w:rPr>
              <w:t xml:space="preserve"> is provided for all the UL carriers according to clause 4.2 in TS 38.213 [3] and the value 39936 of </w:t>
            </w:r>
            <w:r w:rsidRPr="0008281E">
              <w:rPr>
                <w:rFonts w:ascii="Arial" w:eastAsia="SimSun" w:hAnsi="Arial"/>
                <w:b/>
                <w:noProof/>
                <w:position w:val="-10"/>
                <w:sz w:val="16"/>
                <w:szCs w:val="16"/>
                <w:lang w:val="en-US" w:eastAsia="zh-CN"/>
              </w:rPr>
              <w:drawing>
                <wp:inline distT="0" distB="0" distL="0" distR="0" wp14:anchorId="0EDE749B" wp14:editId="072C1EE7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81E">
              <w:rPr>
                <w:rFonts w:ascii="Arial" w:eastAsia="SimSun" w:hAnsi="Arial"/>
                <w:sz w:val="16"/>
                <w:szCs w:val="16"/>
              </w:rPr>
              <w:t xml:space="preserve"> can also be provided for </w:t>
            </w:r>
            <w:proofErr w:type="gramStart"/>
            <w:r w:rsidRPr="0008281E">
              <w:rPr>
                <w:rFonts w:ascii="Arial" w:eastAsia="DengXian" w:hAnsi="Arial"/>
                <w:sz w:val="16"/>
                <w:szCs w:val="16"/>
                <w:lang w:eastAsia="zh-CN"/>
              </w:rPr>
              <w:t>a</w:t>
            </w:r>
            <w:proofErr w:type="gramEnd"/>
            <w:r w:rsidRPr="0008281E">
              <w:rPr>
                <w:rFonts w:ascii="Arial" w:eastAsia="DengXian" w:hAnsi="Arial"/>
                <w:sz w:val="16"/>
                <w:szCs w:val="16"/>
                <w:lang w:eastAsia="zh-CN"/>
              </w:rPr>
              <w:t xml:space="preserve"> FDD serving cell</w:t>
            </w:r>
            <w:r w:rsidRPr="0008281E">
              <w:rPr>
                <w:rFonts w:ascii="Arial" w:eastAsia="SimSun" w:hAnsi="Arial"/>
                <w:sz w:val="16"/>
                <w:szCs w:val="16"/>
              </w:rPr>
              <w:t>.</w:t>
            </w:r>
          </w:p>
          <w:p w14:paraId="129A305A" w14:textId="77777777" w:rsidR="003E6C48" w:rsidRPr="0008281E" w:rsidRDefault="003E6C48" w:rsidP="000E611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</w:rPr>
            </w:pPr>
            <w:r w:rsidRPr="0008281E">
              <w:rPr>
                <w:rFonts w:ascii="Arial" w:eastAsia="SimSun" w:hAnsi="Arial"/>
                <w:sz w:val="16"/>
                <w:szCs w:val="16"/>
              </w:rPr>
              <w:t>Note 2:</w:t>
            </w:r>
            <w:r w:rsidRPr="0008281E">
              <w:rPr>
                <w:rFonts w:ascii="Arial" w:eastAsia="SimSun" w:hAnsi="Arial"/>
                <w:sz w:val="16"/>
                <w:szCs w:val="16"/>
              </w:rPr>
              <w:tab/>
              <w:t>Void</w:t>
            </w:r>
          </w:p>
        </w:tc>
      </w:tr>
    </w:tbl>
    <w:p w14:paraId="45C1AC25" w14:textId="03A9FAC4" w:rsidR="00CC6F36" w:rsidRPr="00897C43" w:rsidRDefault="00CC6F36" w:rsidP="00EA77D6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/>
        <w:ind w:left="539" w:hanging="539"/>
        <w:contextualSpacing w:val="0"/>
        <w:outlineLvl w:val="0"/>
        <w:rPr>
          <w:sz w:val="36"/>
        </w:rPr>
      </w:pPr>
      <w:r w:rsidRPr="00897C43">
        <w:rPr>
          <w:sz w:val="36"/>
        </w:rPr>
        <w:t>Summary</w:t>
      </w:r>
    </w:p>
    <w:p w14:paraId="37779F02" w14:textId="77777777" w:rsidR="00EA77D6" w:rsidRDefault="00EA77D6" w:rsidP="00EA77D6">
      <w:pPr>
        <w:spacing w:before="240" w:after="0"/>
        <w:rPr>
          <w:sz w:val="22"/>
          <w:szCs w:val="22"/>
          <w:lang w:val="en-US"/>
        </w:rPr>
      </w:pPr>
      <w:bookmarkStart w:id="4" w:name="_Hlk23953093"/>
      <w:r w:rsidRPr="003052E9">
        <w:rPr>
          <w:sz w:val="22"/>
          <w:szCs w:val="22"/>
          <w:lang w:val="en-US"/>
        </w:rPr>
        <w:t xml:space="preserve">In this paper we </w:t>
      </w:r>
      <w:r>
        <w:rPr>
          <w:sz w:val="22"/>
          <w:szCs w:val="22"/>
          <w:lang w:val="en-US"/>
        </w:rPr>
        <w:t>analyze the applicability of N</w:t>
      </w:r>
      <w:r w:rsidRPr="00407032">
        <w:rPr>
          <w:sz w:val="22"/>
          <w:szCs w:val="22"/>
          <w:vertAlign w:val="subscript"/>
          <w:lang w:val="en-US"/>
        </w:rPr>
        <w:t>TA offset</w:t>
      </w:r>
      <w:r>
        <w:rPr>
          <w:sz w:val="22"/>
          <w:szCs w:val="22"/>
          <w:lang w:val="en-US"/>
        </w:rPr>
        <w:t xml:space="preserve"> under NB-IoT-NR coexistence scenario and expressed our views based on the analysis</w:t>
      </w:r>
      <w:r w:rsidRPr="003052E9">
        <w:rPr>
          <w:sz w:val="22"/>
          <w:szCs w:val="22"/>
          <w:lang w:val="en-US"/>
        </w:rPr>
        <w:t xml:space="preserve">. </w:t>
      </w:r>
    </w:p>
    <w:p w14:paraId="550558BC" w14:textId="77777777" w:rsidR="00EA77D6" w:rsidRPr="00EA77D6" w:rsidRDefault="00EA77D6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</w:p>
    <w:p w14:paraId="04F48009" w14:textId="00C0DAE4" w:rsidR="00897C43" w:rsidRDefault="000467E3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</w:rPr>
        <w:t>F</w:t>
      </w:r>
      <w:r w:rsidR="00E86FF9">
        <w:rPr>
          <w:sz w:val="22"/>
          <w:szCs w:val="22"/>
        </w:rPr>
        <w:t xml:space="preserve">ollowing </w:t>
      </w:r>
      <w:r w:rsidR="00830921">
        <w:rPr>
          <w:sz w:val="22"/>
          <w:szCs w:val="22"/>
        </w:rPr>
        <w:t xml:space="preserve">are the </w:t>
      </w:r>
      <w:r>
        <w:rPr>
          <w:sz w:val="22"/>
          <w:szCs w:val="22"/>
        </w:rPr>
        <w:t xml:space="preserve">main </w:t>
      </w:r>
      <w:r w:rsidR="00D70237">
        <w:rPr>
          <w:sz w:val="22"/>
          <w:szCs w:val="22"/>
        </w:rPr>
        <w:t xml:space="preserve">observation and </w:t>
      </w:r>
      <w:r w:rsidR="00506C4B">
        <w:rPr>
          <w:sz w:val="22"/>
          <w:szCs w:val="22"/>
        </w:rPr>
        <w:t>proposals</w:t>
      </w:r>
      <w:r w:rsidR="00A73BEC" w:rsidRPr="00990C15">
        <w:rPr>
          <w:sz w:val="22"/>
          <w:szCs w:val="22"/>
        </w:rPr>
        <w:t>:</w:t>
      </w:r>
    </w:p>
    <w:p w14:paraId="29002FE1" w14:textId="03145E18" w:rsidR="00897C43" w:rsidRDefault="00EA77D6" w:rsidP="00897C43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EA77D6">
        <w:rPr>
          <w:rFonts w:ascii="Times New Roman" w:hAnsi="Times New Roman"/>
          <w:b/>
          <w:bCs/>
          <w:sz w:val="20"/>
        </w:rPr>
        <w:t>Observation</w:t>
      </w:r>
      <w:r w:rsidR="00897C43" w:rsidRPr="00EA77D6">
        <w:rPr>
          <w:rFonts w:ascii="Times New Roman" w:hAnsi="Times New Roman"/>
          <w:b/>
          <w:bCs/>
          <w:sz w:val="20"/>
        </w:rPr>
        <w:t xml:space="preserve"> #</w:t>
      </w:r>
      <w:r w:rsidRPr="00EA77D6">
        <w:rPr>
          <w:rFonts w:ascii="Times New Roman" w:hAnsi="Times New Roman"/>
          <w:b/>
          <w:bCs/>
          <w:sz w:val="20"/>
        </w:rPr>
        <w:t>1</w:t>
      </w:r>
      <w:r w:rsidR="00897C43" w:rsidRPr="00EA77D6">
        <w:rPr>
          <w:rFonts w:ascii="Times New Roman" w:hAnsi="Times New Roman"/>
          <w:b/>
          <w:bCs/>
          <w:sz w:val="20"/>
        </w:rPr>
        <w:t>:</w:t>
      </w:r>
      <w:r w:rsidR="00897C43" w:rsidRPr="00EA77D6">
        <w:rPr>
          <w:rFonts w:ascii="Times New Roman" w:hAnsi="Times New Roman"/>
          <w:sz w:val="20"/>
        </w:rPr>
        <w:t xml:space="preserve"> </w:t>
      </w:r>
      <w:r w:rsidRPr="00EA77D6">
        <w:rPr>
          <w:rFonts w:ascii="Times New Roman" w:hAnsi="Times New Roman"/>
          <w:sz w:val="20"/>
        </w:rPr>
        <w:t>For NB-IoT operation in FDD band (standalone or within LTE BW) the NB-IoT UE applies N</w:t>
      </w:r>
      <w:r w:rsidRPr="00EA77D6">
        <w:rPr>
          <w:rFonts w:ascii="Times New Roman" w:hAnsi="Times New Roman"/>
          <w:sz w:val="20"/>
          <w:vertAlign w:val="subscript"/>
        </w:rPr>
        <w:t>TA offset</w:t>
      </w:r>
      <w:r w:rsidRPr="00EA77D6">
        <w:rPr>
          <w:rFonts w:ascii="Times New Roman" w:hAnsi="Times New Roman"/>
          <w:sz w:val="20"/>
        </w:rPr>
        <w:t xml:space="preserve"> of 0 to its uplink timing for uplink transmission. For NB-IoT operation in TDD band (standalone or within LTE BW) the NB-IoT UE applies N</w:t>
      </w:r>
      <w:r w:rsidRPr="00EA77D6">
        <w:rPr>
          <w:rFonts w:ascii="Times New Roman" w:hAnsi="Times New Roman"/>
          <w:sz w:val="20"/>
          <w:vertAlign w:val="subscript"/>
        </w:rPr>
        <w:t>TA offset</w:t>
      </w:r>
      <w:r w:rsidRPr="00EA77D6">
        <w:rPr>
          <w:rFonts w:ascii="Times New Roman" w:hAnsi="Times New Roman"/>
          <w:sz w:val="20"/>
        </w:rPr>
        <w:t xml:space="preserve"> of 20 µs (624 Ts </w:t>
      </w:r>
      <w:r w:rsidRPr="00EA77D6">
        <w:rPr>
          <w:rFonts w:ascii="Times New Roman" w:hAnsi="Times New Roman"/>
          <w:sz w:val="20"/>
        </w:rPr>
        <w:sym w:font="Symbol" w:char="F0BB"/>
      </w:r>
      <w:r w:rsidRPr="00EA77D6">
        <w:rPr>
          <w:rFonts w:ascii="Times New Roman" w:hAnsi="Times New Roman"/>
          <w:sz w:val="20"/>
        </w:rPr>
        <w:t xml:space="preserve"> 39936 Tc) to its uplink timing for uplink transmission.</w:t>
      </w:r>
    </w:p>
    <w:p w14:paraId="3F6A61B6" w14:textId="2876035E" w:rsidR="00EA77D6" w:rsidRDefault="00EA77D6" w:rsidP="00897C43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bCs/>
          <w:sz w:val="20"/>
        </w:rPr>
        <w:t>Proposal</w:t>
      </w:r>
      <w:r w:rsidRPr="00EA77D6">
        <w:rPr>
          <w:rFonts w:ascii="Times New Roman" w:hAnsi="Times New Roman"/>
          <w:b/>
          <w:bCs/>
          <w:sz w:val="20"/>
        </w:rPr>
        <w:t xml:space="preserve"> #1:</w:t>
      </w:r>
      <w:r>
        <w:rPr>
          <w:rFonts w:ascii="Times New Roman" w:hAnsi="Times New Roman"/>
          <w:b/>
          <w:bCs/>
          <w:sz w:val="20"/>
        </w:rPr>
        <w:t xml:space="preserve"> </w:t>
      </w:r>
      <w:r w:rsidRPr="00EA77D6">
        <w:rPr>
          <w:rFonts w:ascii="Times New Roman" w:hAnsi="Times New Roman"/>
          <w:sz w:val="20"/>
        </w:rPr>
        <w:t>For NB-IoT</w:t>
      </w:r>
      <w:r>
        <w:rPr>
          <w:rFonts w:ascii="Times New Roman" w:hAnsi="Times New Roman"/>
          <w:sz w:val="20"/>
        </w:rPr>
        <w:t xml:space="preserve">-NR coexistence in FR1 </w:t>
      </w:r>
      <w:r w:rsidRPr="00EA77D6">
        <w:rPr>
          <w:rFonts w:ascii="Times New Roman" w:hAnsi="Times New Roman"/>
          <w:sz w:val="20"/>
        </w:rPr>
        <w:t>FDD band (</w:t>
      </w:r>
      <w:r>
        <w:rPr>
          <w:rFonts w:ascii="Times New Roman" w:hAnsi="Times New Roman"/>
          <w:sz w:val="20"/>
        </w:rPr>
        <w:t xml:space="preserve">in-band of NR BW) </w:t>
      </w:r>
      <w:r w:rsidRPr="00EA77D6">
        <w:rPr>
          <w:rFonts w:ascii="Times New Roman" w:hAnsi="Times New Roman"/>
          <w:sz w:val="20"/>
        </w:rPr>
        <w:t xml:space="preserve">the </w:t>
      </w:r>
      <w:r>
        <w:rPr>
          <w:rFonts w:ascii="Times New Roman" w:hAnsi="Times New Roman"/>
          <w:sz w:val="20"/>
        </w:rPr>
        <w:t>NR</w:t>
      </w:r>
      <w:r w:rsidRPr="00EA77D6">
        <w:rPr>
          <w:rFonts w:ascii="Times New Roman" w:hAnsi="Times New Roman"/>
          <w:sz w:val="20"/>
        </w:rPr>
        <w:t xml:space="preserve"> UE </w:t>
      </w:r>
      <w:r>
        <w:rPr>
          <w:rFonts w:ascii="Times New Roman" w:hAnsi="Times New Roman"/>
          <w:sz w:val="20"/>
        </w:rPr>
        <w:t xml:space="preserve">shall </w:t>
      </w:r>
      <w:r w:rsidRPr="00EA77D6">
        <w:rPr>
          <w:rFonts w:ascii="Times New Roman" w:hAnsi="Times New Roman"/>
          <w:sz w:val="20"/>
        </w:rPr>
        <w:t>N</w:t>
      </w:r>
      <w:r w:rsidRPr="00EA77D6">
        <w:rPr>
          <w:rFonts w:ascii="Times New Roman" w:hAnsi="Times New Roman"/>
          <w:sz w:val="20"/>
          <w:vertAlign w:val="subscript"/>
        </w:rPr>
        <w:t>TA offset</w:t>
      </w:r>
      <w:r w:rsidRPr="00EA77D6">
        <w:rPr>
          <w:rFonts w:ascii="Times New Roman" w:hAnsi="Times New Roman"/>
          <w:sz w:val="20"/>
        </w:rPr>
        <w:t xml:space="preserve"> of 0 to its uplink timing for uplink transmission.</w:t>
      </w:r>
    </w:p>
    <w:p w14:paraId="3BB46165" w14:textId="526BF887" w:rsidR="00EA77D6" w:rsidRDefault="00EA77D6" w:rsidP="00EA77D6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bCs/>
          <w:sz w:val="20"/>
        </w:rPr>
        <w:t>Proposal</w:t>
      </w:r>
      <w:r w:rsidRPr="00EA77D6">
        <w:rPr>
          <w:rFonts w:ascii="Times New Roman" w:hAnsi="Times New Roman"/>
          <w:b/>
          <w:bCs/>
          <w:sz w:val="20"/>
        </w:rPr>
        <w:t xml:space="preserve"> #</w:t>
      </w:r>
      <w:r>
        <w:rPr>
          <w:rFonts w:ascii="Times New Roman" w:hAnsi="Times New Roman"/>
          <w:b/>
          <w:bCs/>
          <w:sz w:val="20"/>
        </w:rPr>
        <w:t>2</w:t>
      </w:r>
      <w:r w:rsidRPr="00EA77D6">
        <w:rPr>
          <w:rFonts w:ascii="Times New Roman" w:hAnsi="Times New Roman"/>
          <w:b/>
          <w:bCs/>
          <w:sz w:val="20"/>
        </w:rPr>
        <w:t>:</w:t>
      </w:r>
      <w:r>
        <w:rPr>
          <w:rFonts w:ascii="Times New Roman" w:hAnsi="Times New Roman"/>
          <w:b/>
          <w:bCs/>
          <w:sz w:val="20"/>
        </w:rPr>
        <w:t xml:space="preserve"> </w:t>
      </w:r>
      <w:r w:rsidRPr="00EA77D6">
        <w:rPr>
          <w:rFonts w:ascii="Times New Roman" w:hAnsi="Times New Roman"/>
          <w:sz w:val="20"/>
        </w:rPr>
        <w:t>For NB-IoT</w:t>
      </w:r>
      <w:r>
        <w:rPr>
          <w:rFonts w:ascii="Times New Roman" w:hAnsi="Times New Roman"/>
          <w:sz w:val="20"/>
        </w:rPr>
        <w:t>-NR coexistence in FR1 T</w:t>
      </w:r>
      <w:r w:rsidRPr="00EA77D6">
        <w:rPr>
          <w:rFonts w:ascii="Times New Roman" w:hAnsi="Times New Roman"/>
          <w:sz w:val="20"/>
        </w:rPr>
        <w:t>DD band (</w:t>
      </w:r>
      <w:r>
        <w:rPr>
          <w:rFonts w:ascii="Times New Roman" w:hAnsi="Times New Roman"/>
          <w:sz w:val="20"/>
        </w:rPr>
        <w:t xml:space="preserve">in-band of NR BW) </w:t>
      </w:r>
      <w:r w:rsidRPr="00EA77D6">
        <w:rPr>
          <w:rFonts w:ascii="Times New Roman" w:hAnsi="Times New Roman"/>
          <w:sz w:val="20"/>
        </w:rPr>
        <w:t xml:space="preserve">the </w:t>
      </w:r>
      <w:r>
        <w:rPr>
          <w:rFonts w:ascii="Times New Roman" w:hAnsi="Times New Roman"/>
          <w:sz w:val="20"/>
        </w:rPr>
        <w:t>NR</w:t>
      </w:r>
      <w:r w:rsidRPr="00EA77D6">
        <w:rPr>
          <w:rFonts w:ascii="Times New Roman" w:hAnsi="Times New Roman"/>
          <w:sz w:val="20"/>
        </w:rPr>
        <w:t xml:space="preserve"> UE </w:t>
      </w:r>
      <w:r>
        <w:rPr>
          <w:rFonts w:ascii="Times New Roman" w:hAnsi="Times New Roman"/>
          <w:sz w:val="20"/>
        </w:rPr>
        <w:t xml:space="preserve">shall </w:t>
      </w:r>
      <w:r w:rsidRPr="00EA77D6">
        <w:rPr>
          <w:rFonts w:ascii="Times New Roman" w:hAnsi="Times New Roman"/>
          <w:sz w:val="20"/>
        </w:rPr>
        <w:t>N</w:t>
      </w:r>
      <w:r w:rsidRPr="00EA77D6">
        <w:rPr>
          <w:rFonts w:ascii="Times New Roman" w:hAnsi="Times New Roman"/>
          <w:sz w:val="20"/>
          <w:vertAlign w:val="subscript"/>
        </w:rPr>
        <w:t>TA offset</w:t>
      </w:r>
      <w:r w:rsidRPr="00EA77D6">
        <w:rPr>
          <w:rFonts w:ascii="Times New Roman" w:hAnsi="Times New Roman"/>
          <w:sz w:val="20"/>
        </w:rPr>
        <w:t xml:space="preserve"> of 39936</w:t>
      </w:r>
      <w:r>
        <w:rPr>
          <w:rFonts w:ascii="Times New Roman" w:hAnsi="Times New Roman"/>
          <w:sz w:val="20"/>
        </w:rPr>
        <w:t xml:space="preserve"> Tc </w:t>
      </w:r>
      <w:r w:rsidRPr="00EA77D6">
        <w:rPr>
          <w:rFonts w:ascii="Times New Roman" w:hAnsi="Times New Roman"/>
          <w:sz w:val="20"/>
        </w:rPr>
        <w:t>to its uplink timing for uplink transmission.</w:t>
      </w:r>
    </w:p>
    <w:p w14:paraId="43E1F0C1" w14:textId="0F983E1F" w:rsidR="00EA77D6" w:rsidRPr="00EA77D6" w:rsidRDefault="00EA77D6" w:rsidP="00EF3075">
      <w:pPr>
        <w:spacing w:before="360" w:after="0"/>
      </w:pPr>
      <w:r>
        <w:t>A CR to TS 38.133 to specify changes corresponding to the above proposals is provided in [3].</w:t>
      </w:r>
    </w:p>
    <w:bookmarkEnd w:id="4"/>
    <w:p w14:paraId="75B297C1" w14:textId="6FE5952A" w:rsidR="00CC6F36" w:rsidRPr="00712DDD" w:rsidRDefault="00CC6F36" w:rsidP="00712DDD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/>
        <w:ind w:left="539" w:hanging="539"/>
        <w:contextualSpacing w:val="0"/>
        <w:outlineLvl w:val="0"/>
        <w:rPr>
          <w:sz w:val="36"/>
        </w:rPr>
      </w:pPr>
      <w:r w:rsidRPr="00712DDD">
        <w:rPr>
          <w:sz w:val="36"/>
        </w:rPr>
        <w:t>References</w:t>
      </w:r>
    </w:p>
    <w:bookmarkEnd w:id="2"/>
    <w:bookmarkEnd w:id="3"/>
    <w:p w14:paraId="35590813" w14:textId="3A6922C7" w:rsidR="00ED7AE1" w:rsidRDefault="00ED7AE1" w:rsidP="00712DDD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011D8">
        <w:rPr>
          <w:rFonts w:ascii="Times New Roman" w:hAnsi="Times New Roman"/>
          <w:sz w:val="20"/>
        </w:rPr>
        <w:t>R4-</w:t>
      </w:r>
      <w:r w:rsidR="00682362">
        <w:rPr>
          <w:rFonts w:ascii="Times New Roman" w:hAnsi="Times New Roman"/>
          <w:sz w:val="20"/>
        </w:rPr>
        <w:t>1</w:t>
      </w:r>
      <w:r w:rsidR="00B86CAC">
        <w:rPr>
          <w:rFonts w:ascii="Times New Roman" w:hAnsi="Times New Roman"/>
          <w:sz w:val="20"/>
        </w:rPr>
        <w:t>91</w:t>
      </w:r>
      <w:r w:rsidR="00682362">
        <w:rPr>
          <w:rFonts w:ascii="Times New Roman" w:hAnsi="Times New Roman"/>
          <w:sz w:val="20"/>
        </w:rPr>
        <w:t>5</w:t>
      </w:r>
      <w:r w:rsidR="00B86CAC">
        <w:rPr>
          <w:rFonts w:ascii="Times New Roman" w:hAnsi="Times New Roman"/>
          <w:sz w:val="20"/>
        </w:rPr>
        <w:t>169</w:t>
      </w:r>
      <w:r w:rsidRPr="004011D8">
        <w:rPr>
          <w:rFonts w:ascii="Times New Roman" w:hAnsi="Times New Roman"/>
          <w:sz w:val="20"/>
        </w:rPr>
        <w:t>,</w:t>
      </w:r>
      <w:r w:rsidR="006C15E6" w:rsidRPr="006C15E6">
        <w:rPr>
          <w:rFonts w:ascii="Times New Roman" w:hAnsi="Times New Roman"/>
          <w:sz w:val="20"/>
          <w:lang w:val="en-GB"/>
        </w:rPr>
        <w:t xml:space="preserve"> </w:t>
      </w:r>
      <w:r w:rsidR="00B86CAC" w:rsidRPr="00B86CAC">
        <w:rPr>
          <w:rFonts w:ascii="Times New Roman" w:hAnsi="Times New Roman"/>
          <w:sz w:val="20"/>
          <w:lang w:val="en-GB"/>
        </w:rPr>
        <w:t>TA offset setting for NR coexistence with NB-IoT</w:t>
      </w:r>
      <w:r w:rsidRPr="004011D8">
        <w:rPr>
          <w:rFonts w:ascii="Times New Roman" w:hAnsi="Times New Roman"/>
          <w:sz w:val="20"/>
        </w:rPr>
        <w:t xml:space="preserve">, </w:t>
      </w:r>
      <w:r w:rsidR="00682362">
        <w:rPr>
          <w:rFonts w:ascii="Times New Roman" w:hAnsi="Times New Roman"/>
          <w:sz w:val="20"/>
        </w:rPr>
        <w:t>Nokia</w:t>
      </w:r>
      <w:r w:rsidR="004011D8" w:rsidRPr="004011D8">
        <w:rPr>
          <w:rFonts w:ascii="Times New Roman" w:hAnsi="Times New Roman"/>
          <w:sz w:val="20"/>
        </w:rPr>
        <w:t>.</w:t>
      </w:r>
    </w:p>
    <w:p w14:paraId="0751FDC2" w14:textId="0B60C2F1" w:rsidR="00780437" w:rsidRDefault="00780437" w:rsidP="00780437">
      <w:pPr>
        <w:pStyle w:val="ListParagraph"/>
        <w:numPr>
          <w:ilvl w:val="0"/>
          <w:numId w:val="4"/>
        </w:numPr>
        <w:spacing w:before="120"/>
        <w:ind w:left="714" w:hanging="357"/>
        <w:contextualSpacing w:val="0"/>
        <w:rPr>
          <w:rFonts w:ascii="Times New Roman" w:hAnsi="Times New Roman"/>
          <w:sz w:val="20"/>
        </w:rPr>
      </w:pPr>
      <w:r w:rsidRPr="004011D8">
        <w:rPr>
          <w:rFonts w:ascii="Times New Roman" w:hAnsi="Times New Roman"/>
          <w:sz w:val="20"/>
        </w:rPr>
        <w:t>R4-200</w:t>
      </w:r>
      <w:r w:rsidR="0021594A">
        <w:rPr>
          <w:rFonts w:ascii="Times New Roman" w:hAnsi="Times New Roman"/>
          <w:sz w:val="20"/>
        </w:rPr>
        <w:t>1553</w:t>
      </w:r>
      <w:r w:rsidRPr="004011D8">
        <w:rPr>
          <w:rFonts w:ascii="Times New Roman" w:hAnsi="Times New Roman"/>
          <w:sz w:val="20"/>
        </w:rPr>
        <w:t xml:space="preserve">, </w:t>
      </w:r>
      <w:r w:rsidR="0021594A" w:rsidRPr="0021594A">
        <w:rPr>
          <w:rFonts w:ascii="Times New Roman" w:hAnsi="Times New Roman"/>
          <w:sz w:val="20"/>
        </w:rPr>
        <w:t>Discussion on the TA offset setting for NR and NB-IoT coexistence</w:t>
      </w:r>
      <w:r w:rsidRPr="004011D8">
        <w:rPr>
          <w:rFonts w:ascii="Times New Roman" w:hAnsi="Times New Roman"/>
          <w:sz w:val="20"/>
        </w:rPr>
        <w:t xml:space="preserve">, </w:t>
      </w:r>
      <w:r w:rsidR="00B86CAC">
        <w:rPr>
          <w:rFonts w:ascii="Times New Roman" w:hAnsi="Times New Roman"/>
          <w:sz w:val="20"/>
        </w:rPr>
        <w:t>Huawei</w:t>
      </w:r>
      <w:r w:rsidRPr="004011D8">
        <w:rPr>
          <w:rFonts w:ascii="Times New Roman" w:hAnsi="Times New Roman"/>
          <w:sz w:val="20"/>
        </w:rPr>
        <w:t>.</w:t>
      </w:r>
    </w:p>
    <w:p w14:paraId="601A7FDC" w14:textId="1E6006FF" w:rsidR="00A43C75" w:rsidRPr="00A43C75" w:rsidRDefault="00A43C75" w:rsidP="00A43C75">
      <w:pPr>
        <w:pStyle w:val="ListParagraph"/>
        <w:numPr>
          <w:ilvl w:val="0"/>
          <w:numId w:val="4"/>
        </w:numPr>
        <w:spacing w:before="120"/>
        <w:ind w:left="714" w:hanging="357"/>
        <w:contextualSpacing w:val="0"/>
        <w:rPr>
          <w:rFonts w:ascii="Times New Roman" w:hAnsi="Times New Roman"/>
          <w:sz w:val="20"/>
        </w:rPr>
      </w:pPr>
      <w:r w:rsidRPr="004011D8">
        <w:rPr>
          <w:rFonts w:ascii="Times New Roman" w:hAnsi="Times New Roman"/>
          <w:sz w:val="20"/>
        </w:rPr>
        <w:t>R4-20</w:t>
      </w:r>
      <w:r w:rsidR="00682362">
        <w:rPr>
          <w:rFonts w:ascii="Times New Roman" w:hAnsi="Times New Roman"/>
          <w:sz w:val="20"/>
        </w:rPr>
        <w:t>xxx</w:t>
      </w:r>
      <w:r w:rsidRPr="004011D8">
        <w:rPr>
          <w:rFonts w:ascii="Times New Roman" w:hAnsi="Times New Roman"/>
          <w:sz w:val="20"/>
        </w:rPr>
        <w:t>,</w:t>
      </w:r>
      <w:r w:rsidRPr="006C15E6">
        <w:rPr>
          <w:rFonts w:ascii="Times New Roman" w:hAnsi="Times New Roman"/>
          <w:sz w:val="20"/>
          <w:lang w:val="en-GB"/>
        </w:rPr>
        <w:t xml:space="preserve"> </w:t>
      </w:r>
      <w:r w:rsidR="00B86CAC" w:rsidRPr="00B86CAC">
        <w:rPr>
          <w:rFonts w:ascii="Times New Roman" w:hAnsi="Times New Roman"/>
          <w:sz w:val="20"/>
          <w:lang w:val="en-GB"/>
        </w:rPr>
        <w:t>NTA offset under NR and NB-IoT coexistence in 38.133</w:t>
      </w:r>
      <w:r w:rsidRPr="004011D8">
        <w:rPr>
          <w:rFonts w:ascii="Times New Roman" w:hAnsi="Times New Roman"/>
          <w:sz w:val="20"/>
        </w:rPr>
        <w:t xml:space="preserve">, </w:t>
      </w:r>
      <w:r w:rsidR="00B86CAC">
        <w:rPr>
          <w:rFonts w:ascii="Times New Roman" w:hAnsi="Times New Roman"/>
          <w:sz w:val="20"/>
        </w:rPr>
        <w:t>Ericsson</w:t>
      </w:r>
      <w:r w:rsidRPr="004011D8">
        <w:rPr>
          <w:rFonts w:ascii="Times New Roman" w:hAnsi="Times New Roman"/>
          <w:sz w:val="20"/>
        </w:rPr>
        <w:t>.</w:t>
      </w:r>
    </w:p>
    <w:p w14:paraId="5E481A36" w14:textId="5223B672" w:rsidR="002630E0" w:rsidRPr="00143422" w:rsidRDefault="002630E0" w:rsidP="002630E0">
      <w:pPr>
        <w:spacing w:before="120"/>
        <w:rPr>
          <w:lang w:val="en-US"/>
        </w:rPr>
      </w:pPr>
    </w:p>
    <w:p w14:paraId="3F1B1BB7" w14:textId="3B89043A" w:rsidR="002630E0" w:rsidRDefault="002630E0">
      <w:pPr>
        <w:spacing w:after="0"/>
      </w:pPr>
    </w:p>
    <w:sectPr w:rsidR="002630E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7D765" w14:textId="77777777" w:rsidR="00143422" w:rsidRDefault="00143422">
      <w:r>
        <w:separator/>
      </w:r>
    </w:p>
  </w:endnote>
  <w:endnote w:type="continuationSeparator" w:id="0">
    <w:p w14:paraId="2C6171FA" w14:textId="77777777" w:rsidR="00143422" w:rsidRDefault="0014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2746" w14:textId="77777777" w:rsidR="00143422" w:rsidRDefault="00143422">
      <w:r>
        <w:separator/>
      </w:r>
    </w:p>
  </w:footnote>
  <w:footnote w:type="continuationSeparator" w:id="0">
    <w:p w14:paraId="6B166F0A" w14:textId="77777777" w:rsidR="00143422" w:rsidRDefault="00143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1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37" w:hanging="360"/>
      </w:pPr>
    </w:lvl>
    <w:lvl w:ilvl="2" w:tplc="041D001B" w:tentative="1">
      <w:start w:val="1"/>
      <w:numFmt w:val="lowerRoman"/>
      <w:lvlText w:val="%3."/>
      <w:lvlJc w:val="right"/>
      <w:pPr>
        <w:ind w:left="2157" w:hanging="180"/>
      </w:pPr>
    </w:lvl>
    <w:lvl w:ilvl="3" w:tplc="041D000F" w:tentative="1">
      <w:start w:val="1"/>
      <w:numFmt w:val="decimal"/>
      <w:lvlText w:val="%4."/>
      <w:lvlJc w:val="left"/>
      <w:pPr>
        <w:ind w:left="2877" w:hanging="360"/>
      </w:pPr>
    </w:lvl>
    <w:lvl w:ilvl="4" w:tplc="041D0019" w:tentative="1">
      <w:start w:val="1"/>
      <w:numFmt w:val="lowerLetter"/>
      <w:lvlText w:val="%5."/>
      <w:lvlJc w:val="left"/>
      <w:pPr>
        <w:ind w:left="3597" w:hanging="360"/>
      </w:pPr>
    </w:lvl>
    <w:lvl w:ilvl="5" w:tplc="041D001B" w:tentative="1">
      <w:start w:val="1"/>
      <w:numFmt w:val="lowerRoman"/>
      <w:lvlText w:val="%6."/>
      <w:lvlJc w:val="right"/>
      <w:pPr>
        <w:ind w:left="4317" w:hanging="180"/>
      </w:pPr>
    </w:lvl>
    <w:lvl w:ilvl="6" w:tplc="041D000F" w:tentative="1">
      <w:start w:val="1"/>
      <w:numFmt w:val="decimal"/>
      <w:lvlText w:val="%7."/>
      <w:lvlJc w:val="left"/>
      <w:pPr>
        <w:ind w:left="5037" w:hanging="360"/>
      </w:pPr>
    </w:lvl>
    <w:lvl w:ilvl="7" w:tplc="041D0019" w:tentative="1">
      <w:start w:val="1"/>
      <w:numFmt w:val="lowerLetter"/>
      <w:lvlText w:val="%8."/>
      <w:lvlJc w:val="left"/>
      <w:pPr>
        <w:ind w:left="5757" w:hanging="360"/>
      </w:pPr>
    </w:lvl>
    <w:lvl w:ilvl="8" w:tplc="041D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7"/>
  </w:num>
  <w:num w:numId="4">
    <w:abstractNumId w:val="0"/>
  </w:num>
  <w:num w:numId="5">
    <w:abstractNumId w:val="10"/>
  </w:num>
  <w:num w:numId="6">
    <w:abstractNumId w:val="16"/>
  </w:num>
  <w:num w:numId="7">
    <w:abstractNumId w:val="13"/>
  </w:num>
  <w:num w:numId="8">
    <w:abstractNumId w:val="11"/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2"/>
  </w:num>
  <w:num w:numId="17">
    <w:abstractNumId w:val="6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B9C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911"/>
    <w:rsid w:val="000D7DE0"/>
    <w:rsid w:val="000E0A75"/>
    <w:rsid w:val="000E0E0D"/>
    <w:rsid w:val="000E2319"/>
    <w:rsid w:val="000E4521"/>
    <w:rsid w:val="000E57FF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309E"/>
    <w:rsid w:val="00203446"/>
    <w:rsid w:val="00203B06"/>
    <w:rsid w:val="00204E57"/>
    <w:rsid w:val="0020533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594A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522B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388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6C48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7032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637A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650D"/>
    <w:rsid w:val="0057703E"/>
    <w:rsid w:val="00577B04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247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362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056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DDD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79E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47AB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90D"/>
    <w:rsid w:val="00915F9C"/>
    <w:rsid w:val="009161D4"/>
    <w:rsid w:val="00922DE3"/>
    <w:rsid w:val="0092317E"/>
    <w:rsid w:val="009233C5"/>
    <w:rsid w:val="0092453D"/>
    <w:rsid w:val="00924665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5721F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AD5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F50"/>
    <w:rsid w:val="00A517CE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013"/>
    <w:rsid w:val="00A844E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E2046"/>
    <w:rsid w:val="00AE2C7A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726"/>
    <w:rsid w:val="00B85E21"/>
    <w:rsid w:val="00B86CAC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130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D97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68BB"/>
    <w:rsid w:val="00BF6E24"/>
    <w:rsid w:val="00BF6F62"/>
    <w:rsid w:val="00C00273"/>
    <w:rsid w:val="00C01284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8E6"/>
    <w:rsid w:val="00CB6923"/>
    <w:rsid w:val="00CB6E42"/>
    <w:rsid w:val="00CB6E49"/>
    <w:rsid w:val="00CC0DB6"/>
    <w:rsid w:val="00CC1D95"/>
    <w:rsid w:val="00CC2078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72B6"/>
    <w:rsid w:val="00D77779"/>
    <w:rsid w:val="00D8045C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89A"/>
    <w:rsid w:val="00E75E9F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7D6"/>
    <w:rsid w:val="00EA7DCD"/>
    <w:rsid w:val="00EB0305"/>
    <w:rsid w:val="00EB1960"/>
    <w:rsid w:val="00EB20C3"/>
    <w:rsid w:val="00EB32E8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4A4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161C"/>
    <w:rsid w:val="00EF1639"/>
    <w:rsid w:val="00EF21B4"/>
    <w:rsid w:val="00EF2AD1"/>
    <w:rsid w:val="00EF3075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B7E7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documentManagement/types"/>
    <ds:schemaRef ds:uri="http://schemas.openxmlformats.org/package/2006/metadata/core-properties"/>
    <ds:schemaRef ds:uri="db33437f-65a5-48c5-b537-19efd290f967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6f846979-0e6f-42ff-8b87-e1893efeda9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BC2B6D-D0B0-4561-8AC1-909AF1866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665E8-DE7D-4260-A435-42C3F6B1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736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2020-04-10T14:04:00Z</dcterms:created>
  <dcterms:modified xsi:type="dcterms:W3CDTF">2020-04-10T14:04:00Z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