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639"/>
        </w:tabs>
        <w:spacing w:after="100" w:afterAutospacing="1"/>
        <w:rPr>
          <w:rFonts w:cs="Arial" w:eastAsiaTheme="minorEastAsia"/>
          <w:b/>
          <w:sz w:val="24"/>
          <w:szCs w:val="24"/>
          <w:lang w:eastAsia="zh-CN"/>
        </w:rPr>
      </w:pPr>
      <w:bookmarkStart w:id="0" w:name="Title"/>
      <w:bookmarkEnd w:id="0"/>
      <w:bookmarkStart w:id="1" w:name="_Hlk491845607"/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#94-e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R4-20xxxxx</w:t>
      </w:r>
    </w:p>
    <w:bookmarkEnd w:id="1"/>
    <w:p>
      <w:pPr>
        <w:tabs>
          <w:tab w:val="right" w:pos="9639"/>
        </w:tabs>
        <w:spacing w:after="100" w:afterAutospacing="1"/>
        <w:rPr>
          <w:rFonts w:ascii="Arial" w:hAnsi="Arial" w:eastAsia="MS Mincho" w:cs="Arial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Electronic Meeting</w:t>
      </w:r>
      <w:r>
        <w:rPr>
          <w:rFonts w:ascii="Arial" w:hAnsi="Arial" w:eastAsia="MS Mincho" w:cs="Arial"/>
          <w:b/>
          <w:sz w:val="24"/>
          <w:szCs w:val="24"/>
        </w:rPr>
        <w:t>,</w:t>
      </w:r>
      <w:r>
        <w:rPr>
          <w:rFonts w:hint="eastAsia" w:ascii="Arial" w:hAnsi="Arial" w:eastAsia="MS Mincho" w:cs="Arial"/>
          <w:b/>
          <w:sz w:val="24"/>
          <w:szCs w:val="24"/>
        </w:rPr>
        <w:t xml:space="preserve"> 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>Feb.24</w:t>
      </w:r>
      <w:r>
        <w:rPr>
          <w:rFonts w:hint="eastAsia" w:ascii="Arial" w:hAnsi="Arial" w:cs="Arial" w:eastAsiaTheme="minorEastAsia"/>
          <w:b/>
          <w:sz w:val="24"/>
          <w:szCs w:val="24"/>
          <w:vertAlign w:val="superscript"/>
          <w:lang w:eastAsia="zh-CN"/>
        </w:rPr>
        <w:t>th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–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 Mar.6</w:t>
      </w:r>
      <w:r>
        <w:rPr>
          <w:rFonts w:hint="eastAsia" w:ascii="Arial" w:hAnsi="Arial" w:cs="Arial" w:eastAsiaTheme="minorEastAsia"/>
          <w:b/>
          <w:sz w:val="24"/>
          <w:szCs w:val="24"/>
          <w:vertAlign w:val="superscript"/>
          <w:lang w:eastAsia="zh-CN"/>
        </w:rPr>
        <w:t>th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 2020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hint="default" w:ascii="Arial" w:hAnsi="Arial" w:cs="Arial" w:eastAsiaTheme="minorEastAsia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6.6,6.9</w:t>
      </w:r>
    </w:p>
    <w:p>
      <w:pPr>
        <w:spacing w:after="120"/>
        <w:ind w:left="1985" w:hanging="1985"/>
        <w:rPr>
          <w:rFonts w:hint="default" w:ascii="Arial" w:hAnsi="Arial" w:eastAsia="宋体" w:cs="Arial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hint="eastAsia" w:ascii="Arial" w:hAnsi="Arial" w:cs="Arial"/>
          <w:color w:val="000000"/>
          <w:sz w:val="22"/>
          <w:highlight w:val="none"/>
          <w:lang w:val="en-US" w:eastAsia="zh-CN"/>
        </w:rPr>
        <w:t>Moderator(ZTE)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hint="eastAsia" w:ascii="Arial" w:hAnsi="Arial" w:cs="Arial" w:eastAsiaTheme="minorEastAsia"/>
          <w:color w:val="000000"/>
          <w:sz w:val="22"/>
          <w:highlight w:val="none"/>
          <w:lang w:eastAsia="zh-CN"/>
        </w:rPr>
        <w:t>RAN4#94e_#78_NR_NewRAT_EMC</w:t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 </w:t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 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For the </w:t>
      </w:r>
      <w:r>
        <w:rPr>
          <w:rFonts w:hint="eastAsia"/>
          <w:lang w:eastAsia="zh-CN"/>
        </w:rPr>
        <w:t>RAN4#94e_#</w:t>
      </w:r>
      <w:r>
        <w:rPr>
          <w:rFonts w:hint="eastAsia"/>
          <w:lang w:val="en-US" w:eastAsia="zh-CN"/>
        </w:rPr>
        <w:t>78</w:t>
      </w:r>
      <w:r>
        <w:rPr>
          <w:rFonts w:hint="eastAsia"/>
          <w:lang w:eastAsia="zh-CN"/>
        </w:rPr>
        <w:t>_NR_NewRAT_EM</w:t>
      </w:r>
      <w:r>
        <w:rPr>
          <w:rFonts w:hint="eastAsia"/>
          <w:lang w:val="en-US" w:eastAsia="zh-CN"/>
        </w:rPr>
        <w:t>C, the main topics are about BS and UE EMC including agenda item 6.6, 6.9 and 8.5.6. The discussion will separate into two parts: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Topic #1: NR EMC for agenda item 6.9</w:t>
      </w:r>
    </w:p>
    <w:p>
      <w:pPr>
        <w:bidi w:val="0"/>
        <w:ind w:firstLine="28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Topic #2:  IAB EMC for agenda item 8.5.6. 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>
      <w:pPr>
        <w:pStyle w:val="149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TBA</w:t>
      </w:r>
    </w:p>
    <w:p>
      <w:pPr>
        <w:pStyle w:val="149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>
      <w:pPr>
        <w:rPr>
          <w:color w:val="0070C0"/>
          <w:lang w:eastAsia="zh-CN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NR EMC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For agenda item 6.9: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7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eastAsia="Yu Mincho"/>
              </w:rPr>
              <w:t>R4-20</w:t>
            </w:r>
            <w:r>
              <w:rPr>
                <w:rFonts w:hint="eastAsia"/>
                <w:lang w:val="en-US" w:eastAsia="zh-CN"/>
              </w:rPr>
              <w:t>01252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To add TX exclusion band for NR BS type 1-O. 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exclusion band is Δf</w:t>
            </w:r>
            <w:r>
              <w:rPr>
                <w:rFonts w:hint="eastAsia"/>
                <w:vertAlign w:val="subscript"/>
                <w:lang w:val="en-US" w:eastAsia="zh-CN"/>
              </w:rPr>
              <w:t>OBUE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R4-2001717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To add TX exclusion band for OTA AAS BS. 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/>
                <w:lang w:val="en-US" w:eastAsia="zh-CN"/>
              </w:rPr>
              <w:t>The exclusion band is Δf</w:t>
            </w:r>
            <w:r>
              <w:rPr>
                <w:rFonts w:hint="eastAsia"/>
                <w:vertAlign w:val="subscript"/>
                <w:lang w:val="en-US" w:eastAsia="zh-CN"/>
              </w:rPr>
              <w:t>OBUE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R4-2001905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Reduction of test configuration for MSR 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R4-2001906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Add reverberation chamber for RX immunity test.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R4-2001832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Huawei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b/>
                <w:lang w:eastAsia="zh-CN"/>
              </w:rPr>
              <w:t>Proposal 1</w:t>
            </w:r>
            <w:r>
              <w:rPr>
                <w:lang w:eastAsia="zh-CN"/>
              </w:rPr>
              <w:t xml:space="preserve">: agree on the introduction of the direct field strength measurement test method for the EMC Radiated Emissions requirements of the BS type 1-C and BS type 1-H in TS 38.113.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R4-2001833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Huawei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Correspond CR for the Discussion above.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New limit and test method for the field strength metric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pStyle w:val="4"/>
        <w:rPr>
          <w:sz w:val="24"/>
          <w:szCs w:val="16"/>
        </w:rPr>
      </w:pPr>
      <w:r>
        <w:rPr>
          <w:rFonts w:hint="eastAsia"/>
          <w:sz w:val="24"/>
          <w:szCs w:val="16"/>
          <w:lang w:val="en-US" w:eastAsia="zh-CN"/>
        </w:rPr>
        <w:t>TX exclusion band:</w:t>
      </w:r>
    </w:p>
    <w:p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hint="default"/>
          <w:sz w:val="21"/>
          <w:szCs w:val="22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The TX exclusion band has been agreed for BS type 1-O and OTA AAS BS in RAN4#93 meeting, however, the value is not decided yet.</w:t>
      </w:r>
    </w:p>
    <w:p>
      <w:pPr>
        <w:rPr>
          <w:rFonts w:hint="default" w:eastAsia="宋体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Issue 1-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TX exclusion band value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Use Δf</w:t>
      </w:r>
      <w:r>
        <w:rPr>
          <w:rFonts w:hint="eastAsia" w:eastAsia="宋体"/>
          <w:color w:val="000000" w:themeColor="text1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OBUE</w:t>
      </w: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as TX exclusion band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Option 2: TBA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TBA</w:t>
      </w:r>
    </w:p>
    <w:p>
      <w:pPr>
        <w:pStyle w:val="149"/>
        <w:numPr>
          <w:ilvl w:val="0"/>
          <w:numId w:val="0"/>
        </w:numPr>
        <w:overflowPunct/>
        <w:autoSpaceDE/>
        <w:autoSpaceDN/>
        <w:adjustRightInd/>
        <w:spacing w:after="120"/>
        <w:textAlignment w:val="auto"/>
        <w:rPr>
          <w:i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sz w:val="24"/>
          <w:szCs w:val="16"/>
        </w:rPr>
      </w:pPr>
      <w:r>
        <w:rPr>
          <w:rFonts w:hint="eastAsia"/>
          <w:sz w:val="24"/>
          <w:szCs w:val="16"/>
          <w:lang w:val="en-US" w:eastAsia="zh-CN"/>
        </w:rPr>
        <w:t>Reduction of test configuration for MSR BS</w:t>
      </w:r>
    </w:p>
    <w:p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hint="default"/>
          <w:sz w:val="21"/>
          <w:szCs w:val="22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A set of EMC test configuration reduction proposal based on test result covering has been provided.</w:t>
      </w:r>
    </w:p>
    <w:p>
      <w:pPr>
        <w:rPr>
          <w:rFonts w:hint="default" w:eastAsia="宋体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Issue 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How to treat the test result covering issue  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NB-IoT cover GSM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LTE cover WCDMA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NR cover LTE/WCDMA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More technical reason analysis is needed before the reduction</w:t>
      </w:r>
    </w:p>
    <w:p>
      <w:pPr>
        <w:pStyle w:val="4"/>
        <w:numPr>
          <w:ilvl w:val="2"/>
          <w:numId w:val="0"/>
        </w:numPr>
        <w:ind w:leftChars="0"/>
        <w:rPr>
          <w:sz w:val="24"/>
          <w:szCs w:val="16"/>
        </w:rPr>
      </w:pPr>
    </w:p>
    <w:p>
      <w:pPr>
        <w:pStyle w:val="4"/>
        <w:rPr>
          <w:sz w:val="24"/>
          <w:szCs w:val="16"/>
        </w:rPr>
      </w:pPr>
      <w:r>
        <w:rPr>
          <w:rFonts w:hint="eastAsia"/>
          <w:sz w:val="24"/>
          <w:szCs w:val="16"/>
          <w:lang w:val="en-US" w:eastAsia="zh-CN"/>
        </w:rPr>
        <w:t>Field strength measurement for radiated emission</w:t>
      </w:r>
    </w:p>
    <w:p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hint="eastAsia"/>
          <w:sz w:val="21"/>
          <w:szCs w:val="22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Despite current EIRP radiated emission measurement, a measurement based on CISPR 32 is provided:</w:t>
      </w:r>
    </w:p>
    <w:p>
      <w:pP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Issue 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New metric for radiated emission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Add as one optional test method 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new test method is provided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rPr>
          <w:color w:val="0070C0"/>
          <w:lang w:val="en-US" w:eastAsia="zh-CN"/>
        </w:rPr>
      </w:pP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7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6"/>
        <w:gridCol w:w="8389"/>
        <w:gridCol w:w="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ZZZ</w:t>
            </w:r>
          </w:p>
        </w:tc>
        <w:tc>
          <w:tcPr>
            <w:tcW w:w="8615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7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0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25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</w:rPr>
              <w:t>R4-20</w:t>
            </w:r>
            <w:r>
              <w:rPr>
                <w:rFonts w:hint="eastAsia"/>
                <w:lang w:val="en-US" w:eastAsia="zh-CN"/>
              </w:rPr>
              <w:t>01252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R4-2001717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gridSpan w:val="2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R4-2001906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gridSpan w:val="2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R4-2001833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gridSpan w:val="2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57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57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1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26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242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</w:rPr>
              <w:t>R4-20</w:t>
            </w:r>
            <w:r>
              <w:rPr>
                <w:rFonts w:hint="eastAsia"/>
                <w:lang w:val="en-US" w:eastAsia="zh-CN"/>
              </w:rPr>
              <w:t>01252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242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R4-2001717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242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R4-2001906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242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R4-2001833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/>
    <w:p>
      <w:pPr>
        <w:pStyle w:val="2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rFonts w:hint="eastAsia"/>
          <w:lang w:val="en-US" w:eastAsia="zh-CN"/>
        </w:rPr>
        <w:t>IAB EMC</w:t>
      </w:r>
    </w:p>
    <w:p>
      <w:pPr>
        <w:bidi w:val="0"/>
      </w:pPr>
      <w:r>
        <w:rPr>
          <w:rFonts w:hint="eastAsia"/>
          <w:lang w:val="en-US" w:eastAsia="zh-CN"/>
        </w:rPr>
        <w:t>The IAB EMC has been discussed in this topic and to answer the questions from last meeting. Set of core requirements has been discussed.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7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R4-2001253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Proposal 1: Radiated emission requirement for IAB with different enclosure, the requirements are the same and they are applied per enclosure.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Proposal 2: For TDM IAB-node with only one enclosure, reuse current radiated emission requirement of BS in TS 38.113.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Proposal 3: For FDM and SDM IAB-node with only one enclosure, radiated emission should be tested in 3 cases based on declaration.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Proposal 4: Similar principle of BS EMC spec for the type 1-O and 2-O  BS will be applied to the type 1-O and 2-O TDM IAB-node for radiated emission requirement.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Proposal 5: For IAB with different enclosure, the conducted emission limit of Class A and Class B applies based on different usage environment.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Proposal 6: Reuse base station requirement for harmonic current emission and voltage fluctuation and flicker to an IAB-node.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R4-2001254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bookmarkStart w:id="2" w:name="OLE_LINK1"/>
            <w:r>
              <w:rPr>
                <w:rFonts w:hint="eastAsia"/>
                <w:lang w:val="en-US" w:eastAsia="zh-CN"/>
              </w:rPr>
              <w:t>ZTE</w:t>
            </w:r>
            <w:bookmarkEnd w:id="2"/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 xml:space="preserve">Observation 1: EMC immunity requirement is defined per enclosure/port and its location environment. 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Observation 2: The immunity test which are based on IEC 61000 series will be similar for DU and MT, however, the test level can be different.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Observation 3: The immunity test based on ports can be finalized as tests and requirements are defined specifically on ports but with different levels for different environment.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Observation 4: For different enclosure case, the radiated immunity test can be performed for each enclosure as UE requiremaent for MT and BS requirement for DU.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Observation 5: The easiest way to define radiated immunity test for one enclosure case is test each function separately, but this method cannot test the real case of IAB function.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R4-2001255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TP to TR on IAB EMC emission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R4-2001256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TP to TR on IAB EMC immunity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R4-2001257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TP to  TR on explain the difference for structure of IAB EMC and RF requirement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bidi w:val="0"/>
        <w:rPr>
          <w:lang w:eastAsia="zh-CN"/>
        </w:rPr>
      </w:pPr>
      <w:r>
        <w:rPr>
          <w:rFonts w:hint="eastAsia"/>
          <w:lang w:val="en-US" w:eastAsia="zh-CN"/>
        </w:rPr>
        <w:t>The IAB EMC discussion follows the WF R4-1916077 from RAN4#93, main issues listed in the WF has been discussed</w:t>
      </w:r>
      <w:r>
        <w:rPr>
          <w:rFonts w:hint="eastAsia"/>
        </w:rPr>
        <w:t>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  <w:lang w:val="en-US" w:eastAsia="zh-CN"/>
        </w:rPr>
        <w:t>2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  <w:lang w:val="en-US" w:eastAsia="zh-CN"/>
        </w:rPr>
        <w:t xml:space="preserve"> IAB emission requirement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The emission requirement has been separated into radiated emission and other emission requirement. For radiated emission, detail discussion based on enclosure and multiplex mode has been provided.</w:t>
      </w:r>
    </w:p>
    <w:p>
      <w:pPr>
        <w:rPr>
          <w:rFonts w:hint="default" w:eastAsia="宋体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Issue 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-1: 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IAB radiated emission requirement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Different enclosure: requirement applies per enclosure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One enclosure: </w:t>
      </w:r>
    </w:p>
    <w:p>
      <w:pPr>
        <w:pStyle w:val="149"/>
        <w:numPr>
          <w:ilvl w:val="2"/>
          <w:numId w:val="3"/>
        </w:numPr>
        <w:overflowPunct/>
        <w:autoSpaceDE/>
        <w:autoSpaceDN/>
        <w:adjustRightInd/>
        <w:spacing w:after="120"/>
        <w:ind w:left="1860" w:leftChars="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TDM IAB node reuse base station requirement</w:t>
      </w:r>
    </w:p>
    <w:p>
      <w:pPr>
        <w:pStyle w:val="149"/>
        <w:numPr>
          <w:ilvl w:val="2"/>
          <w:numId w:val="3"/>
        </w:numPr>
        <w:overflowPunct/>
        <w:autoSpaceDE/>
        <w:autoSpaceDN/>
        <w:adjustRightInd/>
        <w:spacing w:after="120"/>
        <w:ind w:left="1860" w:leftChars="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FDM and SDM IAB node need 3 test cases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1-O and 2-O IAB: follow BS principle as radiated spurious emission will cover radiated emission 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TBA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eastAsia="宋体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Issue 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IAB conducted emission requirement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Class A and Class B limits to be defined for indoor and outdoor use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TBA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eastAsia="宋体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Issue 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Harmonic and current requirement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Reuse bases station requirement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TBA</w:t>
      </w:r>
    </w:p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  <w:lang w:val="en-US" w:eastAsia="zh-CN"/>
        </w:rPr>
        <w:t>IAB immunity requirement</w:t>
      </w:r>
    </w:p>
    <w:p>
      <w:pPr>
        <w:bidi w:val="0"/>
        <w:rPr>
          <w:lang w:val="en-US" w:eastAsia="zh-CN"/>
        </w:rPr>
      </w:pPr>
      <w:r>
        <w:rPr>
          <w:rFonts w:hint="eastAsia"/>
          <w:lang w:val="en-US" w:eastAsia="zh-CN"/>
        </w:rPr>
        <w:t>For immunity requirement, it is divided into radiated immunity requirement and other immunity requirement:</w:t>
      </w:r>
    </w:p>
    <w:p>
      <w:pPr>
        <w:rPr>
          <w:rFonts w:hint="default" w:eastAsia="宋体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Issue 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Radiated immunity requirement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Different enclosure: UE requirement apply to MT and BS requirement apply to DU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One enclosure: Test each function separately. However, more discussion is needed.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TBA</w:t>
      </w:r>
    </w:p>
    <w:p>
      <w:pPr>
        <w:rPr>
          <w:rFonts w:hint="default" w:eastAsia="宋体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Issue 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/>
          <w:b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Other immunity test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Different enclosure:</w:t>
      </w:r>
    </w:p>
    <w:p>
      <w:pPr>
        <w:pStyle w:val="149"/>
        <w:numPr>
          <w:ilvl w:val="2"/>
          <w:numId w:val="3"/>
        </w:numPr>
        <w:overflowPunct/>
        <w:autoSpaceDE/>
        <w:autoSpaceDN/>
        <w:adjustRightInd/>
        <w:spacing w:after="120"/>
        <w:ind w:left="1860" w:leftChars="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test methods are similar</w:t>
      </w:r>
    </w:p>
    <w:p>
      <w:pPr>
        <w:pStyle w:val="149"/>
        <w:numPr>
          <w:ilvl w:val="2"/>
          <w:numId w:val="3"/>
        </w:numPr>
        <w:overflowPunct/>
        <w:autoSpaceDE/>
        <w:autoSpaceDN/>
        <w:adjustRightInd/>
        <w:spacing w:after="120"/>
        <w:ind w:left="1860" w:leftChars="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Test levels can be different based on use environment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7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6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21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21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ZZZ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7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0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25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</w:rPr>
              <w:t>R4-20</w:t>
            </w:r>
            <w:r>
              <w:rPr>
                <w:rFonts w:hint="eastAsia"/>
                <w:lang w:val="en-US" w:eastAsia="zh-CN"/>
              </w:rPr>
              <w:t>01255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gridSpan w:val="2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</w:rPr>
              <w:t>R4-20</w:t>
            </w:r>
            <w:r>
              <w:rPr>
                <w:rFonts w:hint="eastAsia"/>
                <w:lang w:val="en-US" w:eastAsia="zh-CN"/>
              </w:rPr>
              <w:t>01256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gridSpan w:val="2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</w:rPr>
              <w:t>R4-20</w:t>
            </w:r>
            <w:r>
              <w:rPr>
                <w:rFonts w:hint="eastAsia"/>
                <w:lang w:val="en-US" w:eastAsia="zh-CN"/>
              </w:rPr>
              <w:t>01257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gridSpan w:val="2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7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7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1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26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242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bookmarkStart w:id="3" w:name="_GoBack"/>
            <w:bookmarkEnd w:id="3"/>
            <w:r>
              <w:rPr>
                <w:rFonts w:eastAsia="Yu Mincho"/>
              </w:rPr>
              <w:t>R4-20</w:t>
            </w:r>
            <w:r>
              <w:rPr>
                <w:rFonts w:hint="eastAsia"/>
                <w:lang w:val="en-US" w:eastAsia="zh-CN"/>
              </w:rPr>
              <w:t>01255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242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</w:rPr>
              <w:t>R4-20</w:t>
            </w:r>
            <w:r>
              <w:rPr>
                <w:rFonts w:hint="eastAsia"/>
                <w:lang w:val="en-US" w:eastAsia="zh-CN"/>
              </w:rPr>
              <w:t>01256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42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</w:rPr>
              <w:t>R4-20</w:t>
            </w:r>
            <w:r>
              <w:rPr>
                <w:rFonts w:hint="eastAsia"/>
                <w:lang w:val="en-US" w:eastAsia="zh-CN"/>
              </w:rPr>
              <w:t>01257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lang w:val="en-US" w:eastAsia="zh-CN"/>
        </w:rPr>
      </w:pPr>
    </w:p>
    <w:p>
      <w:pPr>
        <w:rPr>
          <w:lang w:val="sv-SE" w:eastAsia="zh-CN"/>
        </w:rPr>
      </w:pPr>
    </w:p>
    <w:p>
      <w:pPr>
        <w:rPr>
          <w:rFonts w:ascii="Arial" w:hAnsi="Arial"/>
          <w:lang w:val="sv-SE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 Unicode MS">
    <w:altName w:val="Arial"/>
    <w:panose1 w:val="020B0604020202020204"/>
    <w:charset w:val="81"/>
    <w:family w:val="modern"/>
    <w:pitch w:val="default"/>
    <w:sig w:usb0="00000000" w:usb1="00000000" w:usb2="0000003F" w:usb3="00000000" w:csb0="003F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2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6177"/>
    <w:rsid w:val="001D0363"/>
    <w:rsid w:val="001D7D94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260D7"/>
    <w:rsid w:val="00336697"/>
    <w:rsid w:val="003418CB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6B0F"/>
    <w:rsid w:val="004C7DC8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9DB"/>
    <w:rsid w:val="00534C89"/>
    <w:rsid w:val="00541573"/>
    <w:rsid w:val="0054348A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7324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D363D39"/>
    <w:rsid w:val="323E0634"/>
    <w:rsid w:val="32FD68DA"/>
    <w:rsid w:val="6BF21BA0"/>
    <w:rsid w:val="78A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nhideWhenUsed="0" w:uiPriority="0" w:semiHidden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nhideWhenUsed="0" w:uiPriority="0" w:semiHidden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49">
    <w:name w:val="Default Paragraph Font"/>
    <w:semiHidden/>
    <w:unhideWhenUsed/>
    <w:uiPriority w:val="1"/>
  </w:style>
  <w:style w:type="table" w:default="1" w:styleId="5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annotation subject"/>
    <w:basedOn w:val="16"/>
    <w:next w:val="16"/>
    <w:link w:val="129"/>
    <w:qFormat/>
    <w:uiPriority w:val="0"/>
    <w:rPr>
      <w:b/>
      <w:bCs/>
    </w:rPr>
  </w:style>
  <w:style w:type="paragraph" w:styleId="16">
    <w:name w:val="annotation text"/>
    <w:basedOn w:val="1"/>
    <w:link w:val="108"/>
    <w:qFormat/>
    <w:uiPriority w:val="99"/>
  </w:style>
  <w:style w:type="paragraph" w:styleId="17">
    <w:name w:val="toc 7"/>
    <w:basedOn w:val="18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8">
    <w:name w:val="toc 6"/>
    <w:basedOn w:val="19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9">
    <w:name w:val="toc 5"/>
    <w:basedOn w:val="20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20">
    <w:name w:val="toc 4"/>
    <w:basedOn w:val="21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21">
    <w:name w:val="toc 3"/>
    <w:basedOn w:val="22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2">
    <w:name w:val="toc 2"/>
    <w:basedOn w:val="23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3">
    <w:name w:val="toc 1"/>
    <w:next w:val="1"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4">
    <w:name w:val="List Number 2"/>
    <w:basedOn w:val="25"/>
    <w:qFormat/>
    <w:uiPriority w:val="0"/>
    <w:pPr>
      <w:ind w:left="851"/>
    </w:pPr>
  </w:style>
  <w:style w:type="paragraph" w:styleId="25">
    <w:name w:val="List Number"/>
    <w:basedOn w:val="14"/>
    <w:qFormat/>
    <w:uiPriority w:val="0"/>
  </w:style>
  <w:style w:type="paragraph" w:styleId="26">
    <w:name w:val="List Bullet 4"/>
    <w:basedOn w:val="27"/>
    <w:uiPriority w:val="0"/>
    <w:pPr>
      <w:ind w:left="1418"/>
    </w:pPr>
  </w:style>
  <w:style w:type="paragraph" w:styleId="27">
    <w:name w:val="List Bullet 3"/>
    <w:basedOn w:val="28"/>
    <w:qFormat/>
    <w:uiPriority w:val="0"/>
    <w:pPr>
      <w:ind w:left="1135"/>
    </w:pPr>
  </w:style>
  <w:style w:type="paragraph" w:styleId="28">
    <w:name w:val="List Bullet 2"/>
    <w:basedOn w:val="29"/>
    <w:qFormat/>
    <w:uiPriority w:val="0"/>
    <w:pPr>
      <w:ind w:left="851"/>
    </w:pPr>
  </w:style>
  <w:style w:type="paragraph" w:styleId="29">
    <w:name w:val="List Bullet"/>
    <w:basedOn w:val="14"/>
    <w:qFormat/>
    <w:uiPriority w:val="0"/>
  </w:style>
  <w:style w:type="paragraph" w:styleId="30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31">
    <w:name w:val="Document Map"/>
    <w:basedOn w:val="1"/>
    <w:semiHidden/>
    <w:uiPriority w:val="0"/>
    <w:pPr>
      <w:shd w:val="clear" w:color="auto" w:fill="000080"/>
    </w:pPr>
    <w:rPr>
      <w:rFonts w:ascii="Tahoma" w:hAnsi="Tahoma"/>
    </w:rPr>
  </w:style>
  <w:style w:type="paragraph" w:styleId="32">
    <w:name w:val="Body Text"/>
    <w:basedOn w:val="1"/>
    <w:link w:val="123"/>
    <w:qFormat/>
    <w:uiPriority w:val="0"/>
  </w:style>
  <w:style w:type="paragraph" w:styleId="33">
    <w:name w:val="Plain Text"/>
    <w:basedOn w:val="1"/>
    <w:link w:val="127"/>
    <w:uiPriority w:val="99"/>
    <w:rPr>
      <w:rFonts w:ascii="Courier New" w:hAnsi="Courier New"/>
      <w:lang w:val="nb-NO"/>
    </w:rPr>
  </w:style>
  <w:style w:type="paragraph" w:styleId="34">
    <w:name w:val="List Bullet 5"/>
    <w:basedOn w:val="26"/>
    <w:uiPriority w:val="0"/>
    <w:pPr>
      <w:ind w:left="1702"/>
    </w:pPr>
  </w:style>
  <w:style w:type="paragraph" w:styleId="35">
    <w:name w:val="toc 8"/>
    <w:basedOn w:val="23"/>
    <w:next w:val="1"/>
    <w:qFormat/>
    <w:uiPriority w:val="0"/>
    <w:pPr>
      <w:spacing w:before="180"/>
      <w:ind w:left="2693" w:hanging="2693"/>
    </w:pPr>
    <w:rPr>
      <w:b/>
    </w:rPr>
  </w:style>
  <w:style w:type="paragraph" w:styleId="36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7">
    <w:name w:val="endnote text"/>
    <w:basedOn w:val="1"/>
    <w:link w:val="143"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8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9">
    <w:name w:val="footer"/>
    <w:basedOn w:val="40"/>
    <w:link w:val="133"/>
    <w:qFormat/>
    <w:uiPriority w:val="0"/>
    <w:pPr>
      <w:jc w:val="center"/>
    </w:pPr>
    <w:rPr>
      <w:i/>
    </w:rPr>
  </w:style>
  <w:style w:type="paragraph" w:styleId="40">
    <w:name w:val="header"/>
    <w:link w:val="107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1">
    <w:name w:val="index heading"/>
    <w:basedOn w:val="1"/>
    <w:next w:val="1"/>
    <w:semiHidden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2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3">
    <w:name w:val="List 5"/>
    <w:basedOn w:val="44"/>
    <w:qFormat/>
    <w:uiPriority w:val="0"/>
    <w:pPr>
      <w:ind w:left="1702"/>
    </w:pPr>
  </w:style>
  <w:style w:type="paragraph" w:styleId="44">
    <w:name w:val="List 4"/>
    <w:basedOn w:val="12"/>
    <w:qFormat/>
    <w:uiPriority w:val="0"/>
    <w:pPr>
      <w:ind w:left="1418"/>
    </w:pPr>
  </w:style>
  <w:style w:type="paragraph" w:styleId="45">
    <w:name w:val="toc 9"/>
    <w:basedOn w:val="35"/>
    <w:next w:val="1"/>
    <w:qFormat/>
    <w:uiPriority w:val="0"/>
    <w:pPr>
      <w:ind w:left="1418" w:hanging="1418"/>
    </w:pPr>
  </w:style>
  <w:style w:type="paragraph" w:styleId="46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8">
    <w:name w:val="index 2"/>
    <w:basedOn w:val="47"/>
    <w:next w:val="1"/>
    <w:semiHidden/>
    <w:qFormat/>
    <w:uiPriority w:val="0"/>
    <w:pPr>
      <w:ind w:left="284"/>
    </w:pPr>
  </w:style>
  <w:style w:type="character" w:styleId="50">
    <w:name w:val="endnote reference"/>
    <w:uiPriority w:val="0"/>
    <w:rPr>
      <w:vertAlign w:val="superscript"/>
    </w:rPr>
  </w:style>
  <w:style w:type="character" w:styleId="51">
    <w:name w:val="FollowedHyperlink"/>
    <w:uiPriority w:val="0"/>
    <w:rPr>
      <w:color w:val="800080"/>
      <w:u w:val="single"/>
    </w:rPr>
  </w:style>
  <w:style w:type="character" w:styleId="52">
    <w:name w:val="Emphasis"/>
    <w:qFormat/>
    <w:uiPriority w:val="0"/>
    <w:rPr>
      <w:i/>
      <w:iCs/>
    </w:rPr>
  </w:style>
  <w:style w:type="character" w:styleId="53">
    <w:name w:val="Hyperlink"/>
    <w:uiPriority w:val="0"/>
    <w:rPr>
      <w:color w:val="0000FF"/>
      <w:u w:val="single"/>
    </w:rPr>
  </w:style>
  <w:style w:type="character" w:styleId="54">
    <w:name w:val="annotation reference"/>
    <w:semiHidden/>
    <w:qFormat/>
    <w:uiPriority w:val="0"/>
    <w:rPr>
      <w:sz w:val="16"/>
    </w:rPr>
  </w:style>
  <w:style w:type="character" w:styleId="55">
    <w:name w:val="footnote reference"/>
    <w:semiHidden/>
    <w:qFormat/>
    <w:uiPriority w:val="0"/>
    <w:rPr>
      <w:b/>
      <w:position w:val="6"/>
      <w:sz w:val="16"/>
    </w:rPr>
  </w:style>
  <w:style w:type="table" w:styleId="57">
    <w:name w:val="Table Grid"/>
    <w:basedOn w:val="56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8">
    <w:name w:val="EQ"/>
    <w:basedOn w:val="1"/>
    <w:next w:val="1"/>
    <w:link w:val="150"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uiPriority w:val="0"/>
  </w:style>
  <w:style w:type="paragraph" w:customStyle="1" w:styleId="86">
    <w:name w:val="B3"/>
    <w:basedOn w:val="12"/>
    <w:uiPriority w:val="0"/>
  </w:style>
  <w:style w:type="paragraph" w:customStyle="1" w:styleId="87">
    <w:name w:val="B4"/>
    <w:basedOn w:val="44"/>
    <w:uiPriority w:val="0"/>
  </w:style>
  <w:style w:type="paragraph" w:customStyle="1" w:styleId="88">
    <w:name w:val="B5"/>
    <w:basedOn w:val="43"/>
    <w:uiPriority w:val="0"/>
  </w:style>
  <w:style w:type="paragraph" w:customStyle="1" w:styleId="89">
    <w:name w:val="ZTD"/>
    <w:basedOn w:val="78"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uiPriority w:val="0"/>
    <w:pPr>
      <w:framePr w:y="16161"/>
    </w:pPr>
  </w:style>
  <w:style w:type="paragraph" w:customStyle="1" w:styleId="91">
    <w:name w:val="INDENT1"/>
    <w:basedOn w:val="1"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uiPriority w:val="0"/>
    <w:pPr>
      <w:keepNext/>
      <w:keepLines/>
    </w:pPr>
    <w:rPr>
      <w:b/>
    </w:rPr>
  </w:style>
  <w:style w:type="paragraph" w:customStyle="1" w:styleId="96">
    <w:name w:val="enumlev2"/>
    <w:basedOn w:val="1"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40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16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8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2"/>
    <w:link w:val="30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2"/>
    <w:qFormat/>
    <w:uiPriority w:val="0"/>
    <w:rPr>
      <w:lang w:val="en-GB"/>
    </w:rPr>
  </w:style>
  <w:style w:type="paragraph" w:customStyle="1" w:styleId="124">
    <w:name w:val="3GPP Normal Text"/>
    <w:basedOn w:val="32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3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15"/>
    <w:qFormat/>
    <w:uiPriority w:val="99"/>
    <w:rPr>
      <w:b/>
      <w:bCs/>
      <w:lang w:val="en-GB" w:eastAsia="en-US"/>
    </w:rPr>
  </w:style>
  <w:style w:type="character" w:customStyle="1" w:styleId="130">
    <w:name w:val="Subtle Reference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40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9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49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49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49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49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49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49"/>
    <w:link w:val="36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49"/>
    <w:link w:val="37"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49"/>
    <w:link w:val="42"/>
    <w:semiHidden/>
    <w:uiPriority w:val="0"/>
    <w:rPr>
      <w:sz w:val="16"/>
      <w:lang w:val="en-GB" w:eastAsia="en-US"/>
    </w:rPr>
  </w:style>
  <w:style w:type="paragraph" w:customStyle="1" w:styleId="145">
    <w:name w:val="tah"/>
    <w:basedOn w:val="1"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5F9E4-5B6E-43BC-8AB3-0D84260C23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Pages>6</Pages>
  <Words>751</Words>
  <Characters>4287</Characters>
  <Lines>35</Lines>
  <Paragraphs>10</Paragraphs>
  <TotalTime>0</TotalTime>
  <ScaleCrop>false</ScaleCrop>
  <LinksUpToDate>false</LinksUpToDate>
  <CharactersWithSpaces>5028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2020-02-17T08:40:00Z</dcterms:created>
  <dc:creator>양윤오/책임연구원/미래기술센터 C&amp;M표준(연)5G무선통신표준Task(yoonoh.yang@lge.com)</dc:creator>
  <cp:lastModifiedBy>TR 37.843</cp:lastModifiedBy>
  <cp:lastPrinted>2019-04-25T01:09:00Z</cp:lastPrinted>
  <dcterms:modified xsi:type="dcterms:W3CDTF">2020-02-23T14:01:40Z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2052-10.8.2.7027</vt:lpwstr>
  </property>
</Properties>
</file>