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100" w:afterAutospacing="1"/>
        <w:rPr>
          <w:rFonts w:cs="Arial" w:eastAsiaTheme="minorEastAsia"/>
          <w:b/>
          <w:sz w:val="24"/>
          <w:szCs w:val="24"/>
          <w:lang w:eastAsia="zh-CN"/>
        </w:rPr>
      </w:pPr>
      <w:bookmarkStart w:id="0" w:name="Title"/>
      <w:bookmarkEnd w:id="0"/>
      <w:bookmarkStart w:id="1" w:name="_Hlk491845607"/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#94-e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R4-20xxxxx</w:t>
      </w:r>
    </w:p>
    <w:bookmarkEnd w:id="1"/>
    <w:p>
      <w:pPr>
        <w:tabs>
          <w:tab w:val="right" w:pos="9639"/>
        </w:tabs>
        <w:spacing w:after="100" w:afterAutospacing="1"/>
        <w:rPr>
          <w:rFonts w:ascii="Arial" w:hAnsi="Arial" w:eastAsia="MS Mincho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Electronic Meeting</w:t>
      </w:r>
      <w:r>
        <w:rPr>
          <w:rFonts w:ascii="Arial" w:hAnsi="Arial" w:eastAsia="MS Mincho" w:cs="Arial"/>
          <w:b/>
          <w:sz w:val="24"/>
          <w:szCs w:val="24"/>
        </w:rPr>
        <w:t>,</w:t>
      </w:r>
      <w:r>
        <w:rPr>
          <w:rFonts w:hint="eastAsia" w:ascii="Arial" w:hAnsi="Arial" w:eastAsia="MS Mincho" w:cs="Arial"/>
          <w:b/>
          <w:sz w:val="24"/>
          <w:szCs w:val="24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Feb.24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–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Mar.6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9.18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RAN4#94e_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#31</w:t>
      </w:r>
      <w:bookmarkStart w:id="6" w:name="_GoBack"/>
      <w:bookmarkEnd w:id="6"/>
      <w:r>
        <w:rPr>
          <w:rFonts w:ascii="Arial" w:hAnsi="Arial" w:cs="Arial" w:eastAsiaTheme="minorEastAsia"/>
          <w:color w:val="000000"/>
          <w:sz w:val="22"/>
          <w:lang w:eastAsia="zh-CN"/>
        </w:rPr>
        <w:t>_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NR_n28_BW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>
      <w:pPr>
        <w:pStyle w:val="149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>
      <w:pPr>
        <w:rPr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#1: The updated TR 38.888 v0.1.0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bookmarkStart w:id="4" w:name="OLE_LINK106"/>
            <w:bookmarkStart w:id="5" w:name="OLE_LINK105"/>
            <w:r>
              <w:rPr>
                <w:rFonts w:eastAsia="Yu Mincho"/>
              </w:rP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CBN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Updated TR 38.888 v0.1.0 Adding wider channel bandwidths in NR band n28 based on approved TPs in last meeting.</w:t>
            </w:r>
          </w:p>
        </w:tc>
      </w:tr>
    </w:tbl>
    <w:p/>
    <w:p>
      <w:pPr>
        <w:pStyle w:val="3"/>
      </w:pPr>
      <w:r>
        <w:t>Summary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TR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Layout w:type="fixed"/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 UE part for NR_n28_BW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50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9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</w:rPr>
              <w:t>R4-2000090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</w:rPr>
              <w:t>Qualcomm Incorporated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sz w:val="13"/>
                <w:szCs w:val="13"/>
              </w:rPr>
            </w:pPr>
            <w:r>
              <w:rPr>
                <w:rFonts w:eastAsia="Yu Mincho"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rFonts w:eastAsia="Yu Mincho"/>
                <w:sz w:val="13"/>
                <w:szCs w:val="13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Style w:val="56"/>
              <w:tblW w:w="69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85" w:hRule="atLeast"/>
              </w:trPr>
              <w:tc>
                <w:tcPr>
                  <w:tcW w:w="11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85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</w:trPr>
              <w:tc>
                <w:tcPr>
                  <w:tcW w:w="1134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Style w:val="56"/>
              <w:tblW w:w="5595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12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trHeight w:val="70" w:hRule="atLeast"/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R4-2001089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sz w:val="13"/>
                <w:szCs w:val="13"/>
              </w:rPr>
            </w:pPr>
            <w:r>
              <w:rPr>
                <w:rFonts w:eastAsia="Yu Mincho"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rFonts w:eastAsia="Yu Mincho"/>
                <w:sz w:val="13"/>
                <w:szCs w:val="13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Style w:val="56"/>
              <w:tblW w:w="626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733"/>
              <w:gridCol w:w="1559"/>
              <w:gridCol w:w="1614"/>
              <w:gridCol w:w="1971"/>
              <w:gridCol w:w="3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85" w:hRule="atLeast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85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Style w:val="56"/>
              <w:tblW w:w="5601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1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trHeight w:val="70" w:hRule="atLeast"/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/>
                <w:b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R4-2001088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HiSilicon, CBN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P for Tx requirements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.</w:t>
            </w:r>
            <w:r>
              <w:rPr>
                <w:rFonts w:eastAsia="Yu Mincho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Style w:val="56"/>
              <w:tblW w:w="286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4"/>
              <w:gridCol w:w="7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/>
                <w:b/>
                <w:sz w:val="16"/>
                <w:szCs w:val="16"/>
                <w:lang w:eastAsia="zh-CN"/>
              </w:rPr>
            </w:pPr>
            <w:r>
              <w:rPr>
                <w:rFonts w:eastAsia="Yu Mincho"/>
                <w:b/>
                <w:sz w:val="16"/>
                <w:szCs w:val="16"/>
              </w:rPr>
              <w:t xml:space="preserve">Table </w:t>
            </w:r>
            <w:r>
              <w:rPr>
                <w:rFonts w:hint="eastAsia" w:eastAsia="Yu Mincho"/>
                <w:b/>
                <w:sz w:val="16"/>
                <w:szCs w:val="16"/>
                <w:lang w:eastAsia="zh-CN"/>
              </w:rPr>
              <w:t>5.1.2.</w:t>
            </w:r>
            <w:r>
              <w:rPr>
                <w:rFonts w:eastAsia="Yu Mincho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 w:eastAsia="Yu Mincho"/>
                <w:b/>
                <w:sz w:val="16"/>
                <w:szCs w:val="16"/>
                <w:lang w:eastAsia="zh-CN"/>
              </w:rPr>
              <w:t>-</w:t>
            </w:r>
            <w:r>
              <w:rPr>
                <w:rFonts w:eastAsia="Yu Mincho"/>
                <w:b/>
                <w:sz w:val="16"/>
                <w:szCs w:val="16"/>
                <w:lang w:eastAsia="zh-CN"/>
              </w:rPr>
              <w:t>2</w:t>
            </w:r>
            <w:r>
              <w:rPr>
                <w:rFonts w:eastAsia="Yu Mincho"/>
                <w:b/>
                <w:sz w:val="16"/>
                <w:szCs w:val="16"/>
              </w:rPr>
              <w:t>:</w:t>
            </w:r>
            <w:r>
              <w:rPr>
                <w:rFonts w:eastAsia="Yu Mincho"/>
                <w:sz w:val="16"/>
                <w:szCs w:val="16"/>
              </w:rPr>
              <w:t xml:space="preserve"> </w:t>
            </w:r>
            <w:r>
              <w:rPr>
                <w:rFonts w:eastAsia="Yu Mincho"/>
                <w:b/>
                <w:sz w:val="16"/>
                <w:szCs w:val="16"/>
              </w:rPr>
              <w:t>The proposed delta MPR (dB)</w:t>
            </w:r>
          </w:p>
          <w:tbl>
            <w:tblPr>
              <w:tblStyle w:val="56"/>
              <w:tblW w:w="653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2"/>
              <w:gridCol w:w="1096"/>
              <w:gridCol w:w="3269"/>
            </w:tblGrid>
            <w:tr>
              <w:tblPrEx>
                <w:tblLayout w:type="fixed"/>
              </w:tblPrEx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. AMPR for NS_18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Theme="minorHAnsi" w:hAnsiTheme="minorHAnsi" w:eastAsiaTheme="minorEastAsia" w:cstheme="minorHAnsi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R4-2000493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ZTE Corporation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eastAsia="MS Mincho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pStyle w:val="21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ascii="Times New Roman" w:hAnsi="Times New Roman" w:eastAsia="Yu Mincho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R4-2001087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>Proposal 1: To consider the impact of Delta MPR for 30MHz n28 when RAN4 evaluate the REFSENS.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>Proposal 2: REFSENS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eastAsia="MS Mincho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R4-2001226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MediaTek Inc.</w:t>
            </w:r>
          </w:p>
        </w:tc>
        <w:tc>
          <w:tcPr>
            <w:tcW w:w="7146" w:type="dxa"/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Style w:val="56"/>
              <w:tblW w:w="294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3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3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R4-2001170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</w:t>
            </w:r>
          </w:p>
        </w:tc>
        <w:tc>
          <w:tcPr>
            <w:tcW w:w="7146" w:type="dxa"/>
          </w:tcPr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eastAsia="Yu Mincho"/>
              </w:rPr>
              <w:t>Updated table 5.1.2.4-3 in TR 38.888.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36.101: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6.6.3.2-1 and 6.6.3.2A-0.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R4-2000622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38.101-3: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R4-2000621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38.101-1: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R4-2001086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38.101-1:</w:t>
            </w:r>
          </w:p>
          <w:p>
            <w:pPr>
              <w:pStyle w:val="149"/>
              <w:spacing w:before="60" w:after="60"/>
              <w:ind w:left="360"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>
            <w:pPr>
              <w:pStyle w:val="149"/>
              <w:spacing w:before="60" w:after="60"/>
              <w:ind w:left="360" w:firstLine="0" w:firstLineChars="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1dB delta MPR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MPR for Band n28 30MHz: Table 6.2.2-1 from 38.101-1 + [1] dB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Qualcomm’s AMPR table based on R4-2000090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Huawei’s AMPR table based on R4-2001098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values of A1\B1 for CP-OFDM are 4 and 4.5 respectively. Others are same.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hint="eastAsia" w:eastAsiaTheme="minor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>
      <w:pPr>
        <w:spacing w:after="120"/>
        <w:rPr>
          <w:rFonts w:hint="eastAsia"/>
          <w:color w:val="0070C0"/>
          <w:szCs w:val="24"/>
          <w:lang w:val="en-US" w:eastAsia="zh-CN"/>
        </w:rPr>
      </w:pPr>
    </w:p>
    <w:p>
      <w:pPr>
        <w:pStyle w:val="4"/>
      </w:pPr>
      <w:r>
        <w:t xml:space="preserve">Sub-topic 2-3 UE </w:t>
      </w:r>
      <w:r>
        <w:rPr>
          <w:sz w:val="24"/>
          <w:szCs w:val="16"/>
        </w:rPr>
        <w:t>REFSENS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Style w:val="56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5" w:hRule="atLeast"/>
          <w:tblHeader/>
          <w:jc w:val="center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keepNext w:val="0"/>
              <w:rPr>
                <w:lang w:val="en-GB"/>
              </w:rPr>
            </w:pPr>
            <w:r>
              <w:t>Operating band / SCS / Channel bandwidth / Duplex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tblHeader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5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15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20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40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50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60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80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90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Duplex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t>FDD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MS Mincho"/>
                <w:sz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MS Minch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1" w:hRule="atLeast"/>
          <w:jc w:val="center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jc w:val="center"/>
            </w:pPr>
            <w:r>
              <w:t>NOTE 1:</w:t>
            </w:r>
            <w:r>
              <w:tab/>
            </w:r>
            <w:r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1</w:t>
      </w:r>
    </w:p>
    <w:tbl>
      <w:tblPr>
        <w:tblStyle w:val="56"/>
        <w:tblW w:w="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545"/>
        <w:gridCol w:w="723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tblHeader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tblHeader/>
          <w:jc w:val="center"/>
        </w:trPr>
        <w:tc>
          <w:tcPr>
            <w:tcW w:w="972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  <w:r>
              <w:rPr>
                <w:rFonts w:hint="eastAsia" w:ascii="Arial" w:hAnsi="Arial" w:eastAsia="MS Mincho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/>
                <w:highlight w:val="yellow"/>
                <w:lang w:eastAsia="zh-CN"/>
              </w:rPr>
            </w:pPr>
            <w:r>
              <w:rPr>
                <w:highlight w:val="yellow"/>
              </w:rPr>
              <w:t>-88.5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left="720" w:firstLine="0" w:firstLineChars="0"/>
        <w:textAlignment w:val="auto"/>
        <w:rPr>
          <w:rFonts w:hint="eastAsia" w:eastAsia="SimSun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2</w:t>
      </w:r>
    </w:p>
    <w:tbl>
      <w:tblPr>
        <w:tblStyle w:val="56"/>
        <w:tblW w:w="5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45"/>
        <w:gridCol w:w="723"/>
        <w:gridCol w:w="777"/>
        <w:gridCol w:w="723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tblHeader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tblHeader/>
          <w:jc w:val="center"/>
        </w:trPr>
        <w:tc>
          <w:tcPr>
            <w:tcW w:w="97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  <w:r>
              <w:rPr>
                <w:rFonts w:hint="eastAsia" w:ascii="Arial" w:hAnsi="Arial" w:eastAsia="MS Mincho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/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eastAsia="MS Mincho"/>
                <w:sz w:val="16"/>
                <w:szCs w:val="16"/>
                <w:highlight w:val="yellow"/>
              </w:rPr>
              <w:t>-8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rFonts w:ascii="Arial" w:hAnsi="Arial" w:eastAsia="MS Mincho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777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left="936" w:firstLine="0" w:firstLineChars="0"/>
        <w:textAlignment w:val="auto"/>
        <w:rPr>
          <w:rFonts w:hint="eastAsia" w:eastAsia="SimSun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>
      <w:pPr>
        <w:spacing w:after="120"/>
        <w:ind w:left="720"/>
        <w:rPr>
          <w:rFonts w:hint="eastAsia"/>
          <w:color w:val="0070C0"/>
          <w:szCs w:val="24"/>
          <w:lang w:eastAsia="zh-CN"/>
        </w:rPr>
      </w:pPr>
    </w:p>
    <w:p>
      <w:pPr>
        <w:pStyle w:val="4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>
      <w:pPr>
        <w:pStyle w:val="149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>
      <w:pPr>
        <w:pStyle w:val="149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>
      <w:pPr>
        <w:pStyle w:val="4"/>
      </w:pPr>
      <w:r>
        <w:t xml:space="preserve">Sub-topic 2-5 </w:t>
      </w:r>
      <w:r>
        <w:rPr>
          <w:sz w:val="24"/>
          <w:szCs w:val="16"/>
        </w:rPr>
        <w:t>Big CR in TS 38.101-1 for band n28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>
      <w:pPr>
        <w:rPr>
          <w:rFonts w:hint="eastAsia"/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Rx requirements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8407"/>
      </w:tblGrid>
      <w:tr>
        <w:tblPrEx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Layout w:type="fixed"/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Layout w:type="fixed"/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400"/>
      </w:tblGrid>
      <w:tr>
        <w:tblPrEx>
          <w:tblLayout w:type="fixed"/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#3: BS part for NR_n28_BW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24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62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</w:trPr>
        <w:tc>
          <w:tcPr>
            <w:tcW w:w="162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To introduce 30MHz and 40MHz BS channel bandwidth for band n28</w:t>
            </w:r>
          </w:p>
        </w:tc>
      </w:tr>
    </w:tbl>
    <w:p/>
    <w:p>
      <w:pPr>
        <w:pStyle w:val="3"/>
      </w:pPr>
      <w:r>
        <w:t>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Layout w:type="fixed"/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Layout w:type="fixed"/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Layout w:type="fixed"/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Layout w:type="fixed"/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Layout w:type="fixed"/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Yu Mincho">
    <w:altName w:val="Hiragino Sans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swiss"/>
    <w:pitch w:val="default"/>
    <w:sig w:usb0="00000000" w:usb1="00000000" w:usb2="08000012" w:usb3="00000000" w:csb0="0002009F" w:csb1="00000000"/>
  </w:font>
  <w:font w:name="等线 Light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HYZhongDengXian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B8"/>
    <w:multiLevelType w:val="multilevel"/>
    <w:tmpl w:val="031F6BB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C7505"/>
    <w:multiLevelType w:val="multilevel"/>
    <w:tmpl w:val="1A0C7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4">
    <w:nsid w:val="6CCB6B55"/>
    <w:multiLevelType w:val="multilevel"/>
    <w:tmpl w:val="6CCB6B5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EEFF73CD"/>
    <w:rsid w:val="FFB9F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SimSun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SimSun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unhideWhenUsed/>
    <w:qFormat/>
    <w:uiPriority w:val="1"/>
  </w:style>
  <w:style w:type="table" w:default="1" w:styleId="5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13">
    <w:name w:val="Body Text"/>
    <w:basedOn w:val="1"/>
    <w:link w:val="123"/>
    <w:qFormat/>
    <w:uiPriority w:val="0"/>
  </w:style>
  <w:style w:type="paragraph" w:styleId="14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15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16">
    <w:name w:val="annotation text"/>
    <w:basedOn w:val="1"/>
    <w:link w:val="108"/>
    <w:qFormat/>
    <w:uiPriority w:val="99"/>
  </w:style>
  <w:style w:type="paragraph" w:styleId="17">
    <w:name w:val="annotation subject"/>
    <w:basedOn w:val="16"/>
    <w:next w:val="16"/>
    <w:link w:val="129"/>
    <w:qFormat/>
    <w:uiPriority w:val="0"/>
    <w:rPr>
      <w:b/>
      <w:bCs/>
    </w:rPr>
  </w:style>
  <w:style w:type="paragraph" w:styleId="18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19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20">
    <w:name w:val="footer"/>
    <w:basedOn w:val="21"/>
    <w:link w:val="133"/>
    <w:qFormat/>
    <w:uiPriority w:val="0"/>
    <w:pPr>
      <w:jc w:val="center"/>
    </w:pPr>
    <w:rPr>
      <w:i/>
    </w:rPr>
  </w:style>
  <w:style w:type="paragraph" w:styleId="21">
    <w:name w:val="header"/>
    <w:link w:val="107"/>
    <w:qFormat/>
    <w:uiPriority w:val="0"/>
    <w:pPr>
      <w:widowControl w:val="0"/>
    </w:pPr>
    <w:rPr>
      <w:rFonts w:ascii="Arial" w:hAnsi="Arial" w:eastAsia="SimSun" w:cs="Times New Roman"/>
      <w:b/>
      <w:sz w:val="18"/>
      <w:lang w:val="en-GB" w:eastAsia="sv-SE" w:bidi="ar-SA"/>
    </w:rPr>
  </w:style>
  <w:style w:type="paragraph" w:styleId="22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2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24">
    <w:name w:val="index 2"/>
    <w:basedOn w:val="23"/>
    <w:next w:val="1"/>
    <w:semiHidden/>
    <w:qFormat/>
    <w:uiPriority w:val="0"/>
    <w:pPr>
      <w:ind w:left="284"/>
    </w:pPr>
  </w:style>
  <w:style w:type="paragraph" w:styleId="25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26">
    <w:name w:val="List"/>
    <w:basedOn w:val="1"/>
    <w:qFormat/>
    <w:uiPriority w:val="0"/>
    <w:pPr>
      <w:ind w:left="568" w:hanging="284"/>
    </w:pPr>
  </w:style>
  <w:style w:type="paragraph" w:styleId="27">
    <w:name w:val="List 2"/>
    <w:basedOn w:val="26"/>
    <w:qFormat/>
    <w:uiPriority w:val="99"/>
    <w:pPr>
      <w:ind w:left="851"/>
    </w:pPr>
  </w:style>
  <w:style w:type="paragraph" w:styleId="28">
    <w:name w:val="List 3"/>
    <w:basedOn w:val="27"/>
    <w:qFormat/>
    <w:uiPriority w:val="0"/>
    <w:pPr>
      <w:ind w:left="1135"/>
    </w:pPr>
  </w:style>
  <w:style w:type="paragraph" w:styleId="29">
    <w:name w:val="List 4"/>
    <w:basedOn w:val="28"/>
    <w:qFormat/>
    <w:uiPriority w:val="0"/>
    <w:pPr>
      <w:ind w:left="1418"/>
    </w:pPr>
  </w:style>
  <w:style w:type="paragraph" w:styleId="30">
    <w:name w:val="List 5"/>
    <w:basedOn w:val="29"/>
    <w:qFormat/>
    <w:uiPriority w:val="0"/>
    <w:pPr>
      <w:ind w:left="1702"/>
    </w:pPr>
  </w:style>
  <w:style w:type="paragraph" w:styleId="31">
    <w:name w:val="List Bullet"/>
    <w:basedOn w:val="26"/>
    <w:qFormat/>
    <w:uiPriority w:val="0"/>
  </w:style>
  <w:style w:type="paragraph" w:styleId="32">
    <w:name w:val="List Bullet 2"/>
    <w:basedOn w:val="31"/>
    <w:qFormat/>
    <w:uiPriority w:val="0"/>
    <w:pPr>
      <w:ind w:left="851"/>
    </w:pPr>
  </w:style>
  <w:style w:type="paragraph" w:styleId="33">
    <w:name w:val="List Bullet 3"/>
    <w:basedOn w:val="32"/>
    <w:qFormat/>
    <w:uiPriority w:val="0"/>
    <w:pPr>
      <w:ind w:left="1135"/>
    </w:pPr>
  </w:style>
  <w:style w:type="paragraph" w:styleId="34">
    <w:name w:val="List Bullet 4"/>
    <w:basedOn w:val="33"/>
    <w:qFormat/>
    <w:uiPriority w:val="0"/>
    <w:pPr>
      <w:ind w:left="1418"/>
    </w:pPr>
  </w:style>
  <w:style w:type="paragraph" w:styleId="35">
    <w:name w:val="List Bullet 5"/>
    <w:basedOn w:val="34"/>
    <w:qFormat/>
    <w:uiPriority w:val="0"/>
    <w:pPr>
      <w:ind w:left="1702"/>
    </w:pPr>
  </w:style>
  <w:style w:type="paragraph" w:styleId="36">
    <w:name w:val="List Number"/>
    <w:basedOn w:val="26"/>
    <w:qFormat/>
    <w:uiPriority w:val="0"/>
  </w:style>
  <w:style w:type="paragraph" w:styleId="37">
    <w:name w:val="List Number 2"/>
    <w:basedOn w:val="36"/>
    <w:qFormat/>
    <w:uiPriority w:val="0"/>
    <w:pPr>
      <w:ind w:left="851"/>
    </w:pPr>
  </w:style>
  <w:style w:type="paragraph" w:styleId="38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39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40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SimSun" w:cs="Times New Roman"/>
      <w:sz w:val="22"/>
      <w:lang w:val="en-GB" w:eastAsia="en-US" w:bidi="ar-SA"/>
    </w:rPr>
  </w:style>
  <w:style w:type="paragraph" w:styleId="41">
    <w:name w:val="toc 2"/>
    <w:basedOn w:val="40"/>
    <w:next w:val="1"/>
    <w:qFormat/>
    <w:uiPriority w:val="0"/>
    <w:pPr>
      <w:keepNext w:val="0"/>
      <w:spacing w:before="0"/>
      <w:ind w:left="851" w:hanging="851"/>
    </w:pPr>
    <w:rPr>
      <w:sz w:val="20"/>
    </w:rPr>
  </w:style>
  <w:style w:type="paragraph" w:styleId="42">
    <w:name w:val="toc 3"/>
    <w:basedOn w:val="41"/>
    <w:next w:val="1"/>
    <w:qFormat/>
    <w:uiPriority w:val="0"/>
    <w:pPr>
      <w:ind w:left="1134" w:hanging="1134"/>
    </w:pPr>
  </w:style>
  <w:style w:type="paragraph" w:styleId="43">
    <w:name w:val="toc 4"/>
    <w:basedOn w:val="42"/>
    <w:next w:val="1"/>
    <w:qFormat/>
    <w:uiPriority w:val="0"/>
    <w:pPr>
      <w:ind w:left="1418" w:hanging="1418"/>
    </w:pPr>
  </w:style>
  <w:style w:type="paragraph" w:styleId="44">
    <w:name w:val="toc 5"/>
    <w:basedOn w:val="43"/>
    <w:next w:val="1"/>
    <w:qFormat/>
    <w:uiPriority w:val="0"/>
    <w:pPr>
      <w:ind w:left="1701" w:hanging="1701"/>
    </w:pPr>
  </w:style>
  <w:style w:type="paragraph" w:styleId="45">
    <w:name w:val="toc 6"/>
    <w:basedOn w:val="44"/>
    <w:next w:val="1"/>
    <w:qFormat/>
    <w:uiPriority w:val="0"/>
    <w:pPr>
      <w:ind w:left="1985" w:hanging="1985"/>
    </w:pPr>
  </w:style>
  <w:style w:type="paragraph" w:styleId="46">
    <w:name w:val="toc 7"/>
    <w:basedOn w:val="45"/>
    <w:next w:val="1"/>
    <w:qFormat/>
    <w:uiPriority w:val="0"/>
    <w:pPr>
      <w:ind w:left="2268" w:hanging="2268"/>
    </w:pPr>
  </w:style>
  <w:style w:type="paragraph" w:styleId="47">
    <w:name w:val="toc 8"/>
    <w:basedOn w:val="40"/>
    <w:next w:val="1"/>
    <w:qFormat/>
    <w:uiPriority w:val="0"/>
    <w:pPr>
      <w:spacing w:before="180"/>
      <w:ind w:left="2693" w:hanging="2693"/>
    </w:pPr>
    <w:rPr>
      <w:b/>
    </w:rPr>
  </w:style>
  <w:style w:type="paragraph" w:styleId="48">
    <w:name w:val="toc 9"/>
    <w:basedOn w:val="47"/>
    <w:next w:val="1"/>
    <w:qFormat/>
    <w:uiPriority w:val="0"/>
    <w:pPr>
      <w:ind w:left="1418" w:hanging="1418"/>
    </w:pPr>
  </w:style>
  <w:style w:type="character" w:styleId="50">
    <w:name w:val="annotation reference"/>
    <w:semiHidden/>
    <w:qFormat/>
    <w:uiPriority w:val="0"/>
    <w:rPr>
      <w:sz w:val="16"/>
    </w:rPr>
  </w:style>
  <w:style w:type="character" w:styleId="51">
    <w:name w:val="Emphasis"/>
    <w:qFormat/>
    <w:uiPriority w:val="0"/>
    <w:rPr>
      <w:i/>
      <w:iCs/>
    </w:r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footnote reference"/>
    <w:semiHidden/>
    <w:qFormat/>
    <w:uiPriority w:val="0"/>
    <w:rPr>
      <w:b/>
      <w:position w:val="6"/>
      <w:sz w:val="16"/>
    </w:rPr>
  </w:style>
  <w:style w:type="character" w:styleId="55">
    <w:name w:val="Hyperlink"/>
    <w:qFormat/>
    <w:uiPriority w:val="0"/>
    <w:rPr>
      <w:color w:val="0000FF"/>
      <w:u w:val="single"/>
    </w:rPr>
  </w:style>
  <w:style w:type="table" w:styleId="57">
    <w:name w:val="Table Grid"/>
    <w:basedOn w:val="56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SimSun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SimSun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SimSun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26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SimSun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SimSun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SimSun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SimSun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SimSun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SimSun" w:cs="Times New Roman"/>
      <w:lang w:val="en-GB" w:eastAsia="en-US" w:bidi="ar-SA"/>
    </w:rPr>
  </w:style>
  <w:style w:type="paragraph" w:customStyle="1" w:styleId="85">
    <w:name w:val="B2"/>
    <w:basedOn w:val="27"/>
    <w:qFormat/>
    <w:uiPriority w:val="0"/>
  </w:style>
  <w:style w:type="paragraph" w:customStyle="1" w:styleId="86">
    <w:name w:val="B3"/>
    <w:basedOn w:val="28"/>
    <w:qFormat/>
    <w:uiPriority w:val="0"/>
  </w:style>
  <w:style w:type="paragraph" w:customStyle="1" w:styleId="87">
    <w:name w:val="B4"/>
    <w:basedOn w:val="29"/>
    <w:qFormat/>
    <w:uiPriority w:val="0"/>
  </w:style>
  <w:style w:type="paragraph" w:customStyle="1" w:styleId="88">
    <w:name w:val="B5"/>
    <w:basedOn w:val="30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标题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标题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页眉 Char"/>
    <w:link w:val="21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批注文字 Char"/>
    <w:link w:val="16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SimSun" w:cs="Times New Roman"/>
      <w:lang w:val="en-GB" w:eastAsia="en-US" w:bidi="ar-SA"/>
    </w:rPr>
  </w:style>
  <w:style w:type="character" w:customStyle="1" w:styleId="111">
    <w:name w:val="批注框文本 Char"/>
    <w:link w:val="12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SimSun" w:cs="Times New Roman"/>
      <w:lang w:val="en-GB" w:eastAsia="en-US" w:bidi="ar-SA"/>
    </w:rPr>
  </w:style>
  <w:style w:type="character" w:customStyle="1" w:styleId="118">
    <w:name w:val="标题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题注 Char"/>
    <w:link w:val="15"/>
    <w:qFormat/>
    <w:uiPriority w:val="0"/>
    <w:rPr>
      <w:b/>
      <w:lang w:val="en-GB"/>
    </w:rPr>
  </w:style>
  <w:style w:type="character" w:customStyle="1" w:styleId="122">
    <w:name w:val="标题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Char"/>
    <w:link w:val="13"/>
    <w:qFormat/>
    <w:uiPriority w:val="0"/>
    <w:rPr>
      <w:lang w:val="en-GB"/>
    </w:rPr>
  </w:style>
  <w:style w:type="paragraph" w:customStyle="1" w:styleId="124">
    <w:name w:val="3GPP Normal Text"/>
    <w:basedOn w:val="13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uiPriority w:val="0"/>
    <w:rPr>
      <w:rFonts w:eastAsia="Times New Roman"/>
      <w:b/>
      <w:lang w:val="en-GB" w:eastAsia="en-US"/>
    </w:rPr>
  </w:style>
  <w:style w:type="character" w:customStyle="1" w:styleId="127">
    <w:name w:val="纯文本 Char"/>
    <w:link w:val="39"/>
    <w:uiPriority w:val="99"/>
    <w:rPr>
      <w:rFonts w:ascii="Courier New" w:hAnsi="Courier New"/>
      <w:lang w:val="nb-NO" w:eastAsia="en-US"/>
    </w:rPr>
  </w:style>
  <w:style w:type="paragraph" w:customStyle="1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Char1"/>
    <w:link w:val="17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21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Char"/>
    <w:link w:val="20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Char"/>
    <w:basedOn w:val="49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标题 5 Char"/>
    <w:basedOn w:val="49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标题 6 Char"/>
    <w:basedOn w:val="49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Char"/>
    <w:basedOn w:val="49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Char"/>
    <w:basedOn w:val="49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Char"/>
    <w:basedOn w:val="49"/>
    <w:link w:val="14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Char"/>
    <w:basedOn w:val="49"/>
    <w:link w:val="19"/>
    <w:qFormat/>
    <w:uiPriority w:val="0"/>
    <w:rPr>
      <w:rFonts w:eastAsia="Yu Mincho"/>
      <w:lang w:val="en-GB" w:eastAsia="en-US"/>
    </w:rPr>
  </w:style>
  <w:style w:type="character" w:customStyle="1" w:styleId="144">
    <w:name w:val="脚注文本 Char"/>
    <w:basedOn w:val="49"/>
    <w:link w:val="22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customStyle="1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出段落 Char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List Paragraph Char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twing/Library/Containers/com.kingsoft.wpsoffice.mac/Data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11</Pages>
  <Words>2153</Words>
  <Characters>12275</Characters>
  <Lines>102</Lines>
  <Paragraphs>28</Paragraphs>
  <TotalTime>0</TotalTime>
  <ScaleCrop>false</ScaleCrop>
  <LinksUpToDate>false</LinksUpToDate>
  <CharactersWithSpaces>14400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2020-02-17T16:40:00Z</dcterms:created>
  <dc:creator>양윤오/책임연구원/미래기술센터 C&amp;M표준(연)5G무선통신표준Task(yoonoh.yang@lge.com)</dc:creator>
  <cp:lastModifiedBy>Shuang Li, CBN</cp:lastModifiedBy>
  <cp:lastPrinted>2019-04-25T09:09:00Z</cp:lastPrinted>
  <dcterms:modified xsi:type="dcterms:W3CDTF">2020-02-21T22:24:27Z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(3)0z0MAif8uSXh4fl40MqrkGRakv7rlyZsfJJWArXEah0X13c93DiD2Scw2Mo81jPHbX8N+H+Z
QTZQOjjOMz/lto9sPDL8kCCifNTSGCeGpny0NmKLJ2Akvj6XfVghGGXPrW7P/zeth+V0C0tu
RZxvvoQZ8CK4TfIjhcWOsrYOal+vB1zUQ7faShMBOwcXkzLFAnDpmssCL7YVUApjAYxQzBot
bhROyG11+wJZ8FLdgj</vt:lpwstr>
  </property>
  <property fmtid="{D5CDD505-2E9C-101B-9397-08002B2CF9AE}" pid="14" name="_2015_ms_pID_7253431">
    <vt:lpwstr>Ya363Q3GeJ9VxPp5cWXvAMx6FuRJ0CT3u3dnzF6B8xVVfKem1dF5l8
HnHSGjYpXGnE36cY/UaZpPg3dHCD/C6hdpoNvFSSkSaivHwrd3DNc0qTzZjPo7buYKMA8tSq
PJeK7DYhp2zAou3LtCc7Wgmq/oouyFSwPZspq8Q9Tk4tPgiz6vz0Dw9oyV7qulnS5lhxgT+4
vuLRdnwKN+eW1VCR63ixD57TrXU1+VbTNdsx</vt:lpwstr>
  </property>
  <property fmtid="{D5CDD505-2E9C-101B-9397-08002B2CF9AE}" pid="15" name="_2015_ms_pID_7253432">
    <vt:lpwstr>Iw==</vt:lpwstr>
  </property>
  <property fmtid="{D5CDD505-2E9C-101B-9397-08002B2CF9AE}" pid="16" name="KSOProductBuildVer">
    <vt:lpwstr>1033-1.8.2.2861</vt:lpwstr>
  </property>
</Properties>
</file>