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4858B2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F37C8F">
        <w:rPr>
          <w:rFonts w:ascii="Arial" w:eastAsiaTheme="minorEastAsia" w:hAnsi="Arial" w:cs="Arial"/>
          <w:b/>
          <w:sz w:val="24"/>
          <w:szCs w:val="24"/>
          <w:lang w:eastAsia="zh-CN"/>
        </w:rPr>
        <w:t>DRAFT_</w:t>
      </w:r>
      <w:r w:rsidRPr="00805BE8">
        <w:rPr>
          <w:rFonts w:ascii="Arial" w:eastAsiaTheme="minorEastAsia" w:hAnsi="Arial" w:cs="Arial"/>
          <w:b/>
          <w:sz w:val="24"/>
          <w:szCs w:val="24"/>
          <w:lang w:eastAsia="zh-CN"/>
        </w:rPr>
        <w:t>R4-20</w:t>
      </w:r>
      <w:r w:rsidR="00F121D3">
        <w:rPr>
          <w:rFonts w:ascii="Arial" w:eastAsiaTheme="minorEastAsia" w:hAnsi="Arial" w:cs="Arial"/>
          <w:b/>
          <w:sz w:val="24"/>
          <w:szCs w:val="24"/>
          <w:lang w:eastAsia="zh-CN"/>
        </w:rPr>
        <w:t>02</w:t>
      </w:r>
      <w:r w:rsidR="00F37C8F">
        <w:rPr>
          <w:rFonts w:ascii="Arial" w:eastAsiaTheme="minorEastAsia" w:hAnsi="Arial" w:cs="Arial"/>
          <w:b/>
          <w:sz w:val="24"/>
          <w:szCs w:val="24"/>
          <w:lang w:eastAsia="zh-CN"/>
        </w:rPr>
        <w:t>874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ListParagraph"/>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ListParagraph"/>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Heading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60046C" w:rsidP="00805BE8">
            <w:pPr>
              <w:spacing w:before="120" w:after="120"/>
            </w:pPr>
            <w:hyperlink r:id="rId12" w:history="1">
              <w:r w:rsidR="001166FC" w:rsidRPr="001166FC">
                <w:rPr>
                  <w:rStyle w:val="Hyperlink"/>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60046C" w:rsidP="003A6AA4">
            <w:pPr>
              <w:spacing w:before="120" w:after="120"/>
            </w:pPr>
            <w:hyperlink r:id="rId13" w:history="1">
              <w:r w:rsidR="003A6AA4" w:rsidRPr="00755DF7">
                <w:rPr>
                  <w:rStyle w:val="Hyperlink"/>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A)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Heading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Proposals</w:t>
      </w:r>
    </w:p>
    <w:p w14:paraId="13C6B9EA" w14:textId="3883EE23"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1: </w:t>
      </w:r>
      <w:r w:rsidR="00B20F11" w:rsidRPr="004F5FBE">
        <w:rPr>
          <w:rFonts w:eastAsia="SimSun"/>
          <w:szCs w:val="24"/>
          <w:lang w:eastAsia="zh-CN"/>
        </w:rPr>
        <w:t>The proposed change</w:t>
      </w:r>
      <w:r w:rsidR="007873F0" w:rsidRPr="004F5FBE">
        <w:rPr>
          <w:rFonts w:eastAsia="SimSun"/>
          <w:szCs w:val="24"/>
          <w:lang w:eastAsia="zh-CN"/>
        </w:rPr>
        <w:t>s</w:t>
      </w:r>
      <w:r w:rsidR="00B20F11" w:rsidRPr="004F5FBE">
        <w:rPr>
          <w:rFonts w:eastAsia="SimSun"/>
          <w:szCs w:val="24"/>
          <w:lang w:eastAsia="zh-CN"/>
        </w:rPr>
        <w:t xml:space="preserve"> in </w:t>
      </w:r>
      <w:r w:rsidR="007873F0" w:rsidRPr="004F5FBE">
        <w:rPr>
          <w:rFonts w:eastAsia="SimSun"/>
          <w:szCs w:val="24"/>
          <w:lang w:eastAsia="zh-CN"/>
        </w:rPr>
        <w:t>TS 38.</w:t>
      </w:r>
      <w:r w:rsidR="00F50C99">
        <w:rPr>
          <w:rFonts w:eastAsia="SimSun"/>
          <w:szCs w:val="24"/>
          <w:lang w:eastAsia="zh-CN"/>
        </w:rPr>
        <w:t>307</w:t>
      </w:r>
      <w:r w:rsidR="007873F0" w:rsidRPr="004F5FBE">
        <w:rPr>
          <w:rFonts w:eastAsia="SimSun"/>
          <w:szCs w:val="24"/>
          <w:lang w:eastAsia="zh-CN"/>
        </w:rPr>
        <w:t xml:space="preserve"> CR 0017 (R4-2000557)</w:t>
      </w:r>
    </w:p>
    <w:p w14:paraId="49D6F8A9" w14:textId="00F7C926"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2: </w:t>
      </w:r>
      <w:r w:rsidR="004F407D" w:rsidRPr="004F5FBE">
        <w:rPr>
          <w:rFonts w:eastAsia="SimSun"/>
          <w:szCs w:val="24"/>
          <w:lang w:eastAsia="zh-CN"/>
        </w:rPr>
        <w:t>No change</w:t>
      </w:r>
    </w:p>
    <w:p w14:paraId="584C6E6F" w14:textId="120A3258"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Recommended WF</w:t>
      </w:r>
    </w:p>
    <w:p w14:paraId="073588CC" w14:textId="679E571D" w:rsidR="00B4108D" w:rsidRPr="004F5FBE" w:rsidRDefault="00074BE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lastRenderedPageBreak/>
        <w:t>Option 1</w:t>
      </w:r>
      <w:r w:rsidR="009B38E1">
        <w:rPr>
          <w:rFonts w:eastAsia="SimSun"/>
          <w:szCs w:val="24"/>
          <w:lang w:eastAsia="zh-CN"/>
        </w:rPr>
        <w:t xml:space="preserve">: </w:t>
      </w:r>
      <w:r w:rsidR="004C4C06">
        <w:rPr>
          <w:rFonts w:eastAsia="SimSun"/>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033562" w:rsidRDefault="00DC2500" w:rsidP="00805BE8">
      <w:pPr>
        <w:pStyle w:val="Heading2"/>
        <w:rPr>
          <w:lang w:val="en-US"/>
        </w:rPr>
      </w:pPr>
      <w:r w:rsidRPr="0003356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03356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33562" w14:paraId="055F173E" w14:textId="77777777" w:rsidTr="00033562">
        <w:tc>
          <w:tcPr>
            <w:tcW w:w="1236" w:type="dxa"/>
          </w:tcPr>
          <w:p w14:paraId="47889159" w14:textId="4EADE4A5" w:rsidR="00033562" w:rsidRDefault="00033562" w:rsidP="00033562">
            <w:pPr>
              <w:spacing w:after="120"/>
              <w:rPr>
                <w:rFonts w:eastAsiaTheme="minorEastAsia"/>
                <w:color w:val="0070C0"/>
                <w:lang w:val="en-US" w:eastAsia="zh-CN"/>
              </w:rPr>
            </w:pPr>
            <w:ins w:id="2" w:author="OPPO Jinqiang" w:date="2020-02-25T09:10:00Z">
              <w:r>
                <w:rPr>
                  <w:rFonts w:eastAsiaTheme="minorEastAsia" w:hint="eastAsia"/>
                  <w:color w:val="0070C0"/>
                  <w:lang w:val="en-US" w:eastAsia="zh-CN"/>
                </w:rPr>
                <w:t>OPPO</w:t>
              </w:r>
            </w:ins>
          </w:p>
        </w:tc>
        <w:tc>
          <w:tcPr>
            <w:tcW w:w="8395" w:type="dxa"/>
          </w:tcPr>
          <w:p w14:paraId="0029719A" w14:textId="77777777"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OPPO Jinqiang" w:date="2020-02-25T09:10:00Z">
              <w:r>
                <w:rPr>
                  <w:rFonts w:eastAsiaTheme="minorEastAsia"/>
                  <w:color w:val="0070C0"/>
                  <w:lang w:val="en-US" w:eastAsia="zh-CN"/>
                </w:rPr>
                <w:t>OK with option 1.</w:t>
              </w:r>
            </w:ins>
          </w:p>
          <w:p w14:paraId="50F7C463" w14:textId="77777777"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C35E095" w14:textId="77777777" w:rsidR="00033562" w:rsidRDefault="00033562" w:rsidP="0003356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3CED0E" w14:textId="49F59B74"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1420BD7F" w:rsidR="00571777" w:rsidRPr="003418CB" w:rsidRDefault="00033562" w:rsidP="00805BE8">
            <w:pPr>
              <w:spacing w:after="120"/>
              <w:rPr>
                <w:rFonts w:eastAsiaTheme="minorEastAsia"/>
                <w:color w:val="0070C0"/>
                <w:lang w:val="en-US" w:eastAsia="zh-CN"/>
              </w:rPr>
            </w:pPr>
            <w:del w:id="4" w:author="Intel" w:date="2020-02-23T16:11:00Z">
              <w:r w:rsidDel="00FC3237">
                <w:rPr>
                  <w:rFonts w:eastAsiaTheme="minorEastAsia" w:hint="eastAsia"/>
                  <w:color w:val="0070C0"/>
                  <w:lang w:val="en-US" w:eastAsia="zh-CN"/>
                </w:rPr>
                <w:delText>Company A</w:delText>
              </w:r>
            </w:del>
            <w:ins w:id="5" w:author="Intel" w:date="2020-02-23T16:11:00Z">
              <w:r>
                <w:rPr>
                  <w:rFonts w:eastAsiaTheme="minorEastAsia"/>
                  <w:color w:val="0070C0"/>
                  <w:lang w:val="en-US" w:eastAsia="zh-CN"/>
                </w:rPr>
                <w:t>Intel</w:t>
              </w:r>
            </w:ins>
            <w:ins w:id="6" w:author="Intel" w:date="2020-02-23T16:12:00Z">
              <w:r>
                <w:rPr>
                  <w:rFonts w:eastAsiaTheme="minorEastAsia"/>
                  <w:color w:val="0070C0"/>
                  <w:lang w:val="en-US" w:eastAsia="zh-CN"/>
                </w:rPr>
                <w:t xml:space="preserve">: </w:t>
              </w:r>
            </w:ins>
            <w:ins w:id="7" w:author="Intel" w:date="2020-02-23T16:14:00Z">
              <w:r>
                <w:rPr>
                  <w:rFonts w:eastAsiaTheme="minorEastAsia"/>
                  <w:color w:val="0070C0"/>
                  <w:lang w:val="en-US" w:eastAsia="zh-CN"/>
                </w:rPr>
                <w:t xml:space="preserve"> </w:t>
              </w:r>
            </w:ins>
            <w:ins w:id="8" w:author="Intel" w:date="2020-02-23T16:13:00Z">
              <w:r>
                <w:rPr>
                  <w:rFonts w:eastAsiaTheme="minorEastAsia"/>
                  <w:color w:val="0070C0"/>
                  <w:lang w:val="en-US" w:eastAsia="zh-CN"/>
                </w:rPr>
                <w:t xml:space="preserve">PC1 does not exist for </w:t>
              </w:r>
            </w:ins>
            <w:ins w:id="9" w:author="Intel" w:date="2020-02-23T16:14:00Z">
              <w:r>
                <w:rPr>
                  <w:rFonts w:eastAsiaTheme="minorEastAsia"/>
                  <w:color w:val="0070C0"/>
                  <w:lang w:val="en-US" w:eastAsia="zh-CN"/>
                </w:rPr>
                <w:t>Rel-15 NR</w:t>
              </w:r>
            </w:ins>
            <w:ins w:id="10" w:author="Intel" w:date="2020-02-23T16:15:00Z">
              <w:r>
                <w:rPr>
                  <w:rFonts w:eastAsiaTheme="minorEastAsia"/>
                  <w:color w:val="0070C0"/>
                  <w:lang w:val="en-US" w:eastAsia="zh-CN"/>
                </w:rPr>
                <w:t xml:space="preserve">. Suggest </w:t>
              </w:r>
            </w:ins>
            <w:ins w:id="11" w:author="Intel" w:date="2020-02-23T16:28:00Z">
              <w:r>
                <w:rPr>
                  <w:rFonts w:eastAsiaTheme="minorEastAsia"/>
                  <w:color w:val="0070C0"/>
                  <w:lang w:val="en-US" w:eastAsia="zh-CN"/>
                </w:rPr>
                <w:t>removing</w:t>
              </w:r>
            </w:ins>
            <w:ins w:id="12" w:author="Intel" w:date="2020-02-23T16:27:00Z">
              <w:r>
                <w:rPr>
                  <w:rFonts w:eastAsiaTheme="minorEastAsia"/>
                  <w:color w:val="0070C0"/>
                  <w:lang w:val="en-US" w:eastAsia="zh-CN"/>
                </w:rPr>
                <w:t xml:space="preserve"> it</w:t>
              </w:r>
            </w:ins>
            <w:ins w:id="13" w:author="Intel" w:date="2020-02-23T16:30:00Z">
              <w:r>
                <w:rPr>
                  <w:rFonts w:eastAsiaTheme="minorEastAsia"/>
                  <w:color w:val="0070C0"/>
                  <w:lang w:val="en-US" w:eastAsia="zh-CN"/>
                </w:rPr>
                <w:t xml:space="preserve">. </w:t>
              </w:r>
            </w:ins>
            <w:ins w:id="14" w:author="Intel" w:date="2020-02-23T16:29:00Z">
              <w:r>
                <w:rPr>
                  <w:rFonts w:eastAsiaTheme="minorEastAsia"/>
                  <w:color w:val="0070C0"/>
                  <w:lang w:val="en-US" w:eastAsia="zh-CN"/>
                </w:rPr>
                <w:t xml:space="preserve">Support option 1 in </w:t>
              </w:r>
            </w:ins>
            <w:ins w:id="15" w:author="Intel" w:date="2020-02-23T16:30:00Z">
              <w:r>
                <w:rPr>
                  <w:rFonts w:eastAsiaTheme="minorEastAsia"/>
                  <w:color w:val="0070C0"/>
                  <w:lang w:val="en-US" w:eastAsia="zh-CN"/>
                </w:rPr>
                <w:t>recomm</w:t>
              </w:r>
            </w:ins>
            <w:ins w:id="16" w:author="Intel" w:date="2020-02-23T16:31:00Z">
              <w:r>
                <w:rPr>
                  <w:rFonts w:eastAsiaTheme="minorEastAsia"/>
                  <w:color w:val="0070C0"/>
                  <w:lang w:val="en-US" w:eastAsia="zh-CN"/>
                </w:rPr>
                <w:t>ended WF</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69B735C" w:rsidR="00571777" w:rsidRDefault="00571777" w:rsidP="00571777">
            <w:pPr>
              <w:spacing w:after="120"/>
              <w:rPr>
                <w:rFonts w:eastAsiaTheme="minorEastAsia"/>
                <w:color w:val="0070C0"/>
                <w:lang w:val="en-US" w:eastAsia="zh-CN"/>
              </w:rPr>
            </w:pP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0016</w:t>
            </w:r>
          </w:p>
        </w:tc>
        <w:tc>
          <w:tcPr>
            <w:tcW w:w="8615" w:type="dxa"/>
          </w:tcPr>
          <w:p w14:paraId="63195C26" w14:textId="5AC70199" w:rsidR="00571777" w:rsidRDefault="00033562" w:rsidP="00571777">
            <w:pPr>
              <w:spacing w:after="120"/>
              <w:rPr>
                <w:rFonts w:eastAsiaTheme="minorEastAsia"/>
                <w:color w:val="0070C0"/>
                <w:lang w:val="en-US" w:eastAsia="zh-CN"/>
              </w:rPr>
            </w:pPr>
            <w:del w:id="17" w:author="Intel" w:date="2020-02-23T16:43:00Z">
              <w:r w:rsidDel="00B1243B">
                <w:rPr>
                  <w:rFonts w:eastAsiaTheme="minorEastAsia" w:hint="eastAsia"/>
                  <w:color w:val="0070C0"/>
                  <w:lang w:val="en-US" w:eastAsia="zh-CN"/>
                </w:rPr>
                <w:delText>Company A</w:delText>
              </w:r>
            </w:del>
            <w:ins w:id="18" w:author="Intel" w:date="2020-02-23T16:43:00Z">
              <w:r>
                <w:rPr>
                  <w:rFonts w:eastAsiaTheme="minorEastAsia"/>
                  <w:color w:val="0070C0"/>
                  <w:lang w:val="en-US" w:eastAsia="zh-CN"/>
                </w:rPr>
                <w:t xml:space="preserve"> Intel: </w:t>
              </w:r>
            </w:ins>
            <w:ins w:id="19" w:author="Intel" w:date="2020-02-23T16:44:00Z">
              <w:r>
                <w:rPr>
                  <w:rFonts w:eastAsiaTheme="minorEastAsia"/>
                  <w:color w:val="0070C0"/>
                  <w:lang w:val="en-US" w:eastAsia="zh-CN"/>
                </w:rPr>
                <w:t>This is Cat A CR. Same comments as in Cat F CR.</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59A502D9" w:rsidR="00571777" w:rsidRDefault="00571777" w:rsidP="00571777">
            <w:pPr>
              <w:spacing w:after="120"/>
              <w:rPr>
                <w:rFonts w:eastAsiaTheme="minorEastAsia"/>
                <w:color w:val="0070C0"/>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63F9911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73E72940" w14:textId="25A31E2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033562">
              <w:rPr>
                <w:rFonts w:eastAsiaTheme="minorEastAsia"/>
                <w:i/>
                <w:color w:val="0070C0"/>
                <w:lang w:val="en-US" w:eastAsia="zh-CN"/>
              </w:rPr>
              <w:t xml:space="preserve"> </w:t>
            </w:r>
            <w:r w:rsidR="00F91E5D">
              <w:rPr>
                <w:rFonts w:eastAsiaTheme="minorEastAsia"/>
                <w:i/>
                <w:color w:val="0070C0"/>
                <w:lang w:val="en-US" w:eastAsia="zh-CN"/>
              </w:rPr>
              <w:t xml:space="preserve">Option 1 (also including PC1 </w:t>
            </w:r>
            <w:r w:rsidR="00D644D3">
              <w:rPr>
                <w:rFonts w:eastAsiaTheme="minorEastAsia"/>
                <w:i/>
                <w:color w:val="0070C0"/>
                <w:lang w:val="en-US" w:eastAsia="zh-CN"/>
              </w:rPr>
              <w:t>since this is specified for n14 in Rel-16, release independence applies</w:t>
            </w:r>
            <w:r w:rsidR="003A198E">
              <w:rPr>
                <w:rFonts w:eastAsiaTheme="minorEastAsia"/>
                <w:i/>
                <w:color w:val="0070C0"/>
                <w:lang w:val="en-US" w:eastAsia="zh-CN"/>
              </w:rPr>
              <w:t xml:space="preserve"> but pending further discussions</w:t>
            </w:r>
            <w:r w:rsidR="0072207C">
              <w:rPr>
                <w:rFonts w:eastAsiaTheme="minorEastAsia"/>
                <w:i/>
                <w:color w:val="0070C0"/>
                <w:lang w:val="en-US" w:eastAsia="zh-CN"/>
              </w:rPr>
              <w:t xml:space="preserve"> in the second round</w:t>
            </w:r>
            <w:r w:rsidR="00F91E5D">
              <w:rPr>
                <w:rFonts w:eastAsiaTheme="minorEastAsia"/>
                <w:i/>
                <w:color w:val="0070C0"/>
                <w:lang w:val="en-US" w:eastAsia="zh-CN"/>
              </w:rPr>
              <w:t>).</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3AAAE4E6"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91E5D">
              <w:rPr>
                <w:rFonts w:eastAsiaTheme="minorEastAsia"/>
                <w:i/>
                <w:color w:val="0070C0"/>
                <w:lang w:val="en-US" w:eastAsia="zh-CN"/>
              </w:rPr>
              <w:t xml:space="preserve"> CRs</w:t>
            </w:r>
            <w:r w:rsidR="0076721E">
              <w:rPr>
                <w:rFonts w:eastAsiaTheme="minorEastAsia"/>
                <w:i/>
                <w:color w:val="0070C0"/>
                <w:lang w:val="en-US" w:eastAsia="zh-CN"/>
              </w:rPr>
              <w:t xml:space="preserve"> to be agreed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5E19F8E" w:rsidR="00855107" w:rsidRPr="003418CB" w:rsidRDefault="007B7770" w:rsidP="005B4802">
            <w:pPr>
              <w:rPr>
                <w:rFonts w:eastAsiaTheme="minorEastAsia"/>
                <w:color w:val="0070C0"/>
                <w:lang w:val="en-US" w:eastAsia="zh-CN"/>
              </w:rPr>
            </w:pPr>
            <w:r>
              <w:rPr>
                <w:rFonts w:eastAsiaTheme="minorEastAsia"/>
                <w:color w:val="0070C0"/>
                <w:lang w:val="en-US" w:eastAsia="zh-CN"/>
              </w:rPr>
              <w:t>TS 38.307 CR 0017</w:t>
            </w:r>
          </w:p>
        </w:tc>
        <w:tc>
          <w:tcPr>
            <w:tcW w:w="8615" w:type="dxa"/>
          </w:tcPr>
          <w:p w14:paraId="544526D2" w14:textId="6D07959E" w:rsidR="00855107" w:rsidRPr="003418CB" w:rsidRDefault="004F26F1" w:rsidP="00B831AE">
            <w:pPr>
              <w:rPr>
                <w:rFonts w:eastAsiaTheme="minorEastAsia"/>
                <w:color w:val="0070C0"/>
                <w:lang w:val="en-US" w:eastAsia="zh-CN"/>
              </w:rPr>
            </w:pPr>
            <w:r>
              <w:rPr>
                <w:rFonts w:eastAsiaTheme="minorEastAsia"/>
                <w:color w:val="0070C0"/>
                <w:lang w:val="en-US" w:eastAsia="zh-CN"/>
              </w:rPr>
              <w:t>Will be agreed at th</w:t>
            </w:r>
            <w:r w:rsidR="0072207C">
              <w:rPr>
                <w:rFonts w:eastAsiaTheme="minorEastAsia"/>
                <w:color w:val="0070C0"/>
                <w:lang w:val="en-US" w:eastAsia="zh-CN"/>
              </w:rPr>
              <w:t>is</w:t>
            </w:r>
            <w:r>
              <w:rPr>
                <w:rFonts w:eastAsiaTheme="minorEastAsia"/>
                <w:color w:val="0070C0"/>
                <w:lang w:val="en-US" w:eastAsia="zh-CN"/>
              </w:rPr>
              <w:t xml:space="preserve"> meeting</w:t>
            </w:r>
            <w:r w:rsidR="009C5117">
              <w:rPr>
                <w:rFonts w:eastAsiaTheme="minorEastAsia"/>
                <w:color w:val="0070C0"/>
                <w:lang w:val="en-US" w:eastAsia="zh-CN"/>
              </w:rPr>
              <w:t>.</w:t>
            </w:r>
          </w:p>
        </w:tc>
      </w:tr>
      <w:tr w:rsidR="007B7770" w14:paraId="6BB0D8A8" w14:textId="77777777" w:rsidTr="0037005F">
        <w:tc>
          <w:tcPr>
            <w:tcW w:w="1242" w:type="dxa"/>
          </w:tcPr>
          <w:p w14:paraId="054B568D" w14:textId="0BB1E9BA" w:rsidR="007B7770" w:rsidRDefault="007B7770" w:rsidP="005B4802">
            <w:pPr>
              <w:rPr>
                <w:rFonts w:eastAsiaTheme="minorEastAsia"/>
                <w:color w:val="0070C0"/>
                <w:lang w:val="en-US" w:eastAsia="zh-CN"/>
              </w:rPr>
            </w:pPr>
            <w:r>
              <w:rPr>
                <w:rFonts w:eastAsiaTheme="minorEastAsia"/>
                <w:color w:val="0070C0"/>
                <w:lang w:val="en-US" w:eastAsia="zh-CN"/>
              </w:rPr>
              <w:t>TS 38.307 CR 0018</w:t>
            </w:r>
          </w:p>
        </w:tc>
        <w:tc>
          <w:tcPr>
            <w:tcW w:w="8615" w:type="dxa"/>
          </w:tcPr>
          <w:p w14:paraId="36440CEE" w14:textId="48938AF3" w:rsidR="007B7770" w:rsidRPr="00031A43" w:rsidRDefault="007B7770" w:rsidP="00B831AE">
            <w:pPr>
              <w:rPr>
                <w:rFonts w:eastAsiaTheme="minorEastAsia"/>
                <w:iCs/>
                <w:color w:val="0070C0"/>
                <w:lang w:val="en-US" w:eastAsia="zh-CN"/>
              </w:rPr>
            </w:pPr>
            <w:r w:rsidRPr="00031A43">
              <w:rPr>
                <w:rFonts w:eastAsiaTheme="minorEastAsia"/>
                <w:iCs/>
                <w:color w:val="0070C0"/>
                <w:lang w:val="en-US" w:eastAsia="zh-CN"/>
              </w:rPr>
              <w:t>Cat A</w:t>
            </w:r>
            <w:r w:rsidR="00DF6503">
              <w:rPr>
                <w:rFonts w:eastAsiaTheme="minorEastAsia"/>
                <w:iCs/>
                <w:color w:val="0070C0"/>
                <w:lang w:val="en-US" w:eastAsia="zh-CN"/>
              </w:rPr>
              <w:t xml:space="preserve"> (tentatively pending discussions in the 2nd round)</w:t>
            </w:r>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Heading2"/>
        <w:rPr>
          <w:lang w:val="en-US"/>
          <w:rPrChange w:id="20" w:author="Ericsson" w:date="2020-02-21T13:42:00Z">
            <w:rPr/>
          </w:rPrChange>
        </w:rPr>
      </w:pPr>
      <w:r w:rsidRPr="00AF5CEB">
        <w:rPr>
          <w:lang w:val="en-US"/>
          <w:rPrChange w:id="21" w:author="Ericsson" w:date="2020-02-21T13:42:00Z">
            <w:rPr/>
          </w:rPrChange>
        </w:rPr>
        <w:t>Discussion on 2nd round</w:t>
      </w:r>
      <w:r w:rsidR="00CB0305" w:rsidRPr="00AF5CEB">
        <w:rPr>
          <w:lang w:val="en-US"/>
          <w:rPrChange w:id="22" w:author="Ericsson" w:date="2020-02-21T13:42:00Z">
            <w:rPr/>
          </w:rPrChange>
        </w:rPr>
        <w:t xml:space="preserve"> (if applicable)</w:t>
      </w:r>
    </w:p>
    <w:tbl>
      <w:tblPr>
        <w:tblStyle w:val="TableGrid"/>
        <w:tblW w:w="0" w:type="auto"/>
        <w:tblLook w:val="04A0" w:firstRow="1" w:lastRow="0" w:firstColumn="1" w:lastColumn="0" w:noHBand="0" w:noVBand="1"/>
      </w:tblPr>
      <w:tblGrid>
        <w:gridCol w:w="1236"/>
        <w:gridCol w:w="8395"/>
      </w:tblGrid>
      <w:tr w:rsidR="00031A43" w14:paraId="12E2C7C1" w14:textId="77777777" w:rsidTr="00F75F71">
        <w:trPr>
          <w:ins w:id="23" w:author="Ericsson" w:date="2020-03-04T15:13:00Z"/>
        </w:trPr>
        <w:tc>
          <w:tcPr>
            <w:tcW w:w="1236" w:type="dxa"/>
          </w:tcPr>
          <w:p w14:paraId="3C3F3B4D" w14:textId="77777777" w:rsidR="00031A43" w:rsidRPr="00805BE8" w:rsidRDefault="00031A43" w:rsidP="00F75F71">
            <w:pPr>
              <w:spacing w:after="120"/>
              <w:rPr>
                <w:ins w:id="24" w:author="Ericsson" w:date="2020-03-04T15:13:00Z"/>
                <w:rFonts w:eastAsiaTheme="minorEastAsia"/>
                <w:b/>
                <w:bCs/>
                <w:color w:val="0070C0"/>
                <w:lang w:val="en-US" w:eastAsia="zh-CN"/>
              </w:rPr>
            </w:pPr>
            <w:ins w:id="25" w:author="Ericsson" w:date="2020-03-04T15:13:00Z">
              <w:r w:rsidRPr="00805BE8">
                <w:rPr>
                  <w:rFonts w:eastAsiaTheme="minorEastAsia"/>
                  <w:b/>
                  <w:bCs/>
                  <w:color w:val="0070C0"/>
                  <w:lang w:val="en-US" w:eastAsia="zh-CN"/>
                </w:rPr>
                <w:t>Company</w:t>
              </w:r>
            </w:ins>
          </w:p>
        </w:tc>
        <w:tc>
          <w:tcPr>
            <w:tcW w:w="8395" w:type="dxa"/>
          </w:tcPr>
          <w:p w14:paraId="60D2D283" w14:textId="77777777" w:rsidR="00031A43" w:rsidRPr="00805BE8" w:rsidRDefault="00031A43" w:rsidP="00F75F71">
            <w:pPr>
              <w:spacing w:after="120"/>
              <w:rPr>
                <w:ins w:id="26" w:author="Ericsson" w:date="2020-03-04T15:13:00Z"/>
                <w:rFonts w:eastAsiaTheme="minorEastAsia"/>
                <w:b/>
                <w:bCs/>
                <w:color w:val="0070C0"/>
                <w:lang w:val="en-US" w:eastAsia="zh-CN"/>
              </w:rPr>
            </w:pPr>
            <w:ins w:id="27" w:author="Ericsson" w:date="2020-03-04T15:13:00Z">
              <w:r>
                <w:rPr>
                  <w:rFonts w:eastAsiaTheme="minorEastAsia"/>
                  <w:b/>
                  <w:bCs/>
                  <w:color w:val="0070C0"/>
                  <w:lang w:val="en-US" w:eastAsia="zh-CN"/>
                </w:rPr>
                <w:t>Comments</w:t>
              </w:r>
            </w:ins>
          </w:p>
        </w:tc>
      </w:tr>
      <w:tr w:rsidR="00031A43" w14:paraId="660AF4C6" w14:textId="77777777" w:rsidTr="00F75F71">
        <w:trPr>
          <w:ins w:id="28" w:author="Ericsson" w:date="2020-03-04T15:13:00Z"/>
        </w:trPr>
        <w:tc>
          <w:tcPr>
            <w:tcW w:w="1236" w:type="dxa"/>
          </w:tcPr>
          <w:p w14:paraId="2115FAA0" w14:textId="4AE63917" w:rsidR="00031A43" w:rsidRDefault="00D313FE" w:rsidP="00F75F71">
            <w:pPr>
              <w:spacing w:after="120"/>
              <w:rPr>
                <w:ins w:id="29" w:author="Ericsson" w:date="2020-03-04T15:13:00Z"/>
                <w:rFonts w:eastAsiaTheme="minorEastAsia"/>
                <w:color w:val="0070C0"/>
                <w:lang w:val="en-US" w:eastAsia="zh-CN"/>
              </w:rPr>
            </w:pPr>
            <w:ins w:id="30" w:author="Ericsson" w:date="2020-03-04T15:15:00Z">
              <w:r>
                <w:rPr>
                  <w:rFonts w:eastAsiaTheme="minorEastAsia"/>
                  <w:color w:val="0070C0"/>
                  <w:lang w:val="en-US" w:eastAsia="zh-CN"/>
                </w:rPr>
                <w:t>Ericsson</w:t>
              </w:r>
            </w:ins>
          </w:p>
        </w:tc>
        <w:tc>
          <w:tcPr>
            <w:tcW w:w="8395" w:type="dxa"/>
          </w:tcPr>
          <w:p w14:paraId="633C98DA" w14:textId="4AE210F4" w:rsidR="00031A43" w:rsidRDefault="00D313FE" w:rsidP="00F75F71">
            <w:pPr>
              <w:spacing w:after="120"/>
              <w:rPr>
                <w:ins w:id="31" w:author="Ericsson" w:date="2020-03-04T15:13:00Z"/>
                <w:rFonts w:eastAsiaTheme="minorEastAsia"/>
                <w:color w:val="0070C0"/>
                <w:lang w:val="en-US" w:eastAsia="zh-CN"/>
              </w:rPr>
            </w:pPr>
            <w:ins w:id="32" w:author="Ericsson" w:date="2020-03-04T15:15:00Z">
              <w:r>
                <w:rPr>
                  <w:rFonts w:eastAsiaTheme="minorEastAsia"/>
                  <w:color w:val="0070C0"/>
                  <w:lang w:val="en-US" w:eastAsia="zh-CN"/>
                </w:rPr>
                <w:t>Issue</w:t>
              </w:r>
            </w:ins>
            <w:ins w:id="33" w:author="Ericsson" w:date="2020-03-04T15:13:00Z">
              <w:r w:rsidR="00031A43">
                <w:rPr>
                  <w:rFonts w:eastAsiaTheme="minorEastAsia" w:hint="eastAsia"/>
                  <w:color w:val="0070C0"/>
                  <w:lang w:val="en-US" w:eastAsia="zh-CN"/>
                </w:rPr>
                <w:t xml:space="preserve"> </w:t>
              </w:r>
              <w:r w:rsidR="00031A43">
                <w:rPr>
                  <w:rFonts w:eastAsiaTheme="minorEastAsia"/>
                  <w:color w:val="0070C0"/>
                  <w:lang w:val="en-US" w:eastAsia="zh-CN"/>
                </w:rPr>
                <w:t>1-</w:t>
              </w:r>
              <w:r w:rsidR="00031A43">
                <w:rPr>
                  <w:rFonts w:eastAsiaTheme="minorEastAsia" w:hint="eastAsia"/>
                  <w:color w:val="0070C0"/>
                  <w:lang w:val="en-US" w:eastAsia="zh-CN"/>
                </w:rPr>
                <w:t xml:space="preserve">1: </w:t>
              </w:r>
            </w:ins>
            <w:ins w:id="34" w:author="Ericsson" w:date="2020-03-04T15:15:00Z">
              <w:r>
                <w:rPr>
                  <w:rFonts w:eastAsiaTheme="minorEastAsia"/>
                  <w:color w:val="0070C0"/>
                  <w:lang w:val="en-US" w:eastAsia="zh-CN"/>
                </w:rPr>
                <w:t xml:space="preserve">the </w:t>
              </w:r>
            </w:ins>
            <w:ins w:id="35" w:author="Ericsson" w:date="2020-03-04T15:16:00Z">
              <w:r w:rsidR="00F41EAB">
                <w:rPr>
                  <w:rFonts w:eastAsiaTheme="minorEastAsia"/>
                  <w:color w:val="0070C0"/>
                  <w:lang w:val="en-US" w:eastAsia="zh-CN"/>
                </w:rPr>
                <w:t xml:space="preserve">TS 38.307 CR 0017 is technically correct and should be agreed, but there is an editorial correction that could be </w:t>
              </w:r>
            </w:ins>
            <w:ins w:id="36" w:author="Ericsson" w:date="2020-03-04T15:21:00Z">
              <w:r w:rsidR="00FC1F0C">
                <w:rPr>
                  <w:rFonts w:eastAsiaTheme="minorEastAsia"/>
                  <w:color w:val="0070C0"/>
                  <w:lang w:val="en-US" w:eastAsia="zh-CN"/>
                </w:rPr>
                <w:t>made</w:t>
              </w:r>
            </w:ins>
            <w:ins w:id="37" w:author="Ericsson" w:date="2020-03-04T15:17:00Z">
              <w:r w:rsidR="00E13102">
                <w:rPr>
                  <w:rFonts w:eastAsiaTheme="minorEastAsia"/>
                  <w:color w:val="0070C0"/>
                  <w:lang w:val="en-US" w:eastAsia="zh-CN"/>
                </w:rPr>
                <w:t xml:space="preserve"> (an error in a table heading)</w:t>
              </w:r>
            </w:ins>
            <w:ins w:id="38" w:author="Ericsson" w:date="2020-03-04T15:16:00Z">
              <w:r w:rsidR="00F41EAB">
                <w:rPr>
                  <w:rFonts w:eastAsiaTheme="minorEastAsia"/>
                  <w:color w:val="0070C0"/>
                  <w:lang w:val="en-US" w:eastAsia="zh-CN"/>
                </w:rPr>
                <w:t>. It is proposed to revise the CR</w:t>
              </w:r>
              <w:r w:rsidR="00E13102">
                <w:rPr>
                  <w:rFonts w:eastAsiaTheme="minorEastAsia"/>
                  <w:color w:val="0070C0"/>
                  <w:lang w:val="en-US" w:eastAsia="zh-CN"/>
                </w:rPr>
                <w:t xml:space="preserve"> to this end.</w:t>
              </w:r>
            </w:ins>
          </w:p>
          <w:p w14:paraId="456F9DF1" w14:textId="33E6D01E" w:rsidR="00031A43" w:rsidRDefault="00031A43" w:rsidP="00F75F71">
            <w:pPr>
              <w:spacing w:after="120"/>
              <w:rPr>
                <w:ins w:id="39" w:author="Ericsson" w:date="2020-03-04T15:13:00Z"/>
                <w:rFonts w:eastAsiaTheme="minorEastAsia"/>
                <w:color w:val="0070C0"/>
                <w:lang w:val="en-US" w:eastAsia="zh-CN"/>
              </w:rPr>
            </w:pPr>
          </w:p>
        </w:tc>
      </w:tr>
    </w:tbl>
    <w:p w14:paraId="40BC43D2" w14:textId="77777777" w:rsidR="00035C50" w:rsidRPr="00AF5CEB" w:rsidRDefault="00035C50" w:rsidP="00035C50">
      <w:pPr>
        <w:rPr>
          <w:lang w:val="en-US" w:eastAsia="zh-CN"/>
          <w:rPrChange w:id="40" w:author="Ericsson" w:date="2020-02-21T13:42:00Z">
            <w:rPr>
              <w:lang w:val="sv-SE" w:eastAsia="zh-CN"/>
            </w:rPr>
          </w:rPrChange>
        </w:rPr>
      </w:pPr>
    </w:p>
    <w:p w14:paraId="74A74C10" w14:textId="2F85E740" w:rsidR="00035C50" w:rsidRPr="00AF5CEB" w:rsidRDefault="00035C50" w:rsidP="00CB0305">
      <w:pPr>
        <w:pStyle w:val="Heading2"/>
        <w:rPr>
          <w:lang w:val="en-US"/>
          <w:rPrChange w:id="41" w:author="Ericsson" w:date="2020-02-21T13:42:00Z">
            <w:rPr/>
          </w:rPrChange>
        </w:rPr>
      </w:pPr>
      <w:r w:rsidRPr="00AF5CEB">
        <w:rPr>
          <w:lang w:val="en-US"/>
          <w:rPrChange w:id="42" w:author="Ericsson" w:date="2020-02-21T13:42:00Z">
            <w:rPr/>
          </w:rPrChange>
        </w:rPr>
        <w:t>Summary on 2nd round</w:t>
      </w:r>
      <w:r w:rsidR="00CB0305" w:rsidRPr="00AF5CEB">
        <w:rPr>
          <w:lang w:val="en-US"/>
          <w:rPrChange w:id="43"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bookmarkStart w:id="44" w:name="_GoBack"/>
        <w:bookmarkEnd w:id="44"/>
      </w:tr>
      <w:tr w:rsidR="00B24CA0" w14:paraId="02A5488A" w14:textId="77777777" w:rsidTr="000D530B">
        <w:tc>
          <w:tcPr>
            <w:tcW w:w="1242" w:type="dxa"/>
          </w:tcPr>
          <w:p w14:paraId="50316788" w14:textId="1A488D10" w:rsidR="00B24CA0" w:rsidRPr="003418CB" w:rsidRDefault="00E13102" w:rsidP="000D530B">
            <w:pPr>
              <w:rPr>
                <w:rFonts w:eastAsiaTheme="minorEastAsia"/>
                <w:color w:val="0070C0"/>
                <w:lang w:val="en-US" w:eastAsia="zh-CN"/>
              </w:rPr>
            </w:pPr>
            <w:ins w:id="45" w:author="Ericsson" w:date="2020-03-04T15:17:00Z">
              <w:r>
                <w:rPr>
                  <w:rFonts w:eastAsiaTheme="minorEastAsia"/>
                  <w:color w:val="0070C0"/>
                  <w:lang w:val="en-US" w:eastAsia="zh-CN"/>
                </w:rPr>
                <w:t>TS 38.307 CR 0017</w:t>
              </w:r>
            </w:ins>
            <w:del w:id="46" w:author="Ericsson" w:date="2020-03-04T15:17:00Z">
              <w:r w:rsidR="00B24CA0" w:rsidDel="00E13102">
                <w:rPr>
                  <w:rFonts w:eastAsiaTheme="minorEastAsia" w:hint="eastAsia"/>
                  <w:color w:val="0070C0"/>
                  <w:lang w:val="en-US" w:eastAsia="zh-CN"/>
                </w:rPr>
                <w:delText>XXX</w:delText>
              </w:r>
            </w:del>
          </w:p>
        </w:tc>
        <w:tc>
          <w:tcPr>
            <w:tcW w:w="8615" w:type="dxa"/>
          </w:tcPr>
          <w:p w14:paraId="62C38A80" w14:textId="76DAA572" w:rsidR="00B24CA0" w:rsidRPr="003418CB" w:rsidRDefault="00E13102" w:rsidP="000D530B">
            <w:pPr>
              <w:rPr>
                <w:rFonts w:eastAsiaTheme="minorEastAsia"/>
                <w:color w:val="0070C0"/>
                <w:lang w:val="en-US" w:eastAsia="zh-CN"/>
              </w:rPr>
            </w:pPr>
            <w:ins w:id="47" w:author="Ericsson" w:date="2020-03-04T15:17:00Z">
              <w:r>
                <w:rPr>
                  <w:rFonts w:eastAsiaTheme="minorEastAsia"/>
                  <w:i/>
                  <w:color w:val="0070C0"/>
                  <w:lang w:val="en-US" w:eastAsia="zh-CN"/>
                </w:rPr>
                <w:t>CR “to be revised”</w:t>
              </w:r>
            </w:ins>
            <w:ins w:id="48" w:author="Ericsson" w:date="2020-03-05T13:54:00Z">
              <w:r w:rsidR="00F37C8F">
                <w:rPr>
                  <w:rFonts w:eastAsiaTheme="minorEastAsia"/>
                  <w:i/>
                  <w:color w:val="0070C0"/>
                  <w:lang w:val="en-US" w:eastAsia="zh-CN"/>
                </w:rPr>
                <w:t xml:space="preserve"> </w:t>
              </w:r>
            </w:ins>
            <w:ins w:id="49" w:author="Ericsson" w:date="2020-03-05T14:26:00Z">
              <w:r w:rsidR="003A753E">
                <w:rPr>
                  <w:rFonts w:eastAsiaTheme="minorEastAsia"/>
                  <w:i/>
                  <w:color w:val="0070C0"/>
                  <w:lang w:val="en-US" w:eastAsia="zh-CN"/>
                </w:rPr>
                <w:t>(</w:t>
              </w:r>
            </w:ins>
            <w:ins w:id="50" w:author="Ericsson" w:date="2020-03-04T15:18:00Z">
              <w:r>
                <w:rPr>
                  <w:rFonts w:eastAsiaTheme="minorEastAsia"/>
                  <w:i/>
                  <w:color w:val="0070C0"/>
                  <w:lang w:val="en-US" w:eastAsia="zh-CN"/>
                </w:rPr>
                <w:t xml:space="preserve">new tdoc number </w:t>
              </w:r>
            </w:ins>
            <w:ins w:id="51" w:author="Ericsson" w:date="2020-03-04T15:21:00Z">
              <w:r w:rsidR="006A6BDC">
                <w:rPr>
                  <w:rFonts w:eastAsiaTheme="minorEastAsia"/>
                  <w:i/>
                  <w:color w:val="0070C0"/>
                  <w:lang w:val="en-US" w:eastAsia="zh-CN"/>
                </w:rPr>
                <w:t xml:space="preserve">not </w:t>
              </w:r>
            </w:ins>
            <w:ins w:id="52" w:author="Ericsson" w:date="2020-03-04T15:18:00Z">
              <w:r>
                <w:rPr>
                  <w:rFonts w:eastAsiaTheme="minorEastAsia"/>
                  <w:i/>
                  <w:color w:val="0070C0"/>
                  <w:lang w:val="en-US" w:eastAsia="zh-CN"/>
                </w:rPr>
                <w:t>needed</w:t>
              </w:r>
            </w:ins>
            <w:ins w:id="53" w:author="Ericsson" w:date="2020-03-04T15:21:00Z">
              <w:r w:rsidR="006A6BDC">
                <w:rPr>
                  <w:rFonts w:eastAsiaTheme="minorEastAsia"/>
                  <w:i/>
                  <w:color w:val="0070C0"/>
                  <w:lang w:val="en-US" w:eastAsia="zh-CN"/>
                </w:rPr>
                <w:t xml:space="preserve"> for </w:t>
              </w:r>
              <w:r w:rsidR="00FC1F0C">
                <w:rPr>
                  <w:rFonts w:eastAsiaTheme="minorEastAsia"/>
                  <w:i/>
                  <w:color w:val="0070C0"/>
                  <w:lang w:val="en-US" w:eastAsia="zh-CN"/>
                </w:rPr>
                <w:t>Cat A</w:t>
              </w:r>
              <w:r w:rsidR="006A6BDC">
                <w:rPr>
                  <w:rFonts w:eastAsiaTheme="minorEastAsia"/>
                  <w:i/>
                  <w:color w:val="0070C0"/>
                  <w:lang w:val="en-US" w:eastAsia="zh-CN"/>
                </w:rPr>
                <w:t>)</w:t>
              </w:r>
            </w:ins>
            <w:ins w:id="54" w:author="Ericsson" w:date="2020-03-04T15:18:00Z">
              <w:r>
                <w:rPr>
                  <w:rFonts w:eastAsiaTheme="minorEastAsia"/>
                  <w:i/>
                  <w:color w:val="0070C0"/>
                  <w:lang w:val="en-US" w:eastAsia="zh-CN"/>
                </w:rPr>
                <w:t xml:space="preserve"> </w:t>
              </w:r>
            </w:ins>
          </w:p>
        </w:tc>
      </w:tr>
      <w:tr w:rsidR="00EC3B37" w14:paraId="61FEFFA8" w14:textId="77777777" w:rsidTr="000D530B">
        <w:trPr>
          <w:ins w:id="55" w:author="Ericsson" w:date="2020-03-05T14:25:00Z"/>
        </w:trPr>
        <w:tc>
          <w:tcPr>
            <w:tcW w:w="1242" w:type="dxa"/>
          </w:tcPr>
          <w:p w14:paraId="2A04BD5B" w14:textId="748A4C64" w:rsidR="00EC3B37" w:rsidRDefault="00EC3B37" w:rsidP="000D530B">
            <w:pPr>
              <w:rPr>
                <w:ins w:id="56" w:author="Ericsson" w:date="2020-03-05T14:25:00Z"/>
                <w:rFonts w:eastAsiaTheme="minorEastAsia"/>
                <w:color w:val="0070C0"/>
                <w:lang w:val="en-US" w:eastAsia="zh-CN"/>
              </w:rPr>
            </w:pPr>
            <w:ins w:id="57" w:author="Ericsson" w:date="2020-03-05T14:25:00Z">
              <w:r>
                <w:rPr>
                  <w:rFonts w:eastAsiaTheme="minorEastAsia"/>
                  <w:color w:val="0070C0"/>
                  <w:lang w:val="en-US" w:eastAsia="zh-CN"/>
                </w:rPr>
                <w:t>TS 38.307 CR 0017</w:t>
              </w:r>
              <w:r w:rsidR="003A753E">
                <w:rPr>
                  <w:rFonts w:eastAsiaTheme="minorEastAsia"/>
                  <w:color w:val="0070C0"/>
                  <w:lang w:val="en-US" w:eastAsia="zh-CN"/>
                </w:rPr>
                <w:t>r1</w:t>
              </w:r>
            </w:ins>
          </w:p>
        </w:tc>
        <w:tc>
          <w:tcPr>
            <w:tcW w:w="8615" w:type="dxa"/>
          </w:tcPr>
          <w:p w14:paraId="12E122C1" w14:textId="79A9FB19" w:rsidR="00EC3B37" w:rsidRDefault="003A753E" w:rsidP="000D530B">
            <w:pPr>
              <w:rPr>
                <w:ins w:id="58" w:author="Ericsson" w:date="2020-03-05T14:25:00Z"/>
                <w:rFonts w:eastAsiaTheme="minorEastAsia"/>
                <w:i/>
                <w:color w:val="0070C0"/>
                <w:lang w:val="en-US" w:eastAsia="zh-CN"/>
              </w:rPr>
            </w:pPr>
            <w:ins w:id="59" w:author="Ericsson" w:date="2020-03-05T14:25:00Z">
              <w:r>
                <w:rPr>
                  <w:rFonts w:eastAsiaTheme="minorEastAsia"/>
                  <w:i/>
                  <w:color w:val="0070C0"/>
                  <w:lang w:val="en-US" w:eastAsia="zh-CN"/>
                </w:rPr>
                <w:t>CR “agreeable” (</w:t>
              </w:r>
            </w:ins>
            <w:ins w:id="60" w:author="Ericsson" w:date="2020-03-05T14:26:00Z">
              <w:r>
                <w:rPr>
                  <w:rFonts w:eastAsiaTheme="minorEastAsia"/>
                  <w:i/>
                  <w:color w:val="0070C0"/>
                  <w:lang w:val="en-US" w:eastAsia="zh-CN"/>
                </w:rPr>
                <w:t>R4-2002910)</w:t>
              </w:r>
            </w:ins>
          </w:p>
        </w:tc>
      </w:tr>
    </w:tbl>
    <w:p w14:paraId="011D7A65" w14:textId="77777777" w:rsidR="00B24CA0" w:rsidRPr="00805BE8" w:rsidRDefault="00B24CA0" w:rsidP="00805BE8"/>
    <w:p w14:paraId="11F36725" w14:textId="7728C0E9" w:rsidR="00DD19DE" w:rsidRPr="009444C9" w:rsidRDefault="00142BB9" w:rsidP="00DD19DE">
      <w:pPr>
        <w:pStyle w:val="Heading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60046C" w:rsidP="00045592">
            <w:pPr>
              <w:spacing w:before="120" w:after="120"/>
              <w:rPr>
                <w:rFonts w:asciiTheme="minorHAnsi" w:hAnsiTheme="minorHAnsi" w:cstheme="minorHAnsi"/>
              </w:rPr>
            </w:pPr>
            <w:hyperlink r:id="rId14" w:history="1">
              <w:r w:rsidR="007B49E8" w:rsidRPr="007B49E8">
                <w:rPr>
                  <w:rStyle w:val="Hyperlink"/>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lastRenderedPageBreak/>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60046C" w:rsidP="00045592">
            <w:pPr>
              <w:spacing w:before="120" w:after="120"/>
              <w:rPr>
                <w:rFonts w:asciiTheme="minorHAnsi" w:hAnsiTheme="minorHAnsi" w:cstheme="minorHAnsi"/>
              </w:rPr>
            </w:pPr>
            <w:hyperlink r:id="rId15" w:history="1">
              <w:r w:rsidR="00B9250F" w:rsidRPr="00B9250F">
                <w:rPr>
                  <w:rStyle w:val="Hyperlink"/>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0199 (Cat 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D5DF276" w:rsidR="00DD19DE" w:rsidRPr="00B9250F" w:rsidRDefault="00DD19DE" w:rsidP="00DD19DE">
      <w:pPr>
        <w:pStyle w:val="Heading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inter-band NE-DC PC2?</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Proposals</w:t>
      </w:r>
    </w:p>
    <w:p w14:paraId="0610E100" w14:textId="6725FAF9"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073279">
        <w:rPr>
          <w:rFonts w:eastAsia="SimSun"/>
          <w:szCs w:val="24"/>
          <w:lang w:eastAsia="zh-CN"/>
        </w:rPr>
        <w:t xml:space="preserve">the proposed changes in </w:t>
      </w:r>
      <w:r w:rsidR="00E0324F">
        <w:rPr>
          <w:rFonts w:eastAsia="SimSun"/>
          <w:szCs w:val="24"/>
          <w:lang w:eastAsia="zh-CN"/>
        </w:rPr>
        <w:t>TS 38.101-3 CR 0198 (</w:t>
      </w:r>
      <w:r w:rsidR="00073279">
        <w:rPr>
          <w:rFonts w:eastAsia="SimSun"/>
          <w:szCs w:val="24"/>
          <w:lang w:eastAsia="zh-CN"/>
        </w:rPr>
        <w:t>R4-2001227</w:t>
      </w:r>
      <w:r w:rsidR="00E0324F">
        <w:rPr>
          <w:rFonts w:eastAsia="SimSun"/>
          <w:szCs w:val="24"/>
          <w:lang w:eastAsia="zh-CN"/>
        </w:rPr>
        <w:t>)</w:t>
      </w:r>
    </w:p>
    <w:p w14:paraId="50947007" w14:textId="0E18A8FF"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2: </w:t>
      </w:r>
      <w:r w:rsidR="00C23BB0" w:rsidRPr="003A4CE8">
        <w:rPr>
          <w:rFonts w:eastAsia="SimSun"/>
          <w:szCs w:val="24"/>
          <w:lang w:eastAsia="zh-CN"/>
        </w:rPr>
        <w:t>No change</w:t>
      </w:r>
    </w:p>
    <w:p w14:paraId="699A8AC4"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Recommended WF</w:t>
      </w:r>
    </w:p>
    <w:p w14:paraId="68CA7351" w14:textId="36C6E036" w:rsidR="00DD19DE" w:rsidRPr="003A4CE8" w:rsidRDefault="00C23B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5308C8">
        <w:rPr>
          <w:rFonts w:eastAsia="SimSun"/>
          <w:szCs w:val="24"/>
          <w:lang w:eastAsia="zh-CN"/>
        </w:rPr>
        <w:t xml:space="preserve">the restriction of the LTE </w:t>
      </w:r>
      <w:r w:rsidR="0066704D">
        <w:rPr>
          <w:rFonts w:eastAsia="SimSun"/>
          <w:szCs w:val="24"/>
          <w:lang w:eastAsia="zh-CN"/>
        </w:rPr>
        <w:t xml:space="preserve">U/D and special-subframe </w:t>
      </w:r>
      <w:r w:rsidR="005308C8">
        <w:rPr>
          <w:rFonts w:eastAsia="SimSun"/>
          <w:szCs w:val="24"/>
          <w:lang w:eastAsia="zh-CN"/>
        </w:rPr>
        <w:t>configura</w:t>
      </w:r>
      <w:r w:rsidR="0066704D">
        <w:rPr>
          <w:rFonts w:eastAsia="SimSun"/>
          <w:szCs w:val="24"/>
          <w:lang w:eastAsia="zh-CN"/>
        </w:rPr>
        <w:t>tion for NE-DC PC2 not relevant</w:t>
      </w:r>
      <w:r w:rsidR="005B03B4">
        <w:rPr>
          <w:rFonts w:eastAsia="SimSun"/>
          <w:szCs w:val="24"/>
          <w:lang w:eastAsia="zh-CN"/>
        </w:rPr>
        <w:t>/</w:t>
      </w:r>
      <w:r w:rsidR="00073279">
        <w:rPr>
          <w:rFonts w:eastAsia="SimSun"/>
          <w:szCs w:val="24"/>
          <w:lang w:eastAsia="zh-CN"/>
        </w:rPr>
        <w:t>applicable</w:t>
      </w:r>
      <w:r w:rsidR="0066704D">
        <w:rPr>
          <w:rFonts w:eastAsia="SimSun"/>
          <w:szCs w:val="24"/>
          <w:lang w:eastAsia="zh-CN"/>
        </w:rPr>
        <w:t xml:space="preserve"> for inter-band NE-DC</w:t>
      </w:r>
      <w:r w:rsidR="00BE2283">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Heading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RPr="00EF43D7" w14:paraId="71A9C0C5" w14:textId="77777777" w:rsidTr="00045592">
        <w:tc>
          <w:tcPr>
            <w:tcW w:w="1242" w:type="dxa"/>
          </w:tcPr>
          <w:p w14:paraId="24B4F67E" w14:textId="4FEA986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4D6106CE" w14:textId="1D387160"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r w:rsidR="007B7770">
              <w:rPr>
                <w:rFonts w:eastAsiaTheme="minorEastAsia"/>
                <w:i/>
                <w:color w:val="0070C0"/>
                <w:lang w:val="en-US" w:eastAsia="zh-CN"/>
              </w:rPr>
              <w:t xml:space="preserve"> Option 1, no comments received</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16E218C0"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7B7770">
              <w:rPr>
                <w:rFonts w:eastAsiaTheme="minorEastAsia"/>
                <w:i/>
                <w:color w:val="0070C0"/>
                <w:lang w:val="en-US" w:eastAsia="zh-CN"/>
              </w:rPr>
              <w:t xml:space="preserve"> 2</w:t>
            </w:r>
            <w:r w:rsidR="007B7770" w:rsidRPr="00EF43D7">
              <w:rPr>
                <w:rFonts w:eastAsiaTheme="minorEastAsia"/>
                <w:i/>
                <w:color w:val="0070C0"/>
                <w:vertAlign w:val="superscript"/>
                <w:lang w:val="en-US" w:eastAsia="zh-CN"/>
              </w:rPr>
              <w:t>nd</w:t>
            </w:r>
            <w:r w:rsidR="007B7770">
              <w:rPr>
                <w:rFonts w:eastAsiaTheme="minorEastAsia"/>
                <w:i/>
                <w:color w:val="0070C0"/>
                <w:lang w:val="en-US" w:eastAsia="zh-CN"/>
              </w:rPr>
              <w:t xml:space="preserve"> round not needed, CRs agreeable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6C9C2540" w:rsidR="00DD19DE" w:rsidRPr="003418CB" w:rsidRDefault="00E86995" w:rsidP="00045592">
            <w:pPr>
              <w:rPr>
                <w:rFonts w:eastAsiaTheme="minorEastAsia"/>
                <w:color w:val="0070C0"/>
                <w:lang w:val="en-US" w:eastAsia="zh-CN"/>
              </w:rPr>
            </w:pPr>
            <w:r>
              <w:rPr>
                <w:rFonts w:eastAsiaTheme="minorEastAsia"/>
                <w:color w:val="0070C0"/>
                <w:lang w:val="en-US" w:eastAsia="zh-CN"/>
              </w:rPr>
              <w:t>TS 38.101-3 CR 0198</w:t>
            </w:r>
          </w:p>
        </w:tc>
        <w:tc>
          <w:tcPr>
            <w:tcW w:w="8615" w:type="dxa"/>
          </w:tcPr>
          <w:p w14:paraId="6BF885BF" w14:textId="20CC5B59" w:rsidR="00DD19DE" w:rsidRPr="003418CB" w:rsidRDefault="00E86995" w:rsidP="00045592">
            <w:pPr>
              <w:rPr>
                <w:rFonts w:eastAsiaTheme="minorEastAsia"/>
                <w:color w:val="0070C0"/>
                <w:lang w:val="en-US" w:eastAsia="zh-CN"/>
              </w:rPr>
            </w:pPr>
            <w:r>
              <w:rPr>
                <w:rFonts w:eastAsiaTheme="minorEastAsia"/>
                <w:color w:val="0070C0"/>
                <w:lang w:val="en-US" w:eastAsia="zh-CN"/>
              </w:rPr>
              <w:t>Cat F CR agreeable</w:t>
            </w:r>
          </w:p>
        </w:tc>
      </w:tr>
      <w:tr w:rsidR="00E86995" w14:paraId="68CEE397" w14:textId="77777777" w:rsidTr="00045592">
        <w:tc>
          <w:tcPr>
            <w:tcW w:w="1242" w:type="dxa"/>
          </w:tcPr>
          <w:p w14:paraId="6A3C7E58" w14:textId="37B7B12E" w:rsidR="00E86995" w:rsidRDefault="00E86995" w:rsidP="00045592">
            <w:pPr>
              <w:rPr>
                <w:rFonts w:eastAsiaTheme="minorEastAsia"/>
                <w:color w:val="0070C0"/>
                <w:lang w:val="en-US" w:eastAsia="zh-CN"/>
              </w:rPr>
            </w:pPr>
            <w:r>
              <w:rPr>
                <w:rFonts w:eastAsiaTheme="minorEastAsia"/>
                <w:color w:val="0070C0"/>
                <w:lang w:val="en-US" w:eastAsia="zh-CN"/>
              </w:rPr>
              <w:t>TS 38.101-3 CR 0199</w:t>
            </w:r>
          </w:p>
        </w:tc>
        <w:tc>
          <w:tcPr>
            <w:tcW w:w="8615" w:type="dxa"/>
          </w:tcPr>
          <w:p w14:paraId="2DC7E5FD" w14:textId="7D0C6ACA" w:rsidR="00E86995" w:rsidRPr="00EF43D7" w:rsidRDefault="00E86995" w:rsidP="00045592">
            <w:pPr>
              <w:rPr>
                <w:rFonts w:eastAsiaTheme="minorEastAsia"/>
                <w:iCs/>
                <w:color w:val="0070C0"/>
                <w:lang w:val="en-US" w:eastAsia="zh-CN"/>
              </w:rPr>
            </w:pPr>
            <w:r w:rsidRPr="00EF43D7">
              <w:rPr>
                <w:rFonts w:eastAsiaTheme="minorEastAsia"/>
                <w:iCs/>
                <w:color w:val="0070C0"/>
                <w:lang w:val="en-US" w:eastAsia="zh-CN"/>
              </w:rPr>
              <w:t>Cat A</w:t>
            </w:r>
          </w:p>
        </w:tc>
      </w:tr>
    </w:tbl>
    <w:p w14:paraId="2227E2DD" w14:textId="77777777" w:rsidR="00DD19DE" w:rsidRPr="003418CB" w:rsidRDefault="00DD19DE" w:rsidP="00DD19DE">
      <w:pPr>
        <w:rPr>
          <w:color w:val="0070C0"/>
          <w:lang w:val="en-US" w:eastAsia="zh-CN"/>
        </w:rPr>
      </w:pPr>
    </w:p>
    <w:p w14:paraId="6F36FA85" w14:textId="77777777" w:rsidR="00DD19DE" w:rsidRPr="00E86995" w:rsidRDefault="00DD19DE" w:rsidP="00DD19DE">
      <w:pPr>
        <w:pStyle w:val="Heading2"/>
        <w:rPr>
          <w:lang w:val="en-US"/>
        </w:rPr>
      </w:pPr>
      <w:r w:rsidRPr="00E86995">
        <w:rPr>
          <w:lang w:val="en-US"/>
        </w:rPr>
        <w:t>Discussion on 2nd round (if applicable)</w:t>
      </w:r>
    </w:p>
    <w:p w14:paraId="2B35B009" w14:textId="77777777" w:rsidR="00DD19DE" w:rsidRPr="00E86995" w:rsidRDefault="00DD19DE" w:rsidP="00DD19DE">
      <w:pPr>
        <w:rPr>
          <w:lang w:val="en-US" w:eastAsia="zh-CN"/>
        </w:rPr>
      </w:pPr>
    </w:p>
    <w:p w14:paraId="7442964D" w14:textId="52A13B75" w:rsidR="00307E51" w:rsidRPr="00E86995" w:rsidRDefault="00DD19DE" w:rsidP="00805BE8">
      <w:pPr>
        <w:pStyle w:val="Heading2"/>
        <w:rPr>
          <w:lang w:val="en-US"/>
        </w:rPr>
      </w:pPr>
      <w:r w:rsidRPr="00E8699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E86995" w:rsidRDefault="00307E51" w:rsidP="00307E51">
      <w:pPr>
        <w:rPr>
          <w:lang w:val="en-US" w:eastAsia="zh-CN"/>
        </w:rPr>
      </w:pPr>
    </w:p>
    <w:p w14:paraId="065F6323" w14:textId="511DEB29" w:rsidR="00DD28BC" w:rsidRPr="00AF5CEB" w:rsidRDefault="00DD28BC" w:rsidP="00805BE8">
      <w:pPr>
        <w:rPr>
          <w:rFonts w:ascii="Arial" w:hAnsi="Arial"/>
          <w:lang w:val="en-US" w:eastAsia="zh-CN"/>
          <w:rPrChange w:id="61"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F9C8" w14:textId="77777777" w:rsidR="0060046C" w:rsidRDefault="0060046C">
      <w:r>
        <w:separator/>
      </w:r>
    </w:p>
  </w:endnote>
  <w:endnote w:type="continuationSeparator" w:id="0">
    <w:p w14:paraId="1CECD8A8" w14:textId="77777777" w:rsidR="0060046C" w:rsidRDefault="0060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B2C3" w14:textId="77777777" w:rsidR="0060046C" w:rsidRDefault="0060046C">
      <w:r>
        <w:separator/>
      </w:r>
    </w:p>
  </w:footnote>
  <w:footnote w:type="continuationSeparator" w:id="0">
    <w:p w14:paraId="5B75F1A8" w14:textId="77777777" w:rsidR="0060046C" w:rsidRDefault="00600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Jinqiang">
    <w15:presenceInfo w15:providerId="None" w15:userId="OPPO Jinqiang"/>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F5C"/>
    <w:rsid w:val="00004165"/>
    <w:rsid w:val="00011E69"/>
    <w:rsid w:val="00026ACC"/>
    <w:rsid w:val="0003171D"/>
    <w:rsid w:val="00031A43"/>
    <w:rsid w:val="00031C1D"/>
    <w:rsid w:val="00033562"/>
    <w:rsid w:val="00035C50"/>
    <w:rsid w:val="000457A1"/>
    <w:rsid w:val="00050001"/>
    <w:rsid w:val="00052041"/>
    <w:rsid w:val="0005326A"/>
    <w:rsid w:val="0006266D"/>
    <w:rsid w:val="00065506"/>
    <w:rsid w:val="00066758"/>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2553"/>
    <w:rsid w:val="000C38C3"/>
    <w:rsid w:val="000D09FD"/>
    <w:rsid w:val="000D44FB"/>
    <w:rsid w:val="000D574B"/>
    <w:rsid w:val="000D6CFC"/>
    <w:rsid w:val="000D73F9"/>
    <w:rsid w:val="000E537B"/>
    <w:rsid w:val="000E57D0"/>
    <w:rsid w:val="000E6249"/>
    <w:rsid w:val="000E7858"/>
    <w:rsid w:val="00107927"/>
    <w:rsid w:val="00110E26"/>
    <w:rsid w:val="00111321"/>
    <w:rsid w:val="001166FC"/>
    <w:rsid w:val="00117BD6"/>
    <w:rsid w:val="001206C2"/>
    <w:rsid w:val="00121978"/>
    <w:rsid w:val="00123422"/>
    <w:rsid w:val="00124B6A"/>
    <w:rsid w:val="0012521F"/>
    <w:rsid w:val="00136D4C"/>
    <w:rsid w:val="00142BB9"/>
    <w:rsid w:val="00144F96"/>
    <w:rsid w:val="00146E66"/>
    <w:rsid w:val="00151EAC"/>
    <w:rsid w:val="00151F1F"/>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5394"/>
    <w:rsid w:val="00235577"/>
    <w:rsid w:val="002435CA"/>
    <w:rsid w:val="0024469F"/>
    <w:rsid w:val="00252DB8"/>
    <w:rsid w:val="002537BC"/>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42E5B"/>
    <w:rsid w:val="00355873"/>
    <w:rsid w:val="0035660F"/>
    <w:rsid w:val="003628B9"/>
    <w:rsid w:val="00362D8F"/>
    <w:rsid w:val="00367724"/>
    <w:rsid w:val="003770F6"/>
    <w:rsid w:val="00383E37"/>
    <w:rsid w:val="0039214B"/>
    <w:rsid w:val="00393042"/>
    <w:rsid w:val="00394AD5"/>
    <w:rsid w:val="0039642D"/>
    <w:rsid w:val="003A198E"/>
    <w:rsid w:val="003A2E40"/>
    <w:rsid w:val="003A4CE8"/>
    <w:rsid w:val="003A6AA4"/>
    <w:rsid w:val="003A753E"/>
    <w:rsid w:val="003B0158"/>
    <w:rsid w:val="003B40B6"/>
    <w:rsid w:val="003B4D0C"/>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1D5E"/>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6F1"/>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4449"/>
    <w:rsid w:val="005607B9"/>
    <w:rsid w:val="00571777"/>
    <w:rsid w:val="00580FF5"/>
    <w:rsid w:val="0058519C"/>
    <w:rsid w:val="0059149A"/>
    <w:rsid w:val="005956EE"/>
    <w:rsid w:val="005A083E"/>
    <w:rsid w:val="005B03B4"/>
    <w:rsid w:val="005B4802"/>
    <w:rsid w:val="005C1EA6"/>
    <w:rsid w:val="005D0B99"/>
    <w:rsid w:val="005D20BB"/>
    <w:rsid w:val="005D308E"/>
    <w:rsid w:val="005D3A48"/>
    <w:rsid w:val="005D7AF8"/>
    <w:rsid w:val="005E366A"/>
    <w:rsid w:val="005F2145"/>
    <w:rsid w:val="005F7990"/>
    <w:rsid w:val="0060046C"/>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05B4"/>
    <w:rsid w:val="006A30A2"/>
    <w:rsid w:val="006A6BDC"/>
    <w:rsid w:val="006A6D23"/>
    <w:rsid w:val="006A7EC2"/>
    <w:rsid w:val="006B1E3C"/>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2207C"/>
    <w:rsid w:val="00730655"/>
    <w:rsid w:val="00731D77"/>
    <w:rsid w:val="00732360"/>
    <w:rsid w:val="0073390A"/>
    <w:rsid w:val="00734E64"/>
    <w:rsid w:val="00736B37"/>
    <w:rsid w:val="00740A35"/>
    <w:rsid w:val="007520B4"/>
    <w:rsid w:val="00755DF7"/>
    <w:rsid w:val="007655D5"/>
    <w:rsid w:val="0076721E"/>
    <w:rsid w:val="007763C1"/>
    <w:rsid w:val="00777E82"/>
    <w:rsid w:val="00781359"/>
    <w:rsid w:val="00786921"/>
    <w:rsid w:val="007873F0"/>
    <w:rsid w:val="007A1EAA"/>
    <w:rsid w:val="007A79FD"/>
    <w:rsid w:val="007B0B9D"/>
    <w:rsid w:val="007B49E8"/>
    <w:rsid w:val="007B5A43"/>
    <w:rsid w:val="007B709B"/>
    <w:rsid w:val="007B7770"/>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A44C1"/>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C5117"/>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75C18"/>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59D8"/>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5982"/>
    <w:rsid w:val="00BC60BF"/>
    <w:rsid w:val="00BD28BF"/>
    <w:rsid w:val="00BD6404"/>
    <w:rsid w:val="00BE2283"/>
    <w:rsid w:val="00BE33AE"/>
    <w:rsid w:val="00BE68B5"/>
    <w:rsid w:val="00BF046F"/>
    <w:rsid w:val="00C01D50"/>
    <w:rsid w:val="00C056DC"/>
    <w:rsid w:val="00C1329B"/>
    <w:rsid w:val="00C23BB0"/>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3FE"/>
    <w:rsid w:val="00D3188C"/>
    <w:rsid w:val="00D35F9B"/>
    <w:rsid w:val="00D36B69"/>
    <w:rsid w:val="00D408DD"/>
    <w:rsid w:val="00D45D72"/>
    <w:rsid w:val="00D520E4"/>
    <w:rsid w:val="00D53A38"/>
    <w:rsid w:val="00D575DD"/>
    <w:rsid w:val="00D57DFA"/>
    <w:rsid w:val="00D6133A"/>
    <w:rsid w:val="00D644D3"/>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503"/>
    <w:rsid w:val="00DF7171"/>
    <w:rsid w:val="00E0227D"/>
    <w:rsid w:val="00E0324F"/>
    <w:rsid w:val="00E0423A"/>
    <w:rsid w:val="00E04B84"/>
    <w:rsid w:val="00E06466"/>
    <w:rsid w:val="00E06FDA"/>
    <w:rsid w:val="00E13102"/>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995"/>
    <w:rsid w:val="00E91008"/>
    <w:rsid w:val="00E9374E"/>
    <w:rsid w:val="00E94F54"/>
    <w:rsid w:val="00E97AD5"/>
    <w:rsid w:val="00EA1111"/>
    <w:rsid w:val="00EA3B4F"/>
    <w:rsid w:val="00EA3C24"/>
    <w:rsid w:val="00EA73DF"/>
    <w:rsid w:val="00EB61AE"/>
    <w:rsid w:val="00EC322D"/>
    <w:rsid w:val="00EC3B37"/>
    <w:rsid w:val="00ED383A"/>
    <w:rsid w:val="00ED6108"/>
    <w:rsid w:val="00EF1255"/>
    <w:rsid w:val="00EF1EC5"/>
    <w:rsid w:val="00EF43D7"/>
    <w:rsid w:val="00EF4C88"/>
    <w:rsid w:val="00EF55EB"/>
    <w:rsid w:val="00F00DCC"/>
    <w:rsid w:val="00F0156F"/>
    <w:rsid w:val="00F05AC8"/>
    <w:rsid w:val="00F07167"/>
    <w:rsid w:val="00F072D8"/>
    <w:rsid w:val="00F07CE0"/>
    <w:rsid w:val="00F121D3"/>
    <w:rsid w:val="00F13D05"/>
    <w:rsid w:val="00F1679D"/>
    <w:rsid w:val="00F1682C"/>
    <w:rsid w:val="00F20B91"/>
    <w:rsid w:val="00F20EE7"/>
    <w:rsid w:val="00F24B8B"/>
    <w:rsid w:val="00F30D2E"/>
    <w:rsid w:val="00F35516"/>
    <w:rsid w:val="00F35790"/>
    <w:rsid w:val="00F37C8F"/>
    <w:rsid w:val="00F4136D"/>
    <w:rsid w:val="00F41EAB"/>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1E5D"/>
    <w:rsid w:val="00F933F0"/>
    <w:rsid w:val="00F937A3"/>
    <w:rsid w:val="00F94715"/>
    <w:rsid w:val="00F96A3D"/>
    <w:rsid w:val="00FA4718"/>
    <w:rsid w:val="00FA7F3D"/>
    <w:rsid w:val="00FB38D8"/>
    <w:rsid w:val="00FB7DFC"/>
    <w:rsid w:val="00FC051F"/>
    <w:rsid w:val="00FC06FF"/>
    <w:rsid w:val="00FC1F0C"/>
    <w:rsid w:val="00FC69B4"/>
    <w:rsid w:val="00FD0694"/>
    <w:rsid w:val="00FD25BE"/>
    <w:rsid w:val="00FD2E70"/>
    <w:rsid w:val="00FD520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4_e/Docs/R4-2000524.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tp://ftp.3gpp.org/tsg_ran/WG4_Radio/TSGR4_94_e/Docs/R4-2000557.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tp://ftp.3gpp.org/tsg_ran/WG4_Radio/TSGR4_94_e/Docs/R4-2001228.zip"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4_e/Docs/R4-20012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3C4F-5FD5-4B1C-9991-C3DB4CAAC338}">
  <ds:schemaRefs>
    <ds:schemaRef ds:uri="http://schemas.microsoft.com/sharepoint/v3/contenttype/forms"/>
  </ds:schemaRefs>
</ds:datastoreItem>
</file>

<file path=customXml/itemProps2.xml><?xml version="1.0" encoding="utf-8"?>
<ds:datastoreItem xmlns:ds="http://schemas.openxmlformats.org/officeDocument/2006/customXml" ds:itemID="{7D99A8D6-229E-4697-B110-1B6F1476C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74249-B8D0-4431-B0D6-CE699A97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C5419-8A12-4816-827C-82D76C1C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6</Pages>
  <Words>1056</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Bergljung</dc:creator>
  <cp:lastModifiedBy>Ericsson</cp:lastModifiedBy>
  <cp:revision>8</cp:revision>
  <cp:lastPrinted>2019-04-25T01:09:00Z</cp:lastPrinted>
  <dcterms:created xsi:type="dcterms:W3CDTF">2020-03-05T12:52:00Z</dcterms:created>
  <dcterms:modified xsi:type="dcterms:W3CDTF">2020-03-05T13:26:00Z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