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21D50" w14:textId="3A69C030" w:rsidR="004B2BE8" w:rsidRPr="00367A03" w:rsidRDefault="004B2BE8" w:rsidP="004B2BE8">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00367A03" w:rsidRPr="009A507E">
        <w:rPr>
          <w:rFonts w:eastAsia="Times New Roman" w:cs="Arial"/>
          <w:sz w:val="24"/>
          <w:szCs w:val="24"/>
        </w:rPr>
        <w:t>R4-2002122</w:t>
      </w:r>
    </w:p>
    <w:p w14:paraId="4F7B41B4" w14:textId="77777777" w:rsidR="004B2BE8" w:rsidRPr="00ED7DA7" w:rsidRDefault="004B2BE8" w:rsidP="004B2BE8">
      <w:pPr>
        <w:pStyle w:val="Header"/>
        <w:rPr>
          <w:bCs/>
          <w:noProof w:val="0"/>
          <w:lang w:val="en-GB"/>
        </w:rPr>
      </w:pPr>
      <w:r w:rsidRPr="00ED7DA7">
        <w:rPr>
          <w:rFonts w:eastAsia="SimSun"/>
          <w:bCs/>
          <w:sz w:val="24"/>
          <w:szCs w:val="24"/>
          <w:lang w:eastAsia="zh-CN"/>
        </w:rPr>
        <w:t>E-meeting, 24 Feb. – 6 Mar., 2020</w:t>
      </w:r>
    </w:p>
    <w:p w14:paraId="469486B5" w14:textId="77777777" w:rsidR="004B2BE8" w:rsidRPr="008C4D7E" w:rsidRDefault="004B2BE8" w:rsidP="004B2BE8">
      <w:pPr>
        <w:pStyle w:val="Header"/>
        <w:rPr>
          <w:noProof w:val="0"/>
          <w:lang w:val="en-GB"/>
        </w:rPr>
      </w:pPr>
    </w:p>
    <w:p w14:paraId="4B00B24F" w14:textId="77777777" w:rsidR="004B2BE8" w:rsidRDefault="004B2BE8" w:rsidP="004B2BE8">
      <w:pPr>
        <w:pStyle w:val="Footer"/>
        <w:rPr>
          <w:noProof w:val="0"/>
        </w:rPr>
      </w:pPr>
    </w:p>
    <w:p w14:paraId="74C55165" w14:textId="59FCEBC0" w:rsidR="004B2BE8" w:rsidRDefault="004B2BE8" w:rsidP="004B2BE8">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83166">
        <w:rPr>
          <w:rFonts w:ascii="Arial" w:hAnsi="Arial"/>
          <w:sz w:val="24"/>
          <w:lang w:val="en-US"/>
        </w:rPr>
        <w:t>8.11.2.3</w:t>
      </w:r>
    </w:p>
    <w:p w14:paraId="50D08195" w14:textId="77777777" w:rsidR="004B2BE8" w:rsidRDefault="004B2BE8" w:rsidP="004B2BE8">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A080E90" w14:textId="7609A11C" w:rsidR="004B2BE8" w:rsidRPr="00F60377" w:rsidRDefault="004B2BE8" w:rsidP="004B2BE8">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83166">
        <w:rPr>
          <w:rFonts w:ascii="Arial" w:hAnsi="Arial"/>
          <w:sz w:val="24"/>
          <w:lang w:val="en-US"/>
        </w:rPr>
        <w:t>DL/UL beam indication with reduced latency and overhead</w:t>
      </w:r>
    </w:p>
    <w:p w14:paraId="5223978F" w14:textId="77777777" w:rsidR="004B2BE8" w:rsidRDefault="004B2BE8" w:rsidP="004B2BE8">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A7A1C58" w14:textId="77777777" w:rsidR="004B2BE8" w:rsidRDefault="004B2BE8" w:rsidP="004B2BE8">
      <w:pPr>
        <w:pStyle w:val="Heading1"/>
        <w:rPr>
          <w:lang w:val="en-US"/>
        </w:rPr>
      </w:pPr>
      <w:r>
        <w:rPr>
          <w:lang w:val="en-US"/>
        </w:rPr>
        <w:t>Introduction</w:t>
      </w:r>
    </w:p>
    <w:p w14:paraId="799E3C2C" w14:textId="77777777" w:rsidR="004B2BE8" w:rsidRPr="00CC2550" w:rsidRDefault="004B2BE8" w:rsidP="004B2BE8">
      <w:pPr>
        <w:rPr>
          <w:lang w:val="en-US"/>
        </w:rPr>
      </w:pPr>
      <w:r>
        <w:rPr>
          <w:lang w:val="en-US"/>
        </w:rPr>
        <w:t>During the last meeting [1], RAN4 agreed to the following requirement:</w:t>
      </w:r>
    </w:p>
    <w:tbl>
      <w:tblPr>
        <w:tblStyle w:val="TableGrid"/>
        <w:tblW w:w="0" w:type="auto"/>
        <w:tblLook w:val="04A0" w:firstRow="1" w:lastRow="0" w:firstColumn="1" w:lastColumn="0" w:noHBand="0" w:noVBand="1"/>
      </w:tblPr>
      <w:tblGrid>
        <w:gridCol w:w="9350"/>
      </w:tblGrid>
      <w:tr w:rsidR="004B2BE8" w:rsidRPr="00CC1587" w14:paraId="70A4E5A5" w14:textId="77777777" w:rsidTr="00A51B4D">
        <w:tc>
          <w:tcPr>
            <w:tcW w:w="9350" w:type="dxa"/>
          </w:tcPr>
          <w:p w14:paraId="3CFAEDCB" w14:textId="77777777" w:rsidR="004B2BE8" w:rsidRDefault="004B2BE8" w:rsidP="00583166">
            <w:pPr>
              <w:rPr>
                <w:highlight w:val="green"/>
                <w:lang w:val="en-US"/>
              </w:rPr>
            </w:pPr>
            <w:r w:rsidRPr="00227E52">
              <w:rPr>
                <w:highlight w:val="green"/>
                <w:lang w:val="en-US"/>
              </w:rPr>
              <w:t>Agreements</w:t>
            </w:r>
          </w:p>
          <w:p w14:paraId="4CE4DC34" w14:textId="77777777" w:rsidR="00583166" w:rsidRPr="00583166" w:rsidRDefault="00583166" w:rsidP="00583166">
            <w:pPr>
              <w:numPr>
                <w:ilvl w:val="0"/>
                <w:numId w:val="9"/>
              </w:numPr>
              <w:rPr>
                <w:lang w:val="en-US"/>
              </w:rPr>
            </w:pPr>
            <w:r w:rsidRPr="00583166">
              <w:rPr>
                <w:b/>
                <w:bCs/>
                <w:u w:val="single"/>
                <w:lang w:val="en-US"/>
              </w:rPr>
              <w:t>Simultaneous TCI States Activation/Selection across Multiple CCs/BWPs:</w:t>
            </w:r>
          </w:p>
          <w:p w14:paraId="02E08CEA" w14:textId="77777777" w:rsidR="00583166" w:rsidRPr="00583166" w:rsidRDefault="00583166" w:rsidP="00583166">
            <w:pPr>
              <w:numPr>
                <w:ilvl w:val="1"/>
                <w:numId w:val="9"/>
              </w:numPr>
              <w:rPr>
                <w:lang w:val="en-US"/>
              </w:rPr>
            </w:pPr>
            <w:r w:rsidRPr="00583166">
              <w:rPr>
                <w:lang w:val="en-US"/>
              </w:rPr>
              <w:t xml:space="preserve">No RAN4 impact on Rel-15 active TCI state switching delay requirement has been identified due to </w:t>
            </w:r>
            <w:bookmarkStart w:id="0" w:name="_GoBack"/>
            <w:bookmarkEnd w:id="0"/>
            <w:r w:rsidRPr="00583166">
              <w:rPr>
                <w:lang w:val="en-US"/>
              </w:rPr>
              <w:t>newly introduced simultaneous TCI states activation /selection across multiple CCs/BWPs.</w:t>
            </w:r>
          </w:p>
          <w:p w14:paraId="7B8A8E33" w14:textId="77777777" w:rsidR="00583166" w:rsidRPr="00583166" w:rsidRDefault="00583166" w:rsidP="00583166">
            <w:pPr>
              <w:numPr>
                <w:ilvl w:val="1"/>
                <w:numId w:val="9"/>
              </w:numPr>
              <w:rPr>
                <w:lang w:val="en-US"/>
              </w:rPr>
            </w:pPr>
            <w:r w:rsidRPr="00583166">
              <w:rPr>
                <w:lang w:val="en-US"/>
              </w:rPr>
              <w:t xml:space="preserve">FFS new Rel-16 requirement on simultaneous TCI states activation/selection across multiple CCs/BWPs. </w:t>
            </w:r>
          </w:p>
          <w:p w14:paraId="0D7E2648" w14:textId="77777777" w:rsidR="00583166" w:rsidRPr="00583166" w:rsidRDefault="00583166" w:rsidP="00583166">
            <w:pPr>
              <w:numPr>
                <w:ilvl w:val="0"/>
                <w:numId w:val="9"/>
              </w:numPr>
              <w:rPr>
                <w:lang w:val="en-US"/>
              </w:rPr>
            </w:pPr>
            <w:r w:rsidRPr="00583166">
              <w:rPr>
                <w:b/>
                <w:bCs/>
                <w:u w:val="single"/>
                <w:lang w:val="en-US"/>
              </w:rPr>
              <w:t>MAC-CE based spatial relation update for aperiodic SRS:</w:t>
            </w:r>
          </w:p>
          <w:p w14:paraId="15AB889E" w14:textId="27C86A40" w:rsidR="00583166" w:rsidRPr="00583166" w:rsidRDefault="00583166" w:rsidP="00583166">
            <w:pPr>
              <w:numPr>
                <w:ilvl w:val="1"/>
                <w:numId w:val="9"/>
              </w:numPr>
              <w:rPr>
                <w:highlight w:val="green"/>
                <w:lang w:val="en-US"/>
              </w:rPr>
            </w:pPr>
            <w:r w:rsidRPr="00583166">
              <w:rPr>
                <w:lang w:val="en-US"/>
              </w:rPr>
              <w:t>FFS RAN4 RRM requirement impact is identified from the mechanism of spatial relation updates for AP-SRS via MAC-CE</w:t>
            </w:r>
          </w:p>
        </w:tc>
      </w:tr>
    </w:tbl>
    <w:p w14:paraId="010AD964" w14:textId="77777777" w:rsidR="004B2BE8" w:rsidRDefault="004B2BE8" w:rsidP="004B2BE8"/>
    <w:p w14:paraId="3D7E5A8D" w14:textId="0ADD0C3C" w:rsidR="004B2BE8" w:rsidRDefault="004B2BE8" w:rsidP="00583166">
      <w:r>
        <w:t>In this contribution, we discuss the</w:t>
      </w:r>
      <w:r w:rsidR="00583166">
        <w:t xml:space="preserve"> above two unresolved topics.</w:t>
      </w:r>
    </w:p>
    <w:p w14:paraId="3364A50C" w14:textId="77777777" w:rsidR="004B2BE8" w:rsidRPr="00582347" w:rsidRDefault="004B2BE8" w:rsidP="004B2BE8">
      <w:pPr>
        <w:rPr>
          <w:lang w:val="en-US"/>
        </w:rPr>
      </w:pPr>
    </w:p>
    <w:p w14:paraId="371C7E53" w14:textId="1FDD4A5C" w:rsidR="004B2BE8" w:rsidRDefault="00583166" w:rsidP="004B2BE8">
      <w:pPr>
        <w:pStyle w:val="Heading1"/>
      </w:pPr>
      <w:r>
        <w:t>Simultaneous TCI states activation/selection across multiple CCs/BWPs</w:t>
      </w:r>
    </w:p>
    <w:p w14:paraId="5A96BEC5" w14:textId="5BA13A7B" w:rsidR="00583166" w:rsidRPr="00583166" w:rsidRDefault="004B2BE8" w:rsidP="00583166">
      <w:r w:rsidRPr="00EA6D56">
        <w:t xml:space="preserve">RAN1 made several agreements regarding </w:t>
      </w:r>
      <w:r w:rsidR="00583166">
        <w:t>simultaneous TCI states activation/selection across multiple CCs/BWPs.</w:t>
      </w:r>
    </w:p>
    <w:tbl>
      <w:tblPr>
        <w:tblStyle w:val="TableGrid"/>
        <w:tblW w:w="0" w:type="auto"/>
        <w:tblLook w:val="04A0" w:firstRow="1" w:lastRow="0" w:firstColumn="1" w:lastColumn="0" w:noHBand="0" w:noVBand="1"/>
      </w:tblPr>
      <w:tblGrid>
        <w:gridCol w:w="9350"/>
      </w:tblGrid>
      <w:tr w:rsidR="00583166" w:rsidRPr="00CC1587" w14:paraId="7795E54A" w14:textId="77777777" w:rsidTr="00A51B4D">
        <w:tc>
          <w:tcPr>
            <w:tcW w:w="9350" w:type="dxa"/>
          </w:tcPr>
          <w:p w14:paraId="5E4325AF" w14:textId="77777777" w:rsidR="00583166" w:rsidRDefault="00583166" w:rsidP="00583166">
            <w:pPr>
              <w:pStyle w:val="LGTdoc"/>
              <w:spacing w:after="120" w:line="240" w:lineRule="auto"/>
              <w:rPr>
                <w:b/>
                <w:bCs/>
                <w:sz w:val="20"/>
                <w:szCs w:val="20"/>
                <w:highlight w:val="green"/>
              </w:rPr>
            </w:pPr>
            <w:r>
              <w:rPr>
                <w:b/>
                <w:bCs/>
                <w:sz w:val="20"/>
                <w:szCs w:val="20"/>
                <w:highlight w:val="green"/>
              </w:rPr>
              <w:t>Agreement made in RAN1#98</w:t>
            </w:r>
          </w:p>
          <w:p w14:paraId="510983F7" w14:textId="77777777" w:rsidR="00583166" w:rsidRDefault="00583166" w:rsidP="00583166">
            <w:pPr>
              <w:pStyle w:val="LGTdoc"/>
              <w:spacing w:after="120" w:line="240" w:lineRule="auto"/>
              <w:rPr>
                <w:kern w:val="0"/>
                <w:sz w:val="20"/>
                <w:szCs w:val="20"/>
              </w:rPr>
            </w:pPr>
            <w:r>
              <w:rPr>
                <w:sz w:val="20"/>
                <w:szCs w:val="20"/>
              </w:rPr>
              <w:t>For latency/overhead reduction across multiple CCs/BWPs, support single MAC-CE to activate at least the same set of PDSCH TCI state IDs for multiple CCs/BWPs</w:t>
            </w:r>
          </w:p>
          <w:p w14:paraId="751868F4" w14:textId="77777777" w:rsidR="00583166" w:rsidRDefault="00583166" w:rsidP="00583166">
            <w:pPr>
              <w:pStyle w:val="LGTdoc"/>
              <w:widowControl/>
              <w:numPr>
                <w:ilvl w:val="0"/>
                <w:numId w:val="10"/>
              </w:numPr>
              <w:overflowPunct/>
              <w:adjustRightInd/>
              <w:spacing w:afterLines="0" w:line="240" w:lineRule="auto"/>
              <w:rPr>
                <w:sz w:val="20"/>
                <w:szCs w:val="20"/>
              </w:rPr>
            </w:pPr>
            <w:r>
              <w:rPr>
                <w:sz w:val="20"/>
                <w:szCs w:val="20"/>
              </w:rPr>
              <w:t>Example 1: Reuse Rel-15 MAC-CE to activate same set of TCI state IDs for all active BWPs in same band or cell group(s) on FR2</w:t>
            </w:r>
          </w:p>
          <w:p w14:paraId="447F4AC2" w14:textId="77777777" w:rsidR="00583166" w:rsidRDefault="00583166" w:rsidP="00583166">
            <w:pPr>
              <w:pStyle w:val="LGTdoc"/>
              <w:widowControl/>
              <w:numPr>
                <w:ilvl w:val="1"/>
                <w:numId w:val="10"/>
              </w:numPr>
              <w:overflowPunct/>
              <w:adjustRightInd/>
              <w:spacing w:afterLines="0" w:line="240" w:lineRule="auto"/>
              <w:rPr>
                <w:sz w:val="20"/>
                <w:szCs w:val="20"/>
                <w:lang w:eastAsia="zh-CN"/>
              </w:rPr>
            </w:pPr>
            <w:r>
              <w:rPr>
                <w:sz w:val="20"/>
                <w:szCs w:val="20"/>
                <w:lang w:eastAsia="zh-CN"/>
              </w:rPr>
              <w:t>Support of this mode can be indicated by UE capability</w:t>
            </w:r>
          </w:p>
          <w:p w14:paraId="6263C087" w14:textId="77777777" w:rsidR="00583166" w:rsidRDefault="00583166" w:rsidP="00583166">
            <w:pPr>
              <w:pStyle w:val="LGTdoc"/>
              <w:widowControl/>
              <w:numPr>
                <w:ilvl w:val="1"/>
                <w:numId w:val="10"/>
              </w:numPr>
              <w:overflowPunct/>
              <w:adjustRightInd/>
              <w:spacing w:afterLines="0" w:line="240" w:lineRule="auto"/>
              <w:rPr>
                <w:sz w:val="20"/>
                <w:szCs w:val="20"/>
                <w:lang w:eastAsia="zh-CN"/>
              </w:rPr>
            </w:pPr>
            <w:r>
              <w:rPr>
                <w:sz w:val="20"/>
                <w:szCs w:val="20"/>
                <w:lang w:eastAsia="zh-CN"/>
              </w:rPr>
              <w:t>To operate in this mode, UE may expect the same QCL-</w:t>
            </w:r>
            <w:proofErr w:type="spellStart"/>
            <w:r>
              <w:rPr>
                <w:sz w:val="20"/>
                <w:szCs w:val="20"/>
                <w:lang w:eastAsia="zh-CN"/>
              </w:rPr>
              <w:t>TypeD</w:t>
            </w:r>
            <w:proofErr w:type="spellEnd"/>
            <w:r>
              <w:rPr>
                <w:sz w:val="20"/>
                <w:szCs w:val="20"/>
                <w:lang w:eastAsia="zh-CN"/>
              </w:rPr>
              <w:t xml:space="preserve"> RS is configured for same TCI state ID for all BWPs in each band or cell group(s)</w:t>
            </w:r>
          </w:p>
          <w:p w14:paraId="27DDE2E5" w14:textId="77777777" w:rsidR="00583166" w:rsidRDefault="00583166" w:rsidP="00583166">
            <w:pPr>
              <w:pStyle w:val="LGTdoc"/>
              <w:widowControl/>
              <w:numPr>
                <w:ilvl w:val="1"/>
                <w:numId w:val="10"/>
              </w:numPr>
              <w:overflowPunct/>
              <w:adjustRightInd/>
              <w:spacing w:afterLines="0" w:line="240" w:lineRule="auto"/>
              <w:rPr>
                <w:sz w:val="20"/>
                <w:szCs w:val="20"/>
                <w:lang w:eastAsia="zh-CN"/>
              </w:rPr>
            </w:pPr>
            <w:r>
              <w:rPr>
                <w:sz w:val="20"/>
                <w:szCs w:val="20"/>
                <w:lang w:eastAsia="zh-CN"/>
              </w:rPr>
              <w:t>For activation MAC-CE received on any active BWP in a band or cell group</w:t>
            </w:r>
            <w:r>
              <w:rPr>
                <w:sz w:val="20"/>
                <w:szCs w:val="20"/>
              </w:rPr>
              <w:t>(s)</w:t>
            </w:r>
            <w:r>
              <w:rPr>
                <w:sz w:val="20"/>
                <w:szCs w:val="20"/>
                <w:lang w:eastAsia="zh-CN"/>
              </w:rPr>
              <w:t>, indicated activated TCI state IDs will be applied to every active BWP in that band or cell group</w:t>
            </w:r>
            <w:r>
              <w:rPr>
                <w:sz w:val="20"/>
                <w:szCs w:val="20"/>
              </w:rPr>
              <w:t>(s)</w:t>
            </w:r>
          </w:p>
          <w:p w14:paraId="06563B98" w14:textId="77777777" w:rsidR="00583166" w:rsidRDefault="00583166" w:rsidP="00583166">
            <w:pPr>
              <w:pStyle w:val="LGTdoc"/>
              <w:widowControl/>
              <w:numPr>
                <w:ilvl w:val="0"/>
                <w:numId w:val="10"/>
              </w:numPr>
              <w:overflowPunct/>
              <w:adjustRightInd/>
              <w:spacing w:afterLines="0" w:line="240" w:lineRule="auto"/>
              <w:rPr>
                <w:sz w:val="20"/>
                <w:szCs w:val="20"/>
              </w:rPr>
            </w:pPr>
            <w:r>
              <w:rPr>
                <w:sz w:val="20"/>
                <w:szCs w:val="20"/>
              </w:rPr>
              <w:lastRenderedPageBreak/>
              <w:t>Example 2: Reuse Rel-15 MAC-CE to activate one set of TCI state IDs (including both QCL Type-A and Type-D RSs) for an active BWP of the CC indicated by the MAC-CE to be applied to all active BWPs in same band</w:t>
            </w:r>
            <w:r>
              <w:rPr>
                <w:sz w:val="20"/>
                <w:szCs w:val="20"/>
                <w:lang w:eastAsia="zh-CN"/>
              </w:rPr>
              <w:t xml:space="preserve"> or cell group(s)</w:t>
            </w:r>
            <w:r>
              <w:rPr>
                <w:sz w:val="20"/>
                <w:szCs w:val="20"/>
              </w:rPr>
              <w:t xml:space="preserve"> on FR2</w:t>
            </w:r>
          </w:p>
          <w:p w14:paraId="3538E5E0" w14:textId="77777777" w:rsidR="00583166" w:rsidRDefault="00583166" w:rsidP="00583166">
            <w:pPr>
              <w:pStyle w:val="LGTdoc"/>
              <w:widowControl/>
              <w:numPr>
                <w:ilvl w:val="1"/>
                <w:numId w:val="10"/>
              </w:numPr>
              <w:overflowPunct/>
              <w:adjustRightInd/>
              <w:spacing w:afterLines="0" w:line="240" w:lineRule="auto"/>
              <w:rPr>
                <w:sz w:val="20"/>
                <w:szCs w:val="20"/>
              </w:rPr>
            </w:pPr>
            <w:r>
              <w:rPr>
                <w:sz w:val="20"/>
                <w:szCs w:val="20"/>
              </w:rPr>
              <w:t xml:space="preserve">Note: The QCL Type A RS(s) applied to each CC/BWP is that corresponding to the same resource ID(s) indicated by the TCI state IDs </w:t>
            </w:r>
          </w:p>
          <w:p w14:paraId="62D789EE" w14:textId="77777777" w:rsidR="00583166" w:rsidRDefault="00583166" w:rsidP="00583166">
            <w:pPr>
              <w:pStyle w:val="LGTdoc"/>
              <w:widowControl/>
              <w:numPr>
                <w:ilvl w:val="0"/>
                <w:numId w:val="10"/>
              </w:numPr>
              <w:overflowPunct/>
              <w:adjustRightInd/>
              <w:spacing w:afterLines="0" w:line="240" w:lineRule="auto"/>
              <w:rPr>
                <w:sz w:val="20"/>
                <w:szCs w:val="20"/>
                <w:lang w:eastAsia="zh-CN"/>
              </w:rPr>
            </w:pPr>
            <w:r>
              <w:rPr>
                <w:sz w:val="20"/>
                <w:szCs w:val="20"/>
              </w:rPr>
              <w:t>FFS: operation/</w:t>
            </w:r>
            <w:proofErr w:type="spellStart"/>
            <w:r>
              <w:rPr>
                <w:sz w:val="20"/>
                <w:szCs w:val="20"/>
              </w:rPr>
              <w:t>signaling</w:t>
            </w:r>
            <w:proofErr w:type="spellEnd"/>
            <w:r>
              <w:rPr>
                <w:sz w:val="20"/>
                <w:szCs w:val="20"/>
              </w:rPr>
              <w:t xml:space="preserve"> details including the possibility to activate different sets of PDSCH TCI state IDs for multiple CCs/BWPs</w:t>
            </w:r>
          </w:p>
          <w:p w14:paraId="01D35B36" w14:textId="77777777" w:rsidR="00583166" w:rsidRDefault="00583166" w:rsidP="00583166">
            <w:pPr>
              <w:pStyle w:val="LGTdoc"/>
              <w:widowControl/>
              <w:numPr>
                <w:ilvl w:val="0"/>
                <w:numId w:val="10"/>
              </w:numPr>
              <w:overflowPunct/>
              <w:adjustRightInd/>
              <w:spacing w:afterLines="0" w:line="240" w:lineRule="auto"/>
              <w:rPr>
                <w:sz w:val="20"/>
                <w:szCs w:val="20"/>
                <w:lang w:eastAsia="zh-CN"/>
              </w:rPr>
            </w:pPr>
            <w:r>
              <w:rPr>
                <w:sz w:val="20"/>
                <w:szCs w:val="20"/>
              </w:rPr>
              <w:t>Note: QCL type-A comes from the BWP where the TCI state is applied</w:t>
            </w:r>
          </w:p>
          <w:p w14:paraId="245EE1BD" w14:textId="77777777" w:rsidR="00583166" w:rsidRDefault="00583166" w:rsidP="00583166">
            <w:pPr>
              <w:rPr>
                <w:b/>
                <w:bCs/>
                <w:highlight w:val="green"/>
                <w:lang w:eastAsia="x-none"/>
              </w:rPr>
            </w:pPr>
          </w:p>
          <w:p w14:paraId="6706CF33" w14:textId="77777777" w:rsidR="00583166" w:rsidRPr="007A2088" w:rsidRDefault="00583166" w:rsidP="00583166">
            <w:pPr>
              <w:spacing w:after="0"/>
              <w:rPr>
                <w:b/>
                <w:bCs/>
                <w:lang w:eastAsia="x-none"/>
              </w:rPr>
            </w:pPr>
            <w:r w:rsidRPr="007A2088">
              <w:rPr>
                <w:b/>
                <w:bCs/>
                <w:highlight w:val="green"/>
                <w:lang w:eastAsia="x-none"/>
              </w:rPr>
              <w:t>Agreement</w:t>
            </w:r>
            <w:r w:rsidRPr="001A5934">
              <w:rPr>
                <w:b/>
                <w:bCs/>
                <w:highlight w:val="green"/>
                <w:lang w:eastAsia="x-none"/>
              </w:rPr>
              <w:t xml:space="preserve"> made in RAN1#98Bis</w:t>
            </w:r>
          </w:p>
          <w:p w14:paraId="0B47C992" w14:textId="77777777" w:rsidR="00583166" w:rsidRPr="007A2088" w:rsidRDefault="00583166" w:rsidP="00583166">
            <w:pPr>
              <w:pStyle w:val="LGTdoc"/>
              <w:spacing w:afterLines="0" w:line="240" w:lineRule="auto"/>
              <w:contextualSpacing/>
              <w:rPr>
                <w:bCs/>
                <w:sz w:val="20"/>
                <w:szCs w:val="20"/>
                <w:lang w:val="en-US"/>
              </w:rPr>
            </w:pPr>
            <w:r w:rsidRPr="007A2088">
              <w:rPr>
                <w:bCs/>
                <w:sz w:val="20"/>
                <w:szCs w:val="20"/>
                <w:lang w:val="en-US"/>
              </w:rPr>
              <w:t xml:space="preserve">When a set of TCI-state IDs for PDSCH are activated by a MAC CE for a set of CCs/BWPs at least for the same band, where the applicable list of CCs is indicated by RRC </w:t>
            </w:r>
            <w:proofErr w:type="spellStart"/>
            <w:r w:rsidRPr="007A2088">
              <w:rPr>
                <w:bCs/>
                <w:sz w:val="20"/>
                <w:szCs w:val="20"/>
                <w:lang w:val="en-US"/>
              </w:rPr>
              <w:t>signalling</w:t>
            </w:r>
            <w:proofErr w:type="spellEnd"/>
            <w:r w:rsidRPr="007A2088">
              <w:rPr>
                <w:bCs/>
                <w:sz w:val="20"/>
                <w:szCs w:val="20"/>
                <w:lang w:val="en-US"/>
              </w:rPr>
              <w:t>, the same set of TCI-state IDs are applied for the all BWPs in the indicated CCs.</w:t>
            </w:r>
          </w:p>
          <w:p w14:paraId="5C0CAB0C" w14:textId="77777777" w:rsidR="00583166" w:rsidRPr="007A2088" w:rsidRDefault="00583166" w:rsidP="00583166">
            <w:pPr>
              <w:pStyle w:val="LGTdoc"/>
              <w:numPr>
                <w:ilvl w:val="0"/>
                <w:numId w:val="10"/>
              </w:numPr>
              <w:overflowPunct/>
              <w:spacing w:afterLines="0" w:line="240" w:lineRule="auto"/>
              <w:contextualSpacing/>
              <w:rPr>
                <w:bCs/>
                <w:sz w:val="20"/>
                <w:szCs w:val="20"/>
                <w:lang w:val="en-US"/>
              </w:rPr>
            </w:pPr>
            <w:r w:rsidRPr="007A2088">
              <w:rPr>
                <w:rFonts w:hint="eastAsia"/>
                <w:bCs/>
                <w:sz w:val="20"/>
                <w:szCs w:val="20"/>
                <w:lang w:val="en-US"/>
              </w:rPr>
              <w:t>Further signaling details are up to RAN2.</w:t>
            </w:r>
          </w:p>
          <w:p w14:paraId="6D0AD05C" w14:textId="77777777" w:rsidR="00583166" w:rsidRPr="007A2088" w:rsidRDefault="00583166" w:rsidP="00583166">
            <w:pPr>
              <w:pStyle w:val="LGTdoc"/>
              <w:numPr>
                <w:ilvl w:val="0"/>
                <w:numId w:val="10"/>
              </w:numPr>
              <w:overflowPunct/>
              <w:spacing w:afterLines="0" w:line="240" w:lineRule="auto"/>
              <w:contextualSpacing/>
              <w:rPr>
                <w:bCs/>
                <w:sz w:val="20"/>
                <w:szCs w:val="20"/>
                <w:lang w:val="en-US"/>
              </w:rPr>
            </w:pPr>
            <w:r w:rsidRPr="007A2088">
              <w:rPr>
                <w:bCs/>
                <w:sz w:val="20"/>
                <w:szCs w:val="20"/>
                <w:lang w:val="en-US"/>
              </w:rPr>
              <w:t>Whether to s</w:t>
            </w:r>
            <w:r w:rsidRPr="007A2088">
              <w:rPr>
                <w:rFonts w:hint="eastAsia"/>
                <w:bCs/>
                <w:sz w:val="20"/>
                <w:szCs w:val="20"/>
                <w:lang w:val="en-US"/>
              </w:rPr>
              <w:t xml:space="preserve">upport </w:t>
            </w:r>
            <w:r w:rsidRPr="007A2088">
              <w:rPr>
                <w:bCs/>
                <w:sz w:val="20"/>
                <w:szCs w:val="20"/>
                <w:lang w:val="en-US"/>
              </w:rPr>
              <w:t>the inter-band CA for this feature will be decided in RAN1#99.</w:t>
            </w:r>
          </w:p>
          <w:p w14:paraId="52E853EE" w14:textId="77777777" w:rsidR="00583166" w:rsidRPr="007A2088" w:rsidRDefault="00583166" w:rsidP="00583166">
            <w:pPr>
              <w:pStyle w:val="LGTdoc"/>
              <w:numPr>
                <w:ilvl w:val="0"/>
                <w:numId w:val="10"/>
              </w:numPr>
              <w:overflowPunct/>
              <w:spacing w:afterLines="0" w:line="240" w:lineRule="auto"/>
              <w:contextualSpacing/>
              <w:rPr>
                <w:bCs/>
                <w:sz w:val="20"/>
                <w:szCs w:val="20"/>
                <w:lang w:val="en-US"/>
              </w:rPr>
            </w:pPr>
            <w:r w:rsidRPr="007A2088">
              <w:rPr>
                <w:bCs/>
                <w:sz w:val="20"/>
                <w:szCs w:val="20"/>
                <w:lang w:val="en-US"/>
              </w:rPr>
              <w:t>Whether to indicate the applicable list of bands for the feature of single MAC-CE to activate the same set of PDSCH TCI state IDs for multiple CCs/BWPs is up to capability discussion.</w:t>
            </w:r>
          </w:p>
          <w:p w14:paraId="35E8AAB4" w14:textId="77777777" w:rsidR="00583166" w:rsidRPr="007A2088" w:rsidRDefault="00583166" w:rsidP="00583166">
            <w:pPr>
              <w:pStyle w:val="LGTdoc"/>
              <w:numPr>
                <w:ilvl w:val="1"/>
                <w:numId w:val="10"/>
              </w:numPr>
              <w:overflowPunct/>
              <w:spacing w:afterLines="0" w:line="240" w:lineRule="auto"/>
              <w:contextualSpacing/>
              <w:rPr>
                <w:bCs/>
                <w:sz w:val="20"/>
                <w:szCs w:val="20"/>
                <w:lang w:val="en-US"/>
              </w:rPr>
            </w:pPr>
            <w:r w:rsidRPr="007A2088">
              <w:rPr>
                <w:bCs/>
                <w:sz w:val="20"/>
                <w:szCs w:val="20"/>
                <w:lang w:val="en-US"/>
              </w:rPr>
              <w:t>FFS on the UE capability signaling details</w:t>
            </w:r>
          </w:p>
          <w:p w14:paraId="39E97BAE" w14:textId="77777777" w:rsidR="00583166" w:rsidRPr="007A2088" w:rsidRDefault="00583166" w:rsidP="00583166">
            <w:pPr>
              <w:pStyle w:val="LGTdoc"/>
              <w:numPr>
                <w:ilvl w:val="0"/>
                <w:numId w:val="10"/>
              </w:numPr>
              <w:overflowPunct/>
              <w:spacing w:afterLines="0" w:line="240" w:lineRule="auto"/>
              <w:contextualSpacing/>
              <w:rPr>
                <w:bCs/>
                <w:sz w:val="20"/>
                <w:szCs w:val="20"/>
                <w:lang w:val="en-US"/>
              </w:rPr>
            </w:pPr>
            <w:r w:rsidRPr="007A2088">
              <w:rPr>
                <w:bCs/>
                <w:sz w:val="20"/>
                <w:szCs w:val="20"/>
                <w:lang w:val="en-US"/>
              </w:rPr>
              <w:t>Note: This at least applies to single TRP case.</w:t>
            </w:r>
          </w:p>
          <w:p w14:paraId="5B2D6559" w14:textId="3FC1B9C8" w:rsidR="00583166" w:rsidRPr="001435E5" w:rsidRDefault="00583166" w:rsidP="00583166">
            <w:pPr>
              <w:pStyle w:val="LGTdoc"/>
              <w:numPr>
                <w:ilvl w:val="0"/>
                <w:numId w:val="10"/>
              </w:numPr>
              <w:overflowPunct/>
              <w:spacing w:afterLines="0" w:line="240" w:lineRule="auto"/>
              <w:contextualSpacing/>
              <w:rPr>
                <w:bCs/>
                <w:sz w:val="20"/>
                <w:szCs w:val="20"/>
                <w:lang w:val="en-US"/>
              </w:rPr>
            </w:pPr>
            <w:r w:rsidRPr="007A2088">
              <w:rPr>
                <w:bCs/>
                <w:sz w:val="20"/>
                <w:szCs w:val="20"/>
                <w:lang w:val="en-US"/>
              </w:rPr>
              <w:t xml:space="preserve">FFS: How </w:t>
            </w:r>
            <w:r>
              <w:rPr>
                <w:bCs/>
                <w:sz w:val="20"/>
                <w:szCs w:val="20"/>
                <w:lang w:val="en-US"/>
              </w:rPr>
              <w:t xml:space="preserve">many </w:t>
            </w:r>
            <w:r w:rsidRPr="007A2088">
              <w:rPr>
                <w:bCs/>
                <w:sz w:val="20"/>
                <w:szCs w:val="20"/>
                <w:lang w:val="en-US"/>
              </w:rPr>
              <w:t>combination</w:t>
            </w:r>
            <w:r>
              <w:rPr>
                <w:bCs/>
                <w:sz w:val="20"/>
                <w:szCs w:val="20"/>
                <w:lang w:val="en-US"/>
              </w:rPr>
              <w:t>s</w:t>
            </w:r>
            <w:r w:rsidRPr="007A2088">
              <w:rPr>
                <w:bCs/>
                <w:sz w:val="20"/>
                <w:szCs w:val="20"/>
                <w:lang w:val="en-US"/>
              </w:rPr>
              <w:t xml:space="preserve"> of CCs can be configured by RRC and relevant UE capability</w:t>
            </w:r>
          </w:p>
        </w:tc>
      </w:tr>
    </w:tbl>
    <w:p w14:paraId="359CC74E" w14:textId="77777777" w:rsidR="00583166" w:rsidRDefault="00583166" w:rsidP="004B2BE8"/>
    <w:p w14:paraId="7BED0446" w14:textId="3BE73AD0" w:rsidR="004B2BE8" w:rsidRDefault="00F64EB0" w:rsidP="004B2BE8">
      <w:r>
        <w:t xml:space="preserve">Activating TCI states of multiple </w:t>
      </w:r>
      <w:r w:rsidR="008B1B3A">
        <w:t xml:space="preserve">CCs/BWPs </w:t>
      </w:r>
      <w:r w:rsidR="00D4292F">
        <w:t xml:space="preserve">through a single MAC-CE command reduces </w:t>
      </w:r>
      <w:r w:rsidR="00BB1E49">
        <w:t>overhead and latency. This is an important feature. RAN4 should define requirements fo</w:t>
      </w:r>
      <w:r w:rsidR="00E21748">
        <w:t>r this.</w:t>
      </w:r>
    </w:p>
    <w:p w14:paraId="30C8032C" w14:textId="51176FDA" w:rsidR="00E21748" w:rsidRPr="00862E28" w:rsidRDefault="00E21748" w:rsidP="004B2BE8">
      <w:pPr>
        <w:rPr>
          <w:b/>
          <w:bCs/>
        </w:rPr>
      </w:pPr>
      <w:r w:rsidRPr="00862E28">
        <w:rPr>
          <w:b/>
          <w:bCs/>
        </w:rPr>
        <w:t xml:space="preserve">Proposal 1: RAN4 defines requirements for </w:t>
      </w:r>
      <w:r w:rsidR="00862E28" w:rsidRPr="00862E28">
        <w:rPr>
          <w:b/>
          <w:bCs/>
        </w:rPr>
        <w:t xml:space="preserve">activating TCI states </w:t>
      </w:r>
      <w:r w:rsidR="005C5D4B">
        <w:rPr>
          <w:b/>
          <w:bCs/>
        </w:rPr>
        <w:t xml:space="preserve">simultaneously </w:t>
      </w:r>
      <w:r w:rsidR="00862E28" w:rsidRPr="00862E28">
        <w:rPr>
          <w:b/>
          <w:bCs/>
        </w:rPr>
        <w:t>across multiple CCs/BWPs with a single MAC-CE command.</w:t>
      </w:r>
    </w:p>
    <w:p w14:paraId="558CDB49" w14:textId="6791FD16" w:rsidR="00C81CBE" w:rsidRDefault="00C81CBE">
      <w:pPr>
        <w:pStyle w:val="Heading1"/>
      </w:pPr>
      <w:r>
        <w:t>MAC-CE based Spatial Relationship Update for AP-SRS</w:t>
      </w:r>
    </w:p>
    <w:p w14:paraId="66A71CC4" w14:textId="602C4491" w:rsidR="00C81CBE" w:rsidRDefault="000733AB" w:rsidP="00C81CBE">
      <w:r>
        <w:t xml:space="preserve">This topic is also getting discussed in NR RRM core </w:t>
      </w:r>
      <w:r w:rsidR="004C68A6">
        <w:t xml:space="preserve">requirement enhancement section (agenda item 8.15.1 for this meeting). </w:t>
      </w:r>
      <w:r w:rsidR="00440D91">
        <w:t xml:space="preserve">RRM </w:t>
      </w:r>
      <w:proofErr w:type="spellStart"/>
      <w:r w:rsidR="00440D91">
        <w:t>eMIMO</w:t>
      </w:r>
      <w:proofErr w:type="spellEnd"/>
      <w:r w:rsidR="00440D91">
        <w:t xml:space="preserve"> session should wait </w:t>
      </w:r>
      <w:r w:rsidR="00712083">
        <w:t>until the RRM core requirement enhancement section spen</w:t>
      </w:r>
      <w:r w:rsidR="00B57AF4">
        <w:t>ds further time on this topic.</w:t>
      </w:r>
    </w:p>
    <w:p w14:paraId="1D4F45D2" w14:textId="525E1650" w:rsidR="00B57AF4" w:rsidRPr="00733F0D" w:rsidRDefault="00B57AF4" w:rsidP="00C81CBE">
      <w:pPr>
        <w:rPr>
          <w:b/>
          <w:bCs/>
        </w:rPr>
      </w:pPr>
      <w:r w:rsidRPr="00733F0D">
        <w:rPr>
          <w:b/>
          <w:bCs/>
        </w:rPr>
        <w:t>Proposal 2:  The decision whether to define MAC-CE based spatial relationship update for AP-SRS or not should be taken in ‘RRM core requirement enhancement’ section (A</w:t>
      </w:r>
      <w:r w:rsidR="001F07C8">
        <w:rPr>
          <w:b/>
          <w:bCs/>
        </w:rPr>
        <w:t xml:space="preserve">genda </w:t>
      </w:r>
      <w:r w:rsidRPr="00733F0D">
        <w:rPr>
          <w:b/>
          <w:bCs/>
        </w:rPr>
        <w:t>I</w:t>
      </w:r>
      <w:r w:rsidR="001F07C8">
        <w:rPr>
          <w:b/>
          <w:bCs/>
        </w:rPr>
        <w:t>tem</w:t>
      </w:r>
      <w:r w:rsidRPr="00733F0D">
        <w:rPr>
          <w:b/>
          <w:bCs/>
        </w:rPr>
        <w:t>: 8.15.1).</w:t>
      </w:r>
    </w:p>
    <w:p w14:paraId="5EB19BBF" w14:textId="64BC78B0" w:rsidR="004C68A6" w:rsidRPr="00C81CBE" w:rsidRDefault="00B57AF4" w:rsidP="00C81CBE">
      <w:r>
        <w:t xml:space="preserve">We have already submitted a contribution regarding this topic to AI </w:t>
      </w:r>
      <w:r w:rsidR="00644908">
        <w:t>8.15.1. Still, we mentio</w:t>
      </w:r>
      <w:r w:rsidR="00243BA1">
        <w:t>n the relevant proposals in this contribution.</w:t>
      </w:r>
    </w:p>
    <w:p w14:paraId="7EDA8E71" w14:textId="79960E5E" w:rsidR="00243BA1" w:rsidRDefault="00243BA1" w:rsidP="00243BA1">
      <w:pPr>
        <w:pStyle w:val="Heading2"/>
        <w:numPr>
          <w:ilvl w:val="0"/>
          <w:numId w:val="0"/>
        </w:numPr>
      </w:pPr>
      <w:r>
        <w:t>3.1. Details of MAC-CE based Spatial Relationship Update for AP-SRS</w:t>
      </w:r>
    </w:p>
    <w:p w14:paraId="6E98C386" w14:textId="45833155" w:rsidR="002309AB" w:rsidRPr="00733F0D" w:rsidRDefault="002309AB" w:rsidP="002309AB">
      <w:pPr>
        <w:rPr>
          <w:b/>
          <w:bCs/>
        </w:rPr>
      </w:pPr>
      <w:r w:rsidRPr="00733F0D">
        <w:rPr>
          <w:b/>
          <w:bCs/>
        </w:rPr>
        <w:t xml:space="preserve">Proposal 3: RAN4 to define requirements </w:t>
      </w:r>
      <w:r w:rsidR="0069187F" w:rsidRPr="00733F0D">
        <w:rPr>
          <w:b/>
          <w:bCs/>
        </w:rPr>
        <w:t xml:space="preserve">of MAC-CE based </w:t>
      </w:r>
      <w:r w:rsidRPr="00733F0D">
        <w:rPr>
          <w:b/>
          <w:bCs/>
        </w:rPr>
        <w:t xml:space="preserve">spatial relation </w:t>
      </w:r>
      <w:r w:rsidR="00B52580" w:rsidRPr="00733F0D">
        <w:rPr>
          <w:b/>
          <w:bCs/>
        </w:rPr>
        <w:t>update for AP-</w:t>
      </w:r>
      <w:r w:rsidRPr="00733F0D">
        <w:rPr>
          <w:b/>
          <w:bCs/>
        </w:rPr>
        <w:t>SRS.</w:t>
      </w:r>
    </w:p>
    <w:p w14:paraId="3F8A08A2" w14:textId="77777777" w:rsidR="00733F0D" w:rsidRDefault="00733F0D" w:rsidP="00733F0D">
      <w:r>
        <w:t xml:space="preserve">In terms of the reference signals based on which the requirements need to be defined, it is our view that RAN4 should first define requirements for spatial relation that are </w:t>
      </w:r>
      <w:proofErr w:type="spellStart"/>
      <w:r>
        <w:t>QCL’d</w:t>
      </w:r>
      <w:proofErr w:type="spellEnd"/>
      <w:r>
        <w:t xml:space="preserve"> to a reference signal for which the UE can provide an L1-RSRP measurement, namely SSB and CSI-RS. This would allow us to highly leverage the requirements as defined for TCI state switching. Requirements for spatial relation that are </w:t>
      </w:r>
      <w:proofErr w:type="spellStart"/>
      <w:r>
        <w:t>QCL’d</w:t>
      </w:r>
      <w:proofErr w:type="spellEnd"/>
      <w:r>
        <w:t xml:space="preserve"> to SRS can be defined in the second stage. Note that in the above case, if the QCL chain for a spatial relation includes SSB or CSI-RS we can define the requirements in the first stage. </w:t>
      </w:r>
    </w:p>
    <w:p w14:paraId="2D7A1461" w14:textId="2CB4A2AC" w:rsidR="00733F0D" w:rsidRPr="00733F0D" w:rsidRDefault="00733F0D" w:rsidP="00733F0D">
      <w:pPr>
        <w:rPr>
          <w:b/>
          <w:bCs/>
        </w:rPr>
      </w:pPr>
      <w:r w:rsidRPr="00733F0D">
        <w:rPr>
          <w:b/>
          <w:bCs/>
        </w:rPr>
        <w:lastRenderedPageBreak/>
        <w:t xml:space="preserve">Proposal 4: RAN4 to prioritize defining requirements for the case where the spatial relation is </w:t>
      </w:r>
      <w:proofErr w:type="spellStart"/>
      <w:r w:rsidRPr="00733F0D">
        <w:rPr>
          <w:b/>
          <w:bCs/>
        </w:rPr>
        <w:t>QCL’d</w:t>
      </w:r>
      <w:proofErr w:type="spellEnd"/>
      <w:r w:rsidRPr="00733F0D">
        <w:rPr>
          <w:b/>
          <w:bCs/>
        </w:rPr>
        <w:t xml:space="preserve"> to (or the QCL chain contains) SSB or CSI-RS. </w:t>
      </w:r>
    </w:p>
    <w:p w14:paraId="3F6CABCC" w14:textId="77777777" w:rsidR="00733F0D" w:rsidRDefault="00733F0D" w:rsidP="00733F0D">
      <w:r>
        <w:t xml:space="preserve">For the case where the QCL chain for spatial relation contains SSB/CSI-RS, we propose to re-use the known state definition as was defined for the case of TCI state switching. We will need to extend the definition to say that the measurement corresponding to the first DL RS in the QCL chain has been provided within the last 1280 </w:t>
      </w:r>
      <w:proofErr w:type="spellStart"/>
      <w:r>
        <w:t>ms</w:t>
      </w:r>
      <w:proofErr w:type="spellEnd"/>
      <w:r>
        <w:t xml:space="preserve"> and that the SNR of that RS remains above -3 db. </w:t>
      </w:r>
    </w:p>
    <w:p w14:paraId="6DF2047F" w14:textId="3429A369" w:rsidR="00243BA1" w:rsidRPr="00733F0D" w:rsidRDefault="00733F0D" w:rsidP="00243BA1">
      <w:pPr>
        <w:rPr>
          <w:b/>
          <w:bCs/>
        </w:rPr>
      </w:pPr>
      <w:r w:rsidRPr="00733F0D">
        <w:rPr>
          <w:b/>
          <w:bCs/>
        </w:rPr>
        <w:t xml:space="preserve">Proposal 5: Re-use the known state definition for TCI state for known spatial relation.  </w:t>
      </w:r>
    </w:p>
    <w:p w14:paraId="716F9BAE" w14:textId="23085F1A" w:rsidR="004B2BE8" w:rsidRDefault="004B2BE8" w:rsidP="004B2BE8">
      <w:pPr>
        <w:pStyle w:val="Heading1"/>
      </w:pPr>
      <w:r>
        <w:t>Conclusion</w:t>
      </w:r>
    </w:p>
    <w:p w14:paraId="26BB4700" w14:textId="2311D542" w:rsidR="001F07C8" w:rsidRPr="00862E28" w:rsidRDefault="001F07C8" w:rsidP="001F07C8">
      <w:pPr>
        <w:rPr>
          <w:b/>
          <w:bCs/>
        </w:rPr>
      </w:pPr>
      <w:r w:rsidRPr="00862E28">
        <w:rPr>
          <w:b/>
          <w:bCs/>
        </w:rPr>
        <w:t xml:space="preserve">Proposal 1: RAN4 defines requirements for activating TCI states </w:t>
      </w:r>
      <w:r w:rsidR="00E22C49">
        <w:rPr>
          <w:b/>
          <w:bCs/>
        </w:rPr>
        <w:t xml:space="preserve">simultaneously </w:t>
      </w:r>
      <w:r w:rsidRPr="00862E28">
        <w:rPr>
          <w:b/>
          <w:bCs/>
        </w:rPr>
        <w:t>across multiple CCs/BWPs with a single MAC-CE command.</w:t>
      </w:r>
    </w:p>
    <w:p w14:paraId="2C687C98" w14:textId="3F8097A1" w:rsidR="001F07C8" w:rsidRDefault="001F07C8" w:rsidP="001F07C8">
      <w:pPr>
        <w:rPr>
          <w:b/>
          <w:bCs/>
        </w:rPr>
      </w:pPr>
      <w:r w:rsidRPr="00733F0D">
        <w:rPr>
          <w:b/>
          <w:bCs/>
        </w:rPr>
        <w:t>Proposal 2:  The decision whether to define MAC-CE based spatial relationship update for AP-SRS or not should be taken in ‘RRM core requirement enhancement’ section (A</w:t>
      </w:r>
      <w:r>
        <w:rPr>
          <w:b/>
          <w:bCs/>
        </w:rPr>
        <w:t xml:space="preserve">genda </w:t>
      </w:r>
      <w:r w:rsidRPr="00733F0D">
        <w:rPr>
          <w:b/>
          <w:bCs/>
        </w:rPr>
        <w:t>I</w:t>
      </w:r>
      <w:r>
        <w:rPr>
          <w:b/>
          <w:bCs/>
        </w:rPr>
        <w:t>tem</w:t>
      </w:r>
      <w:r w:rsidRPr="00733F0D">
        <w:rPr>
          <w:b/>
          <w:bCs/>
        </w:rPr>
        <w:t>: 8.15.1).</w:t>
      </w:r>
    </w:p>
    <w:p w14:paraId="57E2D0A1" w14:textId="77777777" w:rsidR="0086479B" w:rsidRPr="00733F0D" w:rsidRDefault="0086479B" w:rsidP="0086479B">
      <w:pPr>
        <w:rPr>
          <w:b/>
          <w:bCs/>
        </w:rPr>
      </w:pPr>
      <w:r w:rsidRPr="00733F0D">
        <w:rPr>
          <w:b/>
          <w:bCs/>
        </w:rPr>
        <w:t>Proposal 3: RAN4 to define requirements of MAC-CE based spatial relation update for AP-SRS.</w:t>
      </w:r>
    </w:p>
    <w:p w14:paraId="190A4D09" w14:textId="77777777" w:rsidR="0086479B" w:rsidRPr="00733F0D" w:rsidRDefault="0086479B" w:rsidP="0086479B">
      <w:pPr>
        <w:rPr>
          <w:b/>
          <w:bCs/>
        </w:rPr>
      </w:pPr>
      <w:r w:rsidRPr="00733F0D">
        <w:rPr>
          <w:b/>
          <w:bCs/>
        </w:rPr>
        <w:t xml:space="preserve">Proposal 4: RAN4 to prioritize defining requirements for the case where the spatial relation is </w:t>
      </w:r>
      <w:proofErr w:type="spellStart"/>
      <w:r w:rsidRPr="00733F0D">
        <w:rPr>
          <w:b/>
          <w:bCs/>
        </w:rPr>
        <w:t>QCL’d</w:t>
      </w:r>
      <w:proofErr w:type="spellEnd"/>
      <w:r w:rsidRPr="00733F0D">
        <w:rPr>
          <w:b/>
          <w:bCs/>
        </w:rPr>
        <w:t xml:space="preserve"> to (or the QCL chain contains) SSB or CSI-RS. </w:t>
      </w:r>
    </w:p>
    <w:p w14:paraId="4345CF1C" w14:textId="7B7A470C" w:rsidR="001F07C8" w:rsidRPr="00733F0D" w:rsidRDefault="0086479B" w:rsidP="001F07C8">
      <w:pPr>
        <w:rPr>
          <w:b/>
          <w:bCs/>
        </w:rPr>
      </w:pPr>
      <w:r w:rsidRPr="00733F0D">
        <w:rPr>
          <w:b/>
          <w:bCs/>
        </w:rPr>
        <w:t xml:space="preserve">Proposal 5: Re-use the known state definition for TCI state for known spatial relation.  </w:t>
      </w:r>
    </w:p>
    <w:p w14:paraId="468DDC7F" w14:textId="1D4D42E2" w:rsidR="004B2BE8" w:rsidRDefault="004B2BE8" w:rsidP="004B2BE8">
      <w:pPr>
        <w:pStyle w:val="Heading1"/>
      </w:pPr>
      <w:r>
        <w:t>Reference</w:t>
      </w:r>
    </w:p>
    <w:p w14:paraId="4B50C270" w14:textId="77777777" w:rsidR="004B2BE8" w:rsidRDefault="004B2BE8" w:rsidP="004B2BE8">
      <w:pPr>
        <w:numPr>
          <w:ilvl w:val="0"/>
          <w:numId w:val="5"/>
        </w:numPr>
        <w:jc w:val="both"/>
        <w:rPr>
          <w:lang w:eastAsia="zh-CN"/>
        </w:rPr>
      </w:pPr>
      <w:r>
        <w:rPr>
          <w:lang w:eastAsia="zh-CN"/>
        </w:rPr>
        <w:t>Chairman’s notes, 3GPP TSG RAN WG4 Meeting #93</w:t>
      </w:r>
    </w:p>
    <w:p w14:paraId="74401568" w14:textId="7704B87E" w:rsidR="004B2BE8" w:rsidRDefault="004B2BE8" w:rsidP="004B2BE8">
      <w:pPr>
        <w:numPr>
          <w:ilvl w:val="0"/>
          <w:numId w:val="5"/>
        </w:numPr>
        <w:jc w:val="both"/>
        <w:rPr>
          <w:lang w:eastAsia="zh-CN"/>
        </w:rPr>
      </w:pPr>
      <w:r>
        <w:rPr>
          <w:lang w:eastAsia="zh-CN"/>
        </w:rPr>
        <w:t>Chairman’s notes, 3GPP TSG RAN WG1 Meeting #98</w:t>
      </w:r>
      <w:r w:rsidR="00583166">
        <w:rPr>
          <w:lang w:eastAsia="zh-CN"/>
        </w:rPr>
        <w:t>.</w:t>
      </w:r>
    </w:p>
    <w:p w14:paraId="0B26A021" w14:textId="47F7051D" w:rsidR="00583166" w:rsidRDefault="00583166" w:rsidP="00583166">
      <w:pPr>
        <w:numPr>
          <w:ilvl w:val="0"/>
          <w:numId w:val="5"/>
        </w:numPr>
        <w:jc w:val="both"/>
        <w:rPr>
          <w:lang w:eastAsia="zh-CN"/>
        </w:rPr>
      </w:pPr>
      <w:r>
        <w:rPr>
          <w:lang w:eastAsia="zh-CN"/>
        </w:rPr>
        <w:t>Chairman’s notes, 3GPP TSG RAN WG1 Meeting #98bis.</w:t>
      </w:r>
    </w:p>
    <w:p w14:paraId="59822500" w14:textId="77777777" w:rsidR="004B2BE8" w:rsidRDefault="004B2BE8" w:rsidP="004B2BE8">
      <w:pPr>
        <w:jc w:val="both"/>
        <w:rPr>
          <w:lang w:eastAsia="zh-CN"/>
        </w:rPr>
      </w:pPr>
    </w:p>
    <w:p w14:paraId="70D25254" w14:textId="77777777" w:rsidR="004B2BE8" w:rsidRDefault="004B2BE8" w:rsidP="004B2BE8"/>
    <w:sectPr w:rsidR="004B2B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E53BD"/>
    <w:multiLevelType w:val="hybridMultilevel"/>
    <w:tmpl w:val="A32C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6218B"/>
    <w:multiLevelType w:val="hybridMultilevel"/>
    <w:tmpl w:val="F24259E0"/>
    <w:lvl w:ilvl="0" w:tplc="7C821934">
      <w:start w:val="1"/>
      <w:numFmt w:val="bullet"/>
      <w:lvlText w:val="•"/>
      <w:lvlJc w:val="left"/>
      <w:pPr>
        <w:tabs>
          <w:tab w:val="num" w:pos="720"/>
        </w:tabs>
        <w:ind w:left="720" w:hanging="360"/>
      </w:pPr>
      <w:rPr>
        <w:rFonts w:ascii="Arial" w:hAnsi="Arial" w:hint="default"/>
      </w:rPr>
    </w:lvl>
    <w:lvl w:ilvl="1" w:tplc="1E8EA426">
      <w:start w:val="110"/>
      <w:numFmt w:val="bullet"/>
      <w:lvlText w:val="•"/>
      <w:lvlJc w:val="left"/>
      <w:pPr>
        <w:tabs>
          <w:tab w:val="num" w:pos="1440"/>
        </w:tabs>
        <w:ind w:left="1440" w:hanging="360"/>
      </w:pPr>
      <w:rPr>
        <w:rFonts w:ascii="Arial" w:hAnsi="Arial" w:hint="default"/>
      </w:rPr>
    </w:lvl>
    <w:lvl w:ilvl="2" w:tplc="B348582C" w:tentative="1">
      <w:start w:val="1"/>
      <w:numFmt w:val="bullet"/>
      <w:lvlText w:val="•"/>
      <w:lvlJc w:val="left"/>
      <w:pPr>
        <w:tabs>
          <w:tab w:val="num" w:pos="2160"/>
        </w:tabs>
        <w:ind w:left="2160" w:hanging="360"/>
      </w:pPr>
      <w:rPr>
        <w:rFonts w:ascii="Arial" w:hAnsi="Arial" w:hint="default"/>
      </w:rPr>
    </w:lvl>
    <w:lvl w:ilvl="3" w:tplc="0E08A448" w:tentative="1">
      <w:start w:val="1"/>
      <w:numFmt w:val="bullet"/>
      <w:lvlText w:val="•"/>
      <w:lvlJc w:val="left"/>
      <w:pPr>
        <w:tabs>
          <w:tab w:val="num" w:pos="2880"/>
        </w:tabs>
        <w:ind w:left="2880" w:hanging="360"/>
      </w:pPr>
      <w:rPr>
        <w:rFonts w:ascii="Arial" w:hAnsi="Arial" w:hint="default"/>
      </w:rPr>
    </w:lvl>
    <w:lvl w:ilvl="4" w:tplc="D430F79E" w:tentative="1">
      <w:start w:val="1"/>
      <w:numFmt w:val="bullet"/>
      <w:lvlText w:val="•"/>
      <w:lvlJc w:val="left"/>
      <w:pPr>
        <w:tabs>
          <w:tab w:val="num" w:pos="3600"/>
        </w:tabs>
        <w:ind w:left="3600" w:hanging="360"/>
      </w:pPr>
      <w:rPr>
        <w:rFonts w:ascii="Arial" w:hAnsi="Arial" w:hint="default"/>
      </w:rPr>
    </w:lvl>
    <w:lvl w:ilvl="5" w:tplc="F61AF9BE" w:tentative="1">
      <w:start w:val="1"/>
      <w:numFmt w:val="bullet"/>
      <w:lvlText w:val="•"/>
      <w:lvlJc w:val="left"/>
      <w:pPr>
        <w:tabs>
          <w:tab w:val="num" w:pos="4320"/>
        </w:tabs>
        <w:ind w:left="4320" w:hanging="360"/>
      </w:pPr>
      <w:rPr>
        <w:rFonts w:ascii="Arial" w:hAnsi="Arial" w:hint="default"/>
      </w:rPr>
    </w:lvl>
    <w:lvl w:ilvl="6" w:tplc="8F0C49E6" w:tentative="1">
      <w:start w:val="1"/>
      <w:numFmt w:val="bullet"/>
      <w:lvlText w:val="•"/>
      <w:lvlJc w:val="left"/>
      <w:pPr>
        <w:tabs>
          <w:tab w:val="num" w:pos="5040"/>
        </w:tabs>
        <w:ind w:left="5040" w:hanging="360"/>
      </w:pPr>
      <w:rPr>
        <w:rFonts w:ascii="Arial" w:hAnsi="Arial" w:hint="default"/>
      </w:rPr>
    </w:lvl>
    <w:lvl w:ilvl="7" w:tplc="7EBC7C52" w:tentative="1">
      <w:start w:val="1"/>
      <w:numFmt w:val="bullet"/>
      <w:lvlText w:val="•"/>
      <w:lvlJc w:val="left"/>
      <w:pPr>
        <w:tabs>
          <w:tab w:val="num" w:pos="5760"/>
        </w:tabs>
        <w:ind w:left="5760" w:hanging="360"/>
      </w:pPr>
      <w:rPr>
        <w:rFonts w:ascii="Arial" w:hAnsi="Arial" w:hint="default"/>
      </w:rPr>
    </w:lvl>
    <w:lvl w:ilvl="8" w:tplc="F40863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74BB7EA8"/>
    <w:multiLevelType w:val="hybridMultilevel"/>
    <w:tmpl w:val="2ED89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9"/>
  </w:num>
  <w:num w:numId="5">
    <w:abstractNumId w:val="7"/>
  </w:num>
  <w:num w:numId="6">
    <w:abstractNumId w:val="2"/>
  </w:num>
  <w:num w:numId="7">
    <w:abstractNumId w:val="8"/>
  </w:num>
  <w:num w:numId="8">
    <w:abstractNumId w:val="3"/>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BE8"/>
    <w:rsid w:val="000340A6"/>
    <w:rsid w:val="000733AB"/>
    <w:rsid w:val="001435E5"/>
    <w:rsid w:val="001F07C8"/>
    <w:rsid w:val="002309AB"/>
    <w:rsid w:val="00243BA1"/>
    <w:rsid w:val="00367A03"/>
    <w:rsid w:val="00440D91"/>
    <w:rsid w:val="004B2BE8"/>
    <w:rsid w:val="004C68A6"/>
    <w:rsid w:val="00583166"/>
    <w:rsid w:val="005C5D4B"/>
    <w:rsid w:val="00644908"/>
    <w:rsid w:val="0069187F"/>
    <w:rsid w:val="00712083"/>
    <w:rsid w:val="00733F0D"/>
    <w:rsid w:val="00862E28"/>
    <w:rsid w:val="0086479B"/>
    <w:rsid w:val="008B1B3A"/>
    <w:rsid w:val="00AF0059"/>
    <w:rsid w:val="00AF0965"/>
    <w:rsid w:val="00B52580"/>
    <w:rsid w:val="00B57AF4"/>
    <w:rsid w:val="00BB1E49"/>
    <w:rsid w:val="00C81CBE"/>
    <w:rsid w:val="00D4292F"/>
    <w:rsid w:val="00E21748"/>
    <w:rsid w:val="00E22C49"/>
    <w:rsid w:val="00F64EB0"/>
    <w:rsid w:val="00FE4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0789A"/>
  <w15:chartTrackingRefBased/>
  <w15:docId w15:val="{53042FE6-C54F-41EA-A541-8288BFB8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2BE8"/>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B2BE8"/>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B2BE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B2BE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2BE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B2BE8"/>
    <w:pPr>
      <w:numPr>
        <w:ilvl w:val="5"/>
      </w:numPr>
      <w:outlineLvl w:val="4"/>
    </w:pPr>
    <w:rPr>
      <w:sz w:val="22"/>
    </w:rPr>
  </w:style>
  <w:style w:type="paragraph" w:styleId="Heading7">
    <w:name w:val="heading 7"/>
    <w:basedOn w:val="Normal"/>
    <w:next w:val="Normal"/>
    <w:link w:val="Heading7Char"/>
    <w:qFormat/>
    <w:rsid w:val="004B2BE8"/>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B2BE8"/>
    <w:pPr>
      <w:numPr>
        <w:ilvl w:val="7"/>
      </w:numPr>
      <w:outlineLvl w:val="7"/>
    </w:pPr>
  </w:style>
  <w:style w:type="paragraph" w:styleId="Heading9">
    <w:name w:val="heading 9"/>
    <w:basedOn w:val="Heading8"/>
    <w:next w:val="Normal"/>
    <w:link w:val="Heading9Char"/>
    <w:qFormat/>
    <w:rsid w:val="004B2B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2BE8"/>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2BE8"/>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B2BE8"/>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2BE8"/>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B2BE8"/>
    <w:rPr>
      <w:rFonts w:ascii="Arial" w:eastAsia="MS Mincho" w:hAnsi="Arial" w:cs="Times New Roman"/>
      <w:szCs w:val="20"/>
      <w:lang w:val="en-GB"/>
    </w:rPr>
  </w:style>
  <w:style w:type="character" w:customStyle="1" w:styleId="Heading7Char">
    <w:name w:val="Heading 7 Char"/>
    <w:basedOn w:val="DefaultParagraphFont"/>
    <w:link w:val="Heading7"/>
    <w:rsid w:val="004B2BE8"/>
    <w:rPr>
      <w:rFonts w:ascii="Arial" w:eastAsia="MS Mincho" w:hAnsi="Arial" w:cs="Times New Roman"/>
      <w:sz w:val="20"/>
      <w:szCs w:val="20"/>
      <w:lang w:val="en-GB"/>
    </w:rPr>
  </w:style>
  <w:style w:type="character" w:customStyle="1" w:styleId="Heading8Char">
    <w:name w:val="Heading 8 Char"/>
    <w:basedOn w:val="DefaultParagraphFont"/>
    <w:link w:val="Heading8"/>
    <w:rsid w:val="004B2BE8"/>
    <w:rPr>
      <w:rFonts w:ascii="Arial" w:eastAsia="MS Mincho" w:hAnsi="Arial" w:cs="Times New Roman"/>
      <w:sz w:val="36"/>
      <w:szCs w:val="20"/>
      <w:lang w:val="en-GB"/>
    </w:rPr>
  </w:style>
  <w:style w:type="character" w:customStyle="1" w:styleId="Heading9Char">
    <w:name w:val="Heading 9 Char"/>
    <w:basedOn w:val="DefaultParagraphFont"/>
    <w:link w:val="Heading9"/>
    <w:rsid w:val="004B2BE8"/>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B2BE8"/>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2BE8"/>
    <w:rPr>
      <w:rFonts w:ascii="Arial" w:eastAsia="MS Mincho" w:hAnsi="Arial" w:cs="Times New Roman"/>
      <w:b/>
      <w:noProof/>
      <w:sz w:val="18"/>
      <w:szCs w:val="20"/>
    </w:rPr>
  </w:style>
  <w:style w:type="paragraph" w:styleId="Footer">
    <w:name w:val="footer"/>
    <w:basedOn w:val="Header"/>
    <w:link w:val="FooterChar"/>
    <w:rsid w:val="004B2BE8"/>
    <w:pPr>
      <w:jc w:val="center"/>
    </w:pPr>
    <w:rPr>
      <w:i/>
    </w:rPr>
  </w:style>
  <w:style w:type="character" w:customStyle="1" w:styleId="FooterChar">
    <w:name w:val="Footer Char"/>
    <w:basedOn w:val="DefaultParagraphFont"/>
    <w:link w:val="Footer"/>
    <w:rsid w:val="004B2BE8"/>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B2BE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B2BE8"/>
    <w:rPr>
      <w:rFonts w:ascii="Times New Roman" w:eastAsia="MS Mincho" w:hAnsi="Times New Roman" w:cs="Times New Roman"/>
      <w:sz w:val="20"/>
      <w:szCs w:val="20"/>
      <w:lang w:val="en-GB"/>
    </w:rPr>
  </w:style>
  <w:style w:type="table" w:styleId="TableGrid">
    <w:name w:val="Table Grid"/>
    <w:basedOn w:val="TableNormal"/>
    <w:rsid w:val="004B2BE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4B2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2BE8"/>
    <w:rPr>
      <w:rFonts w:ascii="Times New Roman" w:eastAsia="Malgun Gothic" w:hAnsi="Times New Roman" w:cs="Times New Roman"/>
      <w:sz w:val="20"/>
      <w:szCs w:val="20"/>
      <w:lang w:val="en-GB" w:eastAsia="ko-KR"/>
    </w:rPr>
  </w:style>
  <w:style w:type="paragraph" w:customStyle="1" w:styleId="EQ">
    <w:name w:val="EQ"/>
    <w:basedOn w:val="Normal"/>
    <w:next w:val="Normal"/>
    <w:link w:val="EQChar"/>
    <w:rsid w:val="004B2BE8"/>
    <w:pPr>
      <w:keepLines/>
      <w:tabs>
        <w:tab w:val="center" w:pos="4536"/>
        <w:tab w:val="right" w:pos="9072"/>
      </w:tabs>
    </w:pPr>
    <w:rPr>
      <w:rFonts w:eastAsia="SimSun"/>
      <w:noProof/>
    </w:rPr>
  </w:style>
  <w:style w:type="character" w:customStyle="1" w:styleId="EQChar">
    <w:name w:val="EQ Char"/>
    <w:link w:val="EQ"/>
    <w:locked/>
    <w:rsid w:val="004B2BE8"/>
    <w:rPr>
      <w:rFonts w:ascii="Times New Roman" w:eastAsia="SimSun" w:hAnsi="Times New Roman" w:cs="Times New Roman"/>
      <w:noProof/>
      <w:sz w:val="20"/>
      <w:szCs w:val="20"/>
      <w:lang w:val="en-GB"/>
    </w:rPr>
  </w:style>
  <w:style w:type="paragraph" w:customStyle="1" w:styleId="TAL">
    <w:name w:val="TAL"/>
    <w:basedOn w:val="Normal"/>
    <w:link w:val="TALCar"/>
    <w:qFormat/>
    <w:rsid w:val="004B2BE8"/>
    <w:pPr>
      <w:keepNext/>
      <w:keepLines/>
      <w:spacing w:after="0"/>
    </w:pPr>
    <w:rPr>
      <w:rFonts w:ascii="Arial" w:eastAsia="SimSun" w:hAnsi="Arial"/>
      <w:sz w:val="18"/>
    </w:rPr>
  </w:style>
  <w:style w:type="character" w:customStyle="1" w:styleId="TALCar">
    <w:name w:val="TAL Car"/>
    <w:link w:val="TAL"/>
    <w:qFormat/>
    <w:rsid w:val="004B2BE8"/>
    <w:rPr>
      <w:rFonts w:ascii="Arial" w:eastAsia="SimSun" w:hAnsi="Arial" w:cs="Times New Roman"/>
      <w:sz w:val="18"/>
      <w:szCs w:val="20"/>
      <w:lang w:val="en-GB"/>
    </w:rPr>
  </w:style>
  <w:style w:type="paragraph" w:customStyle="1" w:styleId="TAH">
    <w:name w:val="TAH"/>
    <w:basedOn w:val="TAC"/>
    <w:link w:val="TAHCar"/>
    <w:qFormat/>
    <w:rsid w:val="004B2BE8"/>
    <w:rPr>
      <w:b/>
    </w:rPr>
  </w:style>
  <w:style w:type="paragraph" w:customStyle="1" w:styleId="TAC">
    <w:name w:val="TAC"/>
    <w:basedOn w:val="TAL"/>
    <w:link w:val="TACChar"/>
    <w:qFormat/>
    <w:rsid w:val="004B2BE8"/>
    <w:pPr>
      <w:jc w:val="center"/>
    </w:pPr>
  </w:style>
  <w:style w:type="character" w:customStyle="1" w:styleId="TACChar">
    <w:name w:val="TAC Char"/>
    <w:link w:val="TAC"/>
    <w:qFormat/>
    <w:rsid w:val="004B2BE8"/>
    <w:rPr>
      <w:rFonts w:ascii="Arial" w:eastAsia="SimSun" w:hAnsi="Arial" w:cs="Times New Roman"/>
      <w:sz w:val="18"/>
      <w:szCs w:val="20"/>
      <w:lang w:val="en-GB"/>
    </w:rPr>
  </w:style>
  <w:style w:type="character" w:customStyle="1" w:styleId="TAHCar">
    <w:name w:val="TAH Car"/>
    <w:link w:val="TAH"/>
    <w:qFormat/>
    <w:rsid w:val="004B2BE8"/>
    <w:rPr>
      <w:rFonts w:ascii="Arial" w:eastAsia="SimSun" w:hAnsi="Arial" w:cs="Times New Roman"/>
      <w:b/>
      <w:sz w:val="18"/>
      <w:szCs w:val="20"/>
      <w:lang w:val="en-GB"/>
    </w:rPr>
  </w:style>
  <w:style w:type="paragraph" w:customStyle="1" w:styleId="B1">
    <w:name w:val="B1"/>
    <w:basedOn w:val="Normal"/>
    <w:link w:val="B1Char"/>
    <w:rsid w:val="004B2BE8"/>
    <w:pPr>
      <w:ind w:left="568" w:hanging="284"/>
    </w:pPr>
    <w:rPr>
      <w:rFonts w:eastAsia="SimSun"/>
    </w:rPr>
  </w:style>
  <w:style w:type="character" w:customStyle="1" w:styleId="B1Char">
    <w:name w:val="B1 Char"/>
    <w:link w:val="B1"/>
    <w:rsid w:val="004B2BE8"/>
    <w:rPr>
      <w:rFonts w:ascii="Times New Roman" w:eastAsia="SimSun" w:hAnsi="Times New Roman" w:cs="Times New Roman"/>
      <w:sz w:val="20"/>
      <w:szCs w:val="20"/>
      <w:lang w:val="en-GB"/>
    </w:rPr>
  </w:style>
  <w:style w:type="paragraph" w:customStyle="1" w:styleId="TH">
    <w:name w:val="TH"/>
    <w:basedOn w:val="Normal"/>
    <w:link w:val="THChar"/>
    <w:qFormat/>
    <w:rsid w:val="004B2BE8"/>
    <w:pPr>
      <w:keepNext/>
      <w:keepLines/>
      <w:spacing w:before="60"/>
      <w:jc w:val="center"/>
    </w:pPr>
    <w:rPr>
      <w:rFonts w:ascii="Arial" w:eastAsia="SimSun" w:hAnsi="Arial"/>
      <w:b/>
    </w:rPr>
  </w:style>
  <w:style w:type="character" w:customStyle="1" w:styleId="THChar">
    <w:name w:val="TH Char"/>
    <w:link w:val="TH"/>
    <w:qFormat/>
    <w:rsid w:val="004B2BE8"/>
    <w:rPr>
      <w:rFonts w:ascii="Arial" w:eastAsia="SimSun" w:hAnsi="Arial" w:cs="Times New Roman"/>
      <w:b/>
      <w:sz w:val="20"/>
      <w:szCs w:val="20"/>
      <w:lang w:val="en-GB"/>
    </w:rPr>
  </w:style>
  <w:style w:type="paragraph" w:customStyle="1" w:styleId="LGTdoc">
    <w:name w:val="LGTdoc_본문"/>
    <w:basedOn w:val="Normal"/>
    <w:link w:val="LGTdocChar"/>
    <w:qFormat/>
    <w:rsid w:val="00583166"/>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8316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8055">
      <w:bodyDiv w:val="1"/>
      <w:marLeft w:val="0"/>
      <w:marRight w:val="0"/>
      <w:marTop w:val="0"/>
      <w:marBottom w:val="0"/>
      <w:divBdr>
        <w:top w:val="none" w:sz="0" w:space="0" w:color="auto"/>
        <w:left w:val="none" w:sz="0" w:space="0" w:color="auto"/>
        <w:bottom w:val="none" w:sz="0" w:space="0" w:color="auto"/>
        <w:right w:val="none" w:sz="0" w:space="0" w:color="auto"/>
      </w:divBdr>
      <w:divsChild>
        <w:div w:id="1935623016">
          <w:marLeft w:val="216"/>
          <w:marRight w:val="0"/>
          <w:marTop w:val="240"/>
          <w:marBottom w:val="0"/>
          <w:divBdr>
            <w:top w:val="none" w:sz="0" w:space="0" w:color="auto"/>
            <w:left w:val="none" w:sz="0" w:space="0" w:color="auto"/>
            <w:bottom w:val="none" w:sz="0" w:space="0" w:color="auto"/>
            <w:right w:val="none" w:sz="0" w:space="0" w:color="auto"/>
          </w:divBdr>
        </w:div>
        <w:div w:id="1487622755">
          <w:marLeft w:val="562"/>
          <w:marRight w:val="0"/>
          <w:marTop w:val="0"/>
          <w:marBottom w:val="0"/>
          <w:divBdr>
            <w:top w:val="none" w:sz="0" w:space="0" w:color="auto"/>
            <w:left w:val="none" w:sz="0" w:space="0" w:color="auto"/>
            <w:bottom w:val="none" w:sz="0" w:space="0" w:color="auto"/>
            <w:right w:val="none" w:sz="0" w:space="0" w:color="auto"/>
          </w:divBdr>
        </w:div>
        <w:div w:id="1391198566">
          <w:marLeft w:val="562"/>
          <w:marRight w:val="0"/>
          <w:marTop w:val="0"/>
          <w:marBottom w:val="0"/>
          <w:divBdr>
            <w:top w:val="none" w:sz="0" w:space="0" w:color="auto"/>
            <w:left w:val="none" w:sz="0" w:space="0" w:color="auto"/>
            <w:bottom w:val="none" w:sz="0" w:space="0" w:color="auto"/>
            <w:right w:val="none" w:sz="0" w:space="0" w:color="auto"/>
          </w:divBdr>
        </w:div>
        <w:div w:id="1782802497">
          <w:marLeft w:val="216"/>
          <w:marRight w:val="0"/>
          <w:marTop w:val="240"/>
          <w:marBottom w:val="0"/>
          <w:divBdr>
            <w:top w:val="none" w:sz="0" w:space="0" w:color="auto"/>
            <w:left w:val="none" w:sz="0" w:space="0" w:color="auto"/>
            <w:bottom w:val="none" w:sz="0" w:space="0" w:color="auto"/>
            <w:right w:val="none" w:sz="0" w:space="0" w:color="auto"/>
          </w:divBdr>
        </w:div>
        <w:div w:id="997735458">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D4447-C8B9-48D1-9283-DD028C87E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F8753-19FF-4D91-9458-124E88A57A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39EBAA9B-CE76-4ADB-8BE7-7D049C2933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2020-02-14T21:28:00Z</dcterms:created>
  <dcterms:modified xsi:type="dcterms:W3CDTF">2020-02-14T21:28:00Z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