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6C17CA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23074D">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ED5797" w:rsidRPr="00717E34">
        <w:rPr>
          <w:rFonts w:ascii="Arial" w:eastAsia="SimSun" w:hAnsi="Arial" w:cs="Times New Roman"/>
          <w:b/>
          <w:bCs/>
          <w:sz w:val="24"/>
          <w:szCs w:val="20"/>
          <w:lang w:val="en-GB" w:eastAsia="zh-CN"/>
        </w:rPr>
        <w:t>2001340</w:t>
      </w:r>
    </w:p>
    <w:p w14:paraId="3DEDC117" w14:textId="41D00AC0" w:rsidR="00841BCD" w:rsidRPr="00841BCD" w:rsidRDefault="0023074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March 6</w:t>
      </w:r>
      <w:r w:rsidR="00176671"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0FB4022"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02028">
        <w:rPr>
          <w:rFonts w:ascii="Arial" w:eastAsia="Calibri" w:hAnsi="Arial" w:cs="Arial"/>
          <w:b/>
          <w:bCs/>
          <w:sz w:val="24"/>
          <w:lang w:val="en-GB"/>
        </w:rPr>
        <w:t>Early measurements and reporti</w:t>
      </w:r>
      <w:bookmarkStart w:id="3" w:name="_GoBack"/>
      <w:bookmarkEnd w:id="3"/>
      <w:r w:rsidR="00D02028">
        <w:rPr>
          <w:rFonts w:ascii="Arial" w:eastAsia="Calibri" w:hAnsi="Arial" w:cs="Arial"/>
          <w:b/>
          <w:bCs/>
          <w:sz w:val="24"/>
          <w:lang w:val="en-GB"/>
        </w:rPr>
        <w:t>ng in NR</w:t>
      </w:r>
      <w:r w:rsidRPr="00841BCD" w:rsidDel="000A742C">
        <w:rPr>
          <w:rFonts w:ascii="Arial" w:eastAsia="Calibri" w:hAnsi="Arial" w:cs="Arial"/>
          <w:b/>
          <w:bCs/>
          <w:sz w:val="24"/>
          <w:lang w:val="en-GB"/>
        </w:rPr>
        <w:t xml:space="preserve"> </w:t>
      </w:r>
    </w:p>
    <w:p w14:paraId="53921647" w14:textId="080177DD" w:rsidR="00841BCD" w:rsidRPr="0023074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3074D" w:rsidRPr="0023074D">
        <w:rPr>
          <w:rFonts w:ascii="Arial" w:eastAsia="MS Mincho" w:hAnsi="Arial" w:cs="Arial"/>
          <w:b/>
          <w:bCs/>
          <w:sz w:val="24"/>
          <w:szCs w:val="20"/>
          <w:lang w:val="en-GB"/>
        </w:rPr>
        <w:t>8.6.3.2.1</w:t>
      </w:r>
    </w:p>
    <w:p w14:paraId="266D763D" w14:textId="77777777" w:rsidR="00841BCD" w:rsidRPr="00841BCD" w:rsidRDefault="00841BCD" w:rsidP="00841BCD">
      <w:pPr>
        <w:tabs>
          <w:tab w:val="left" w:pos="1985"/>
        </w:tabs>
        <w:rPr>
          <w:rFonts w:ascii="Arial" w:eastAsia="Calibri" w:hAnsi="Arial" w:cs="Arial"/>
          <w:b/>
          <w:bCs/>
          <w:sz w:val="24"/>
          <w:lang w:val="en-GB"/>
        </w:rPr>
      </w:pPr>
      <w:r w:rsidRPr="0023074D">
        <w:rPr>
          <w:rFonts w:ascii="Arial" w:eastAsia="Calibri" w:hAnsi="Arial" w:cs="Arial"/>
          <w:b/>
          <w:bCs/>
          <w:sz w:val="24"/>
          <w:lang w:val="en-GB"/>
        </w:rPr>
        <w:t>Document for:</w:t>
      </w:r>
      <w:r w:rsidRPr="0023074D">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21D4C8DA" w:rsidR="00A22B78" w:rsidRDefault="00DF38E1" w:rsidP="00841BCD">
      <w:pPr>
        <w:ind w:right="-22"/>
        <w:rPr>
          <w:rFonts w:eastAsia="Calibri"/>
          <w:szCs w:val="20"/>
        </w:rPr>
      </w:pPr>
      <w:r>
        <w:rPr>
          <w:rFonts w:eastAsia="Calibri" w:cs="Times New Roman"/>
          <w:szCs w:val="20"/>
          <w:lang w:val="en-GB"/>
        </w:rPr>
        <w:t>In RAN4#93 in Reno the MR-DC related discussion continued and the WF [</w:t>
      </w:r>
      <w:r w:rsidR="00ED5797" w:rsidRPr="00ED5797">
        <w:rPr>
          <w:rFonts w:eastAsia="Calibri" w:cs="Times New Roman"/>
          <w:szCs w:val="20"/>
        </w:rPr>
        <w:t>1</w:t>
      </w:r>
      <w:r>
        <w:rPr>
          <w:rFonts w:eastAsia="Calibri" w:cs="Times New Roman"/>
          <w:szCs w:val="20"/>
          <w:lang w:val="en-GB"/>
        </w:rPr>
        <w:t>] was agreed</w:t>
      </w:r>
      <w:r w:rsidR="00DA2EF9">
        <w:rPr>
          <w:rFonts w:eastAsia="Calibri" w:cs="Times New Roman"/>
          <w:szCs w:val="20"/>
          <w:lang w:val="en-GB"/>
        </w:rPr>
        <w:t>.</w:t>
      </w:r>
      <w:r>
        <w:rPr>
          <w:rFonts w:eastAsia="Calibri" w:cs="Times New Roman"/>
          <w:szCs w:val="20"/>
          <w:lang w:val="en-GB"/>
        </w:rPr>
        <w:t xml:space="preserve"> Considering early measurement and reporting two main topics are open – NR measurements for EMR while serving cell is in NR and </w:t>
      </w:r>
      <w:r w:rsidRPr="00DF38E1">
        <w:rPr>
          <w:rFonts w:eastAsia="Calibri"/>
          <w:szCs w:val="20"/>
          <w:lang w:val="en-GB"/>
        </w:rPr>
        <w:t>NR inter-RAT measurement for EMR while camped in LTE</w:t>
      </w:r>
      <w:r>
        <w:rPr>
          <w:rFonts w:eastAsia="Calibri"/>
          <w:szCs w:val="20"/>
        </w:rPr>
        <w:t>.</w:t>
      </w:r>
    </w:p>
    <w:p w14:paraId="122C5368" w14:textId="7D08E918" w:rsidR="00DF38E1" w:rsidRPr="00DF38E1" w:rsidRDefault="00DF38E1" w:rsidP="00841BCD">
      <w:pPr>
        <w:ind w:right="-22"/>
        <w:rPr>
          <w:rFonts w:eastAsia="Calibri"/>
          <w:szCs w:val="20"/>
          <w:lang w:val="en-GB"/>
        </w:rPr>
      </w:pPr>
      <w:r>
        <w:rPr>
          <w:rFonts w:eastAsia="Calibri"/>
          <w:szCs w:val="20"/>
        </w:rPr>
        <w:t xml:space="preserve">In this paper we discuss </w:t>
      </w:r>
      <w:r w:rsidRPr="00DF38E1">
        <w:rPr>
          <w:rFonts w:eastAsia="Calibri"/>
          <w:szCs w:val="20"/>
          <w:lang w:val="en-GB"/>
        </w:rPr>
        <w:t>NR measurements for EMR while serving cell is in NR</w:t>
      </w:r>
      <w:r>
        <w:rPr>
          <w:rFonts w:eastAsia="Calibri"/>
          <w:szCs w:val="20"/>
          <w:lang w:val="en-GB"/>
        </w:rPr>
        <w:t>.</w:t>
      </w:r>
    </w:p>
    <w:p w14:paraId="2FF6A72B" w14:textId="77777777" w:rsidR="003B659E" w:rsidRPr="00841BCD" w:rsidRDefault="003B659E" w:rsidP="00AE56B1">
      <w:pPr>
        <w:pStyle w:val="RAN4H1"/>
      </w:pPr>
      <w:r w:rsidRPr="00AE56B1">
        <w:t>Discussion</w:t>
      </w:r>
    </w:p>
    <w:p w14:paraId="38FC19F1" w14:textId="11143044" w:rsidR="00DA2EF9" w:rsidRDefault="00D045E0" w:rsidP="00EA17AC">
      <w:pPr>
        <w:ind w:right="-22"/>
        <w:rPr>
          <w:rFonts w:eastAsia="Calibri" w:cs="Times New Roman"/>
          <w:szCs w:val="20"/>
          <w:lang w:val="en-GB"/>
        </w:rPr>
      </w:pPr>
      <w:r>
        <w:rPr>
          <w:rFonts w:eastAsia="Calibri" w:cs="Times New Roman"/>
          <w:szCs w:val="20"/>
          <w:lang w:val="en-GB"/>
        </w:rPr>
        <w:t xml:space="preserve">RAN4 has already adapted </w:t>
      </w:r>
      <w:proofErr w:type="gramStart"/>
      <w:r>
        <w:rPr>
          <w:rFonts w:eastAsia="Calibri" w:cs="Times New Roman"/>
          <w:szCs w:val="20"/>
          <w:lang w:val="en-GB"/>
        </w:rPr>
        <w:t>a number of</w:t>
      </w:r>
      <w:proofErr w:type="gramEnd"/>
      <w:r>
        <w:rPr>
          <w:rFonts w:eastAsia="Calibri" w:cs="Times New Roman"/>
          <w:szCs w:val="20"/>
          <w:lang w:val="en-GB"/>
        </w:rPr>
        <w:t xml:space="preserve"> baseline agreements:</w:t>
      </w:r>
    </w:p>
    <w:p w14:paraId="4E8C4C03" w14:textId="25B51AD1" w:rsidR="00D045E0" w:rsidRDefault="00D045E0" w:rsidP="00D045E0">
      <w:pPr>
        <w:pStyle w:val="ListParagraph"/>
        <w:numPr>
          <w:ilvl w:val="0"/>
          <w:numId w:val="21"/>
        </w:numPr>
        <w:ind w:right="-22"/>
        <w:rPr>
          <w:rFonts w:eastAsia="Calibri" w:cs="Times New Roman"/>
          <w:szCs w:val="20"/>
          <w:lang w:val="en-GB"/>
        </w:rPr>
      </w:pPr>
      <w:r w:rsidRPr="00D045E0">
        <w:rPr>
          <w:rFonts w:eastAsia="Calibri" w:cs="Times New Roman"/>
          <w:szCs w:val="20"/>
          <w:lang w:val="en-GB"/>
        </w:rPr>
        <w:t>RAN4 has earlier agreed that the UE measurement capability will not change due to EMR</w:t>
      </w:r>
    </w:p>
    <w:p w14:paraId="2FD278C0" w14:textId="4B4C1760" w:rsidR="00D045E0" w:rsidRPr="00D045E0" w:rsidRDefault="00D045E0" w:rsidP="00D045E0">
      <w:pPr>
        <w:pStyle w:val="ListParagraph"/>
        <w:numPr>
          <w:ilvl w:val="0"/>
          <w:numId w:val="21"/>
        </w:numPr>
        <w:ind w:right="-22"/>
        <w:rPr>
          <w:rFonts w:eastAsia="Calibri" w:cs="Times New Roman"/>
          <w:szCs w:val="20"/>
          <w:lang w:val="en-GB"/>
        </w:rPr>
      </w:pPr>
      <w:r w:rsidRPr="00D045E0">
        <w:rPr>
          <w:rFonts w:eastAsia="Calibri" w:cs="Times New Roman"/>
          <w:szCs w:val="20"/>
          <w:lang w:val="en-GB"/>
        </w:rPr>
        <w:t xml:space="preserve">RAN4 has earlier agreed that </w:t>
      </w:r>
      <w:r w:rsidRPr="00D045E0">
        <w:rPr>
          <w:rFonts w:eastAsia="Calibri" w:cs="Times New Roman"/>
          <w:szCs w:val="20"/>
        </w:rPr>
        <w:t>requirements for EMR will be the same in Inactive mode and Idle mode</w:t>
      </w:r>
    </w:p>
    <w:p w14:paraId="41299E75" w14:textId="7824C76F" w:rsidR="00D045E0" w:rsidRDefault="00D045E0" w:rsidP="00D045E0">
      <w:pPr>
        <w:pStyle w:val="ListParagraph"/>
        <w:numPr>
          <w:ilvl w:val="0"/>
          <w:numId w:val="21"/>
        </w:numPr>
        <w:ind w:right="-22"/>
        <w:rPr>
          <w:rFonts w:eastAsia="Calibri" w:cs="Times New Roman"/>
          <w:szCs w:val="20"/>
          <w:lang w:val="en-GB"/>
        </w:rPr>
      </w:pPr>
      <w:r w:rsidRPr="00D045E0">
        <w:rPr>
          <w:rFonts w:eastAsia="Calibri" w:cs="Times New Roman"/>
          <w:szCs w:val="20"/>
          <w:lang w:val="en-GB"/>
        </w:rPr>
        <w:t>RAN4 agreed to adopt support of overlapping and non-overlapping carrier concept</w:t>
      </w:r>
    </w:p>
    <w:p w14:paraId="1DCEC86F" w14:textId="53B7E94E" w:rsidR="00D045E0" w:rsidRDefault="00D045E0" w:rsidP="00D045E0">
      <w:pPr>
        <w:ind w:right="-22"/>
        <w:rPr>
          <w:rFonts w:eastAsia="Calibri" w:cs="Times New Roman"/>
          <w:szCs w:val="20"/>
          <w:lang w:val="en-GB"/>
        </w:rPr>
      </w:pPr>
      <w:r>
        <w:rPr>
          <w:rFonts w:eastAsia="Calibri" w:cs="Times New Roman"/>
          <w:szCs w:val="20"/>
          <w:lang w:val="en-GB"/>
        </w:rPr>
        <w:t>And RAN4 made following as a working assumption:</w:t>
      </w:r>
    </w:p>
    <w:p w14:paraId="517E2B21" w14:textId="49E18006" w:rsidR="00D045E0" w:rsidRPr="00D045E0" w:rsidRDefault="00D045E0" w:rsidP="00D045E0">
      <w:pPr>
        <w:pStyle w:val="ListParagraph"/>
        <w:numPr>
          <w:ilvl w:val="0"/>
          <w:numId w:val="21"/>
        </w:numPr>
        <w:ind w:right="-22"/>
        <w:rPr>
          <w:rFonts w:eastAsia="Calibri" w:cs="Times New Roman"/>
          <w:szCs w:val="20"/>
          <w:lang w:val="en-GB"/>
        </w:rPr>
      </w:pPr>
      <w:r w:rsidRPr="00D045E0">
        <w:rPr>
          <w:rFonts w:eastAsia="Calibri" w:cs="Times New Roman"/>
          <w:szCs w:val="20"/>
        </w:rPr>
        <w:t>RAN4 EMR requirements for NR carriers while camped on NR only apply if EMR carriers are in CA combination supported by UE</w:t>
      </w:r>
    </w:p>
    <w:p w14:paraId="3603E24A" w14:textId="3429247D" w:rsidR="00D045E0" w:rsidRDefault="00D045E0" w:rsidP="00D045E0">
      <w:pPr>
        <w:ind w:right="-22"/>
        <w:rPr>
          <w:rFonts w:eastAsia="Calibri" w:cs="Times New Roman"/>
          <w:szCs w:val="20"/>
          <w:lang w:val="en-GB"/>
        </w:rPr>
      </w:pPr>
      <w:r>
        <w:rPr>
          <w:rFonts w:eastAsia="Calibri" w:cs="Times New Roman"/>
          <w:szCs w:val="20"/>
          <w:lang w:val="en-GB"/>
        </w:rPr>
        <w:t>Open for further discussion, based on the WF, are:</w:t>
      </w:r>
    </w:p>
    <w:p w14:paraId="7537BB0B" w14:textId="616FCD13" w:rsidR="00D045E0" w:rsidRDefault="00D045E0" w:rsidP="00D045E0">
      <w:pPr>
        <w:pStyle w:val="ListParagraph"/>
        <w:numPr>
          <w:ilvl w:val="0"/>
          <w:numId w:val="22"/>
        </w:numPr>
        <w:ind w:right="-22"/>
        <w:rPr>
          <w:rFonts w:eastAsia="Calibri" w:cs="Times New Roman"/>
          <w:szCs w:val="20"/>
          <w:lang w:val="en-GB"/>
        </w:rPr>
      </w:pPr>
      <w:r>
        <w:rPr>
          <w:rFonts w:eastAsia="Calibri" w:cs="Times New Roman"/>
          <w:szCs w:val="20"/>
          <w:lang w:val="en-GB"/>
        </w:rPr>
        <w:t>How to define overlapping and non-overlapping carriers</w:t>
      </w:r>
    </w:p>
    <w:p w14:paraId="54D9B612" w14:textId="615325DE" w:rsidR="00D045E0" w:rsidRDefault="00D045E0" w:rsidP="00D045E0">
      <w:pPr>
        <w:pStyle w:val="ListParagraph"/>
        <w:numPr>
          <w:ilvl w:val="0"/>
          <w:numId w:val="22"/>
        </w:numPr>
        <w:ind w:right="-22"/>
        <w:rPr>
          <w:rFonts w:eastAsia="Calibri" w:cs="Times New Roman"/>
          <w:szCs w:val="20"/>
          <w:lang w:val="en-GB"/>
        </w:rPr>
      </w:pPr>
      <w:r>
        <w:rPr>
          <w:rFonts w:eastAsia="Calibri" w:cs="Times New Roman"/>
          <w:szCs w:val="20"/>
          <w:lang w:val="en-GB"/>
        </w:rPr>
        <w:t>The number of carriers to monitor</w:t>
      </w:r>
    </w:p>
    <w:p w14:paraId="4DE09435" w14:textId="79072964" w:rsidR="00D045E0" w:rsidRDefault="00D045E0" w:rsidP="00D045E0">
      <w:pPr>
        <w:pStyle w:val="ListParagraph"/>
        <w:numPr>
          <w:ilvl w:val="0"/>
          <w:numId w:val="22"/>
        </w:numPr>
        <w:ind w:right="-22"/>
        <w:rPr>
          <w:rFonts w:eastAsia="Calibri" w:cs="Times New Roman"/>
          <w:szCs w:val="20"/>
          <w:lang w:val="en-GB"/>
        </w:rPr>
      </w:pPr>
      <w:r>
        <w:rPr>
          <w:rFonts w:eastAsia="Calibri" w:cs="Times New Roman"/>
          <w:szCs w:val="20"/>
          <w:lang w:val="en-GB"/>
        </w:rPr>
        <w:t>Idle mode measurements for EMR</w:t>
      </w:r>
    </w:p>
    <w:p w14:paraId="22CBE5A7" w14:textId="2E24E719" w:rsidR="00D045E0" w:rsidRDefault="00D045E0" w:rsidP="00D045E0">
      <w:pPr>
        <w:pStyle w:val="ListParagraph"/>
        <w:numPr>
          <w:ilvl w:val="0"/>
          <w:numId w:val="22"/>
        </w:numPr>
        <w:ind w:right="-22"/>
        <w:rPr>
          <w:rFonts w:eastAsia="Calibri" w:cs="Times New Roman"/>
          <w:szCs w:val="20"/>
          <w:lang w:val="en-GB"/>
        </w:rPr>
      </w:pPr>
      <w:r>
        <w:rPr>
          <w:rFonts w:eastAsia="Calibri" w:cs="Times New Roman"/>
          <w:szCs w:val="20"/>
          <w:lang w:val="en-GB"/>
        </w:rPr>
        <w:t>EMR behaviour at cell change</w:t>
      </w:r>
    </w:p>
    <w:p w14:paraId="58C27648" w14:textId="7415FD7F" w:rsidR="00D045E0" w:rsidRDefault="00D045E0" w:rsidP="00D045E0">
      <w:pPr>
        <w:pStyle w:val="ListParagraph"/>
        <w:numPr>
          <w:ilvl w:val="0"/>
          <w:numId w:val="22"/>
        </w:numPr>
        <w:ind w:right="-22"/>
        <w:rPr>
          <w:rFonts w:eastAsia="Calibri" w:cs="Times New Roman"/>
          <w:szCs w:val="20"/>
          <w:lang w:val="en-GB"/>
        </w:rPr>
      </w:pPr>
      <w:r>
        <w:rPr>
          <w:rFonts w:eastAsia="Calibri" w:cs="Times New Roman"/>
          <w:szCs w:val="20"/>
          <w:lang w:val="en-GB"/>
        </w:rPr>
        <w:t>Detected cell state assumption upon transitioning between states</w:t>
      </w:r>
    </w:p>
    <w:p w14:paraId="53A25FC5" w14:textId="00BC8AFF" w:rsidR="00D045E0" w:rsidRDefault="00D045E0" w:rsidP="00D045E0">
      <w:pPr>
        <w:ind w:right="-22"/>
        <w:rPr>
          <w:rFonts w:eastAsia="Calibri" w:cs="Times New Roman"/>
          <w:szCs w:val="20"/>
          <w:lang w:val="en-GB"/>
        </w:rPr>
      </w:pPr>
      <w:r>
        <w:rPr>
          <w:rFonts w:eastAsia="Calibri" w:cs="Times New Roman"/>
          <w:szCs w:val="20"/>
          <w:lang w:val="en-GB"/>
        </w:rPr>
        <w:t>In this paper we look at the different open aspects listed.</w:t>
      </w:r>
    </w:p>
    <w:p w14:paraId="5C2CFC73" w14:textId="1BDAB815" w:rsidR="00D045E0" w:rsidRDefault="00D045E0" w:rsidP="00D045E0">
      <w:pPr>
        <w:ind w:right="-22"/>
        <w:rPr>
          <w:rFonts w:eastAsia="Calibri" w:cs="Times New Roman"/>
          <w:szCs w:val="20"/>
          <w:lang w:val="en-GB"/>
        </w:rPr>
      </w:pPr>
    </w:p>
    <w:p w14:paraId="30D4B96C" w14:textId="20098FA3" w:rsidR="00CA2754" w:rsidRPr="00D045E0" w:rsidRDefault="00CA2754" w:rsidP="00CA2754">
      <w:pPr>
        <w:pStyle w:val="RAN4H2"/>
        <w:rPr>
          <w:rFonts w:eastAsia="Calibri"/>
          <w:lang w:val="en-GB"/>
        </w:rPr>
      </w:pPr>
      <w:r>
        <w:rPr>
          <w:rFonts w:eastAsia="Calibri"/>
          <w:lang w:val="en-GB"/>
        </w:rPr>
        <w:t>Overlapping and non-overlapping carriers</w:t>
      </w:r>
    </w:p>
    <w:p w14:paraId="637DC65D" w14:textId="77777777" w:rsidR="0071509B" w:rsidRDefault="0071509B" w:rsidP="00D045E0">
      <w:pPr>
        <w:ind w:right="-22"/>
        <w:rPr>
          <w:rFonts w:eastAsia="Calibri" w:cs="Times New Roman"/>
          <w:szCs w:val="20"/>
          <w:lang w:val="en-GB"/>
        </w:rPr>
      </w:pPr>
      <w:r>
        <w:rPr>
          <w:rFonts w:eastAsia="Calibri" w:cs="Times New Roman"/>
          <w:szCs w:val="20"/>
          <w:lang w:val="en-GB"/>
        </w:rPr>
        <w:t>In Reno meeting two options were discussed. Both options used the LTE definition as baseline:</w:t>
      </w:r>
    </w:p>
    <w:p w14:paraId="2214363F" w14:textId="3224BBF1" w:rsidR="0071509B" w:rsidRDefault="0071509B" w:rsidP="0071509B">
      <w:pPr>
        <w:pStyle w:val="ListParagraph"/>
        <w:numPr>
          <w:ilvl w:val="0"/>
          <w:numId w:val="23"/>
        </w:numPr>
        <w:ind w:right="-22"/>
        <w:rPr>
          <w:rFonts w:eastAsia="Calibri" w:cs="Times New Roman"/>
          <w:szCs w:val="20"/>
          <w:lang w:val="en-GB"/>
        </w:rPr>
      </w:pPr>
      <w:r>
        <w:rPr>
          <w:rFonts w:eastAsia="Calibri" w:cs="Times New Roman"/>
          <w:szCs w:val="20"/>
          <w:lang w:val="en-GB"/>
        </w:rPr>
        <w:t>Overlapping carrier is a carrier used for EMR and mobility</w:t>
      </w:r>
    </w:p>
    <w:p w14:paraId="7DE83143" w14:textId="17345E01" w:rsidR="0071509B" w:rsidRDefault="0071509B" w:rsidP="0071509B">
      <w:pPr>
        <w:pStyle w:val="ListParagraph"/>
        <w:numPr>
          <w:ilvl w:val="0"/>
          <w:numId w:val="23"/>
        </w:numPr>
        <w:ind w:right="-22"/>
        <w:rPr>
          <w:rFonts w:eastAsia="Calibri" w:cs="Times New Roman"/>
          <w:szCs w:val="20"/>
          <w:lang w:val="en-GB"/>
        </w:rPr>
      </w:pPr>
      <w:r>
        <w:rPr>
          <w:rFonts w:eastAsia="Calibri" w:cs="Times New Roman"/>
          <w:szCs w:val="20"/>
          <w:lang w:val="en-GB"/>
        </w:rPr>
        <w:t>Non-overlapping carrier is a carrier used only for EMR</w:t>
      </w:r>
    </w:p>
    <w:p w14:paraId="287D1594" w14:textId="312AF2C0" w:rsidR="00D045E0" w:rsidRDefault="0071509B" w:rsidP="00D045E0">
      <w:pPr>
        <w:ind w:right="-22"/>
        <w:rPr>
          <w:rFonts w:eastAsia="Calibri" w:cs="Times New Roman"/>
          <w:szCs w:val="20"/>
          <w:lang w:val="en-GB"/>
        </w:rPr>
      </w:pPr>
      <w:r>
        <w:rPr>
          <w:rFonts w:eastAsia="Calibri" w:cs="Times New Roman"/>
          <w:szCs w:val="20"/>
          <w:lang w:val="en-GB"/>
        </w:rPr>
        <w:t>The main difference between the proposals was the word ‘used’. Would this mean ‘configured’ or would it mean ‘actively measured’</w:t>
      </w:r>
    </w:p>
    <w:p w14:paraId="57AF7B94" w14:textId="340C121E" w:rsidR="0071509B" w:rsidRDefault="00CE25E1" w:rsidP="00D045E0">
      <w:pPr>
        <w:ind w:right="-22"/>
        <w:rPr>
          <w:rFonts w:eastAsia="Calibri" w:cs="Times New Roman"/>
          <w:szCs w:val="20"/>
          <w:lang w:val="en-GB"/>
        </w:rPr>
      </w:pPr>
      <w:r>
        <w:rPr>
          <w:rFonts w:eastAsia="Calibri" w:cs="Times New Roman"/>
          <w:szCs w:val="20"/>
          <w:lang w:val="en-GB"/>
        </w:rPr>
        <w:t xml:space="preserve">Although option 2 (actively measured) was tentatively agreed, it would need further clarifications as to what ‘actively measured’ means. Otherwise this approach may cause some problems related to what could be expected UE behaviour. the network can expect reported by the UE under different scenarios. </w:t>
      </w:r>
    </w:p>
    <w:p w14:paraId="4E1FCBF5" w14:textId="31E02F05" w:rsidR="00CE25E1" w:rsidRDefault="00CE25E1" w:rsidP="00D045E0">
      <w:pPr>
        <w:ind w:right="-22"/>
        <w:rPr>
          <w:rFonts w:eastAsia="Calibri" w:cs="Times New Roman"/>
          <w:szCs w:val="20"/>
          <w:lang w:val="en-GB"/>
        </w:rPr>
      </w:pPr>
      <w:r>
        <w:rPr>
          <w:rFonts w:eastAsia="Calibri" w:cs="Times New Roman"/>
          <w:szCs w:val="20"/>
          <w:lang w:val="en-GB"/>
        </w:rPr>
        <w:lastRenderedPageBreak/>
        <w:t>In one example, if the UE is configured with a carrier only used for EMR (i.e. non-overlapping carrier) the question is whether such carrier is actively measured or not. The answer to this question would depend on the outcome of discussion related to Idle mode measurements for EMR.</w:t>
      </w:r>
    </w:p>
    <w:p w14:paraId="5121FD18" w14:textId="5F3EDEFA" w:rsidR="00CE25E1" w:rsidRDefault="00CE25E1" w:rsidP="00D045E0">
      <w:pPr>
        <w:ind w:right="-22"/>
        <w:rPr>
          <w:rFonts w:eastAsia="Calibri" w:cs="Times New Roman"/>
          <w:szCs w:val="20"/>
          <w:lang w:val="en-GB"/>
        </w:rPr>
      </w:pPr>
      <w:r>
        <w:rPr>
          <w:rFonts w:eastAsia="Calibri" w:cs="Times New Roman"/>
          <w:szCs w:val="20"/>
          <w:lang w:val="en-GB"/>
        </w:rPr>
        <w:t xml:space="preserve">To avoid future </w:t>
      </w:r>
      <w:r w:rsidR="008A2B14">
        <w:rPr>
          <w:rFonts w:eastAsia="Calibri" w:cs="Times New Roman"/>
          <w:szCs w:val="20"/>
          <w:lang w:val="en-GB"/>
        </w:rPr>
        <w:t>ambiguity and</w:t>
      </w:r>
      <w:r>
        <w:rPr>
          <w:rFonts w:eastAsia="Calibri" w:cs="Times New Roman"/>
          <w:szCs w:val="20"/>
          <w:lang w:val="en-GB"/>
        </w:rPr>
        <w:t xml:space="preserve"> progress the work we propose to </w:t>
      </w:r>
      <w:r w:rsidR="008A2B14">
        <w:rPr>
          <w:rFonts w:eastAsia="Calibri" w:cs="Times New Roman"/>
          <w:szCs w:val="20"/>
          <w:lang w:val="en-GB"/>
        </w:rPr>
        <w:t>adapt the same definition as used in E-UTRAN. Hence, the definition is based on the configuration.</w:t>
      </w:r>
      <w:r>
        <w:rPr>
          <w:rFonts w:eastAsia="Calibri" w:cs="Times New Roman"/>
          <w:szCs w:val="20"/>
          <w:lang w:val="en-GB"/>
        </w:rPr>
        <w:t xml:space="preserve"> </w:t>
      </w:r>
    </w:p>
    <w:p w14:paraId="6404C19D" w14:textId="1CEFB953" w:rsidR="00CA2754" w:rsidRDefault="008A2B14" w:rsidP="008A2B14">
      <w:pPr>
        <w:pStyle w:val="RAN4proposal"/>
        <w:rPr>
          <w:lang w:val="en-GB"/>
        </w:rPr>
      </w:pPr>
      <w:r>
        <w:rPr>
          <w:lang w:val="en-GB"/>
        </w:rPr>
        <w:t>Ad</w:t>
      </w:r>
      <w:r w:rsidR="00ED5797">
        <w:rPr>
          <w:lang w:val="en-GB"/>
        </w:rPr>
        <w:t>o</w:t>
      </w:r>
      <w:r>
        <w:rPr>
          <w:lang w:val="en-GB"/>
        </w:rPr>
        <w:t>pt the LTE definition of overlapping and non-overlapping EMR carriers</w:t>
      </w:r>
    </w:p>
    <w:p w14:paraId="497E1013" w14:textId="590BB9AA" w:rsidR="008A2B14" w:rsidRPr="008A2B14" w:rsidRDefault="008A2B14" w:rsidP="008A2B14">
      <w:pPr>
        <w:pStyle w:val="RAN4proposal"/>
        <w:rPr>
          <w:lang w:val="en-GB"/>
        </w:rPr>
      </w:pPr>
      <w:r w:rsidRPr="008A2B14">
        <w:rPr>
          <w:lang w:val="en-GB"/>
        </w:rPr>
        <w:t>An overlapping carrier is defined as a carrier configured by higher layer for early measurement reporting and inter-frequency mobility measurements</w:t>
      </w:r>
      <w:r>
        <w:rPr>
          <w:lang w:val="en-GB"/>
        </w:rPr>
        <w:t>.</w:t>
      </w:r>
    </w:p>
    <w:p w14:paraId="601708D1" w14:textId="05E90FB1" w:rsidR="008A2B14" w:rsidRPr="008A2B14" w:rsidRDefault="008A2B14" w:rsidP="008A2B14">
      <w:pPr>
        <w:pStyle w:val="RAN4proposal"/>
        <w:rPr>
          <w:lang w:val="en-GB"/>
        </w:rPr>
      </w:pPr>
      <w:r w:rsidRPr="008A2B14">
        <w:rPr>
          <w:lang w:val="en-GB"/>
        </w:rPr>
        <w:t>A non-overlapping carrier is defined as a carrier configured by higher layer for early measurement reporting while not configured for inter-frequency mobility measurements</w:t>
      </w:r>
      <w:r>
        <w:rPr>
          <w:lang w:val="en-GB"/>
        </w:rPr>
        <w:t>.</w:t>
      </w:r>
    </w:p>
    <w:p w14:paraId="4B4A03A4" w14:textId="14373815" w:rsidR="008A2B14" w:rsidRDefault="008A2B14" w:rsidP="00D045E0">
      <w:pPr>
        <w:ind w:right="-22"/>
        <w:rPr>
          <w:rFonts w:eastAsia="Calibri" w:cs="Times New Roman"/>
          <w:szCs w:val="20"/>
          <w:lang w:val="en-GB"/>
        </w:rPr>
      </w:pPr>
      <w:r>
        <w:rPr>
          <w:rFonts w:eastAsia="Calibri" w:cs="Times New Roman"/>
          <w:szCs w:val="20"/>
          <w:lang w:val="en-GB"/>
        </w:rPr>
        <w:t xml:space="preserve">The details related to the idle mode measurement requirements for EMR carrier would then </w:t>
      </w:r>
      <w:r w:rsidR="00FE4FBC">
        <w:rPr>
          <w:rFonts w:eastAsia="Calibri" w:cs="Times New Roman"/>
          <w:szCs w:val="20"/>
          <w:lang w:val="en-GB"/>
        </w:rPr>
        <w:t xml:space="preserve">be </w:t>
      </w:r>
      <w:r>
        <w:rPr>
          <w:rFonts w:eastAsia="Calibri" w:cs="Times New Roman"/>
          <w:szCs w:val="20"/>
          <w:lang w:val="en-GB"/>
        </w:rPr>
        <w:t>defined as part of the measurement requirement work.</w:t>
      </w:r>
    </w:p>
    <w:p w14:paraId="465F32B3" w14:textId="77777777" w:rsidR="008A2B14" w:rsidRDefault="008A2B14" w:rsidP="00D045E0">
      <w:pPr>
        <w:ind w:right="-22"/>
        <w:rPr>
          <w:rFonts w:eastAsia="Calibri" w:cs="Times New Roman"/>
          <w:szCs w:val="20"/>
          <w:lang w:val="en-GB"/>
        </w:rPr>
      </w:pPr>
    </w:p>
    <w:p w14:paraId="6A560415" w14:textId="14303D01" w:rsidR="00CA2754" w:rsidRDefault="00CA2754" w:rsidP="00CA2754">
      <w:pPr>
        <w:pStyle w:val="RAN4H2"/>
        <w:rPr>
          <w:rFonts w:eastAsia="Calibri"/>
          <w:lang w:val="en-GB"/>
        </w:rPr>
      </w:pPr>
      <w:r>
        <w:rPr>
          <w:rFonts w:eastAsia="Calibri"/>
          <w:lang w:val="en-GB"/>
        </w:rPr>
        <w:t>Number of carriers to monitor</w:t>
      </w:r>
    </w:p>
    <w:p w14:paraId="4ED77FA1" w14:textId="212E8BAD" w:rsidR="00CA2754" w:rsidRDefault="00AD1DD0" w:rsidP="00D045E0">
      <w:pPr>
        <w:ind w:right="-22"/>
        <w:rPr>
          <w:rFonts w:eastAsia="Calibri" w:cs="Times New Roman"/>
          <w:szCs w:val="20"/>
          <w:lang w:val="en-GB"/>
        </w:rPr>
      </w:pPr>
      <w:r>
        <w:rPr>
          <w:rFonts w:eastAsia="Calibri" w:cs="Times New Roman"/>
          <w:szCs w:val="20"/>
          <w:lang w:val="en-GB"/>
        </w:rPr>
        <w:t xml:space="preserve">In Reno </w:t>
      </w:r>
      <w:proofErr w:type="gramStart"/>
      <w:r>
        <w:rPr>
          <w:rFonts w:eastAsia="Calibri" w:cs="Times New Roman"/>
          <w:szCs w:val="20"/>
          <w:lang w:val="en-GB"/>
        </w:rPr>
        <w:t>a number of</w:t>
      </w:r>
      <w:proofErr w:type="gramEnd"/>
      <w:r>
        <w:rPr>
          <w:rFonts w:eastAsia="Calibri" w:cs="Times New Roman"/>
          <w:szCs w:val="20"/>
          <w:lang w:val="en-GB"/>
        </w:rPr>
        <w:t xml:space="preserve"> slightly different options related to the number of carriers the UE would need to support for EMR, were listed.</w:t>
      </w:r>
    </w:p>
    <w:p w14:paraId="63ACB23E" w14:textId="2EBD7EBE" w:rsidR="00AD1DD0" w:rsidRDefault="00AD1DD0" w:rsidP="00D045E0">
      <w:pPr>
        <w:ind w:right="-22"/>
        <w:rPr>
          <w:rFonts w:eastAsia="Calibri" w:cs="Times New Roman"/>
          <w:szCs w:val="20"/>
          <w:lang w:val="en-GB"/>
        </w:rPr>
      </w:pPr>
      <w:r>
        <w:rPr>
          <w:rFonts w:eastAsia="Calibri" w:cs="Times New Roman"/>
          <w:szCs w:val="20"/>
          <w:lang w:val="en-GB"/>
        </w:rPr>
        <w:t xml:space="preserve">As noted, </w:t>
      </w:r>
      <w:r w:rsidRPr="00D045E0">
        <w:rPr>
          <w:rFonts w:eastAsia="Calibri" w:cs="Times New Roman"/>
          <w:szCs w:val="20"/>
          <w:lang w:val="en-GB"/>
        </w:rPr>
        <w:t>RAN4 has earlier agreed that the UE measurement capability will not change due to EMR</w:t>
      </w:r>
      <w:r>
        <w:rPr>
          <w:rFonts w:eastAsia="Calibri" w:cs="Times New Roman"/>
          <w:szCs w:val="20"/>
          <w:lang w:val="en-GB"/>
        </w:rPr>
        <w:t>. Hence, the UE measurement capability requirement is not increased due to configuration EMR. The understanding is if EMR is configured, the carriers for EMR will be part of the measurement capability. This means the requirements in 38.133 are unchanged even when EMR is configured (e.g. 7 NR inter-frequency carriers</w:t>
      </w:r>
      <w:r w:rsidR="00EB7009">
        <w:rPr>
          <w:rFonts w:eastAsia="Calibri" w:cs="Times New Roman"/>
          <w:szCs w:val="20"/>
          <w:lang w:val="en-GB"/>
        </w:rPr>
        <w:t xml:space="preserve"> and a total of 14 carriers</w:t>
      </w:r>
      <w:r>
        <w:rPr>
          <w:rFonts w:eastAsia="Calibri" w:cs="Times New Roman"/>
          <w:szCs w:val="20"/>
          <w:lang w:val="en-GB"/>
        </w:rPr>
        <w:t>).</w:t>
      </w:r>
    </w:p>
    <w:p w14:paraId="2C2FBF61" w14:textId="6FFFB891" w:rsidR="00AD1DD0" w:rsidRDefault="007B5C0F" w:rsidP="00D045E0">
      <w:pPr>
        <w:ind w:right="-22"/>
        <w:rPr>
          <w:rFonts w:eastAsia="Calibri" w:cs="Times New Roman"/>
          <w:szCs w:val="20"/>
          <w:lang w:val="en-GB"/>
        </w:rPr>
      </w:pPr>
      <w:r>
        <w:rPr>
          <w:rFonts w:eastAsia="Calibri" w:cs="Times New Roman"/>
          <w:szCs w:val="20"/>
          <w:lang w:val="en-GB"/>
        </w:rPr>
        <w:t xml:space="preserve">Looking at the number of NR carrier, the UE is assumed to support monitoring of at least 7 inter-frequency carriers. Out of these 7 carriers </w:t>
      </w:r>
      <w:proofErr w:type="gramStart"/>
      <w:r>
        <w:rPr>
          <w:rFonts w:eastAsia="Calibri" w:cs="Times New Roman"/>
          <w:szCs w:val="20"/>
          <w:lang w:val="en-GB"/>
        </w:rPr>
        <w:t>a number of</w:t>
      </w:r>
      <w:proofErr w:type="gramEnd"/>
      <w:r>
        <w:rPr>
          <w:rFonts w:eastAsia="Calibri" w:cs="Times New Roman"/>
          <w:szCs w:val="20"/>
          <w:lang w:val="en-GB"/>
        </w:rPr>
        <w:t xml:space="preserve"> carriers can be carriers configured for EMR, [N]. Of the [N] carriers, the UE can be configured with up to [A] overlapping carriers and up to [B] non-overlapping carriers.</w:t>
      </w:r>
    </w:p>
    <w:p w14:paraId="40588564" w14:textId="17993C36" w:rsidR="007B5C0F" w:rsidRDefault="007B5C0F" w:rsidP="00D045E0">
      <w:pPr>
        <w:ind w:right="-22"/>
        <w:rPr>
          <w:rFonts w:eastAsia="Calibri" w:cs="Times New Roman"/>
          <w:szCs w:val="20"/>
          <w:lang w:val="en-GB"/>
        </w:rPr>
      </w:pPr>
      <w:r>
        <w:rPr>
          <w:rFonts w:eastAsia="Calibri" w:cs="Times New Roman"/>
          <w:szCs w:val="20"/>
          <w:lang w:val="en-GB"/>
        </w:rPr>
        <w:t>What needs to be discussed and decided in RAN4 are:</w:t>
      </w:r>
    </w:p>
    <w:p w14:paraId="27AAB2C5" w14:textId="29DE984C" w:rsidR="007B5C0F" w:rsidRDefault="007B5C0F" w:rsidP="00D045E0">
      <w:pPr>
        <w:ind w:right="-22"/>
        <w:rPr>
          <w:rFonts w:eastAsia="Calibri" w:cs="Times New Roman"/>
          <w:szCs w:val="20"/>
          <w:lang w:val="en-GB"/>
        </w:rPr>
      </w:pPr>
      <w:r>
        <w:rPr>
          <w:rFonts w:eastAsia="Calibri" w:cs="Times New Roman"/>
          <w:szCs w:val="20"/>
          <w:lang w:val="en-GB"/>
        </w:rPr>
        <w:t xml:space="preserve">N: The total number EMR carriers. </w:t>
      </w:r>
      <w:r w:rsidR="005F03EA">
        <w:rPr>
          <w:rFonts w:eastAsia="Calibri" w:cs="Times New Roman"/>
          <w:szCs w:val="20"/>
          <w:lang w:val="en-GB"/>
        </w:rPr>
        <w:t>N = A + B.</w:t>
      </w:r>
    </w:p>
    <w:p w14:paraId="2083988D" w14:textId="555955CB" w:rsidR="007B5C0F" w:rsidRDefault="007B5C0F" w:rsidP="00D045E0">
      <w:pPr>
        <w:ind w:right="-22"/>
        <w:rPr>
          <w:rFonts w:eastAsia="Calibri" w:cs="Times New Roman"/>
          <w:szCs w:val="20"/>
          <w:lang w:val="en-GB"/>
        </w:rPr>
      </w:pPr>
      <w:r>
        <w:rPr>
          <w:rFonts w:eastAsia="Calibri" w:cs="Times New Roman"/>
          <w:szCs w:val="20"/>
          <w:lang w:val="en-GB"/>
        </w:rPr>
        <w:t>A: The number of overlapping carriers.</w:t>
      </w:r>
      <w:r w:rsidR="005F03EA">
        <w:rPr>
          <w:rFonts w:eastAsia="Calibri" w:cs="Times New Roman"/>
          <w:szCs w:val="20"/>
          <w:lang w:val="en-GB"/>
        </w:rPr>
        <w:t xml:space="preserve"> A = [</w:t>
      </w:r>
      <w:proofErr w:type="gramStart"/>
      <w:r w:rsidR="005F03EA">
        <w:rPr>
          <w:rFonts w:eastAsia="Calibri" w:cs="Times New Roman"/>
          <w:szCs w:val="20"/>
          <w:lang w:val="en-GB"/>
        </w:rPr>
        <w:t>0;x</w:t>
      </w:r>
      <w:proofErr w:type="gramEnd"/>
      <w:r w:rsidR="005F03EA">
        <w:rPr>
          <w:rFonts w:eastAsia="Calibri" w:cs="Times New Roman"/>
          <w:szCs w:val="20"/>
          <w:lang w:val="en-GB"/>
        </w:rPr>
        <w:t>]</w:t>
      </w:r>
    </w:p>
    <w:p w14:paraId="6CA79A03" w14:textId="5D7FE03A" w:rsidR="007B5C0F" w:rsidRDefault="007B5C0F" w:rsidP="00D045E0">
      <w:pPr>
        <w:ind w:right="-22"/>
        <w:rPr>
          <w:rFonts w:eastAsia="Calibri" w:cs="Times New Roman"/>
          <w:szCs w:val="20"/>
          <w:lang w:val="en-GB"/>
        </w:rPr>
      </w:pPr>
      <w:r>
        <w:rPr>
          <w:rFonts w:eastAsia="Calibri" w:cs="Times New Roman"/>
          <w:szCs w:val="20"/>
          <w:lang w:val="en-GB"/>
        </w:rPr>
        <w:t>B: The number of non-overlapping carriers.</w:t>
      </w:r>
      <w:r w:rsidR="005F03EA">
        <w:rPr>
          <w:rFonts w:eastAsia="Calibri" w:cs="Times New Roman"/>
          <w:szCs w:val="20"/>
          <w:lang w:val="en-GB"/>
        </w:rPr>
        <w:t xml:space="preserve"> B = [</w:t>
      </w:r>
      <w:proofErr w:type="gramStart"/>
      <w:r w:rsidR="005F03EA">
        <w:rPr>
          <w:rFonts w:eastAsia="Calibri" w:cs="Times New Roman"/>
          <w:szCs w:val="20"/>
          <w:lang w:val="en-GB"/>
        </w:rPr>
        <w:t>0;y</w:t>
      </w:r>
      <w:proofErr w:type="gramEnd"/>
      <w:r w:rsidR="005F03EA">
        <w:rPr>
          <w:rFonts w:eastAsia="Calibri" w:cs="Times New Roman"/>
          <w:szCs w:val="20"/>
          <w:lang w:val="en-GB"/>
        </w:rPr>
        <w:t>]</w:t>
      </w:r>
    </w:p>
    <w:p w14:paraId="39D1FB68" w14:textId="68B38991" w:rsidR="00FE4FBC" w:rsidRDefault="007B5C0F" w:rsidP="00D045E0">
      <w:pPr>
        <w:ind w:right="-22"/>
        <w:rPr>
          <w:rFonts w:eastAsia="Calibri" w:cs="Times New Roman"/>
          <w:szCs w:val="20"/>
          <w:lang w:val="en-GB"/>
        </w:rPr>
      </w:pPr>
      <w:r>
        <w:rPr>
          <w:rFonts w:eastAsia="Calibri" w:cs="Times New Roman"/>
          <w:szCs w:val="20"/>
          <w:lang w:val="en-GB"/>
        </w:rPr>
        <w:t>One aspect to address is the UE power consumption impact from performing EMR measurements</w:t>
      </w:r>
      <w:r w:rsidR="005F03EA">
        <w:rPr>
          <w:rFonts w:eastAsia="Calibri" w:cs="Times New Roman"/>
          <w:szCs w:val="20"/>
          <w:lang w:val="en-GB"/>
        </w:rPr>
        <w:t>. RAN2 has decided that measurements cell reselection and EMR are independent and hence e.g. search thresholds do not apply to EMR carriers.</w:t>
      </w:r>
    </w:p>
    <w:p w14:paraId="0C2E001C" w14:textId="594EFCA3" w:rsidR="005F03EA" w:rsidRDefault="005F03EA" w:rsidP="00D045E0">
      <w:pPr>
        <w:ind w:right="-22"/>
        <w:rPr>
          <w:rFonts w:eastAsia="Calibri" w:cs="Times New Roman"/>
          <w:szCs w:val="20"/>
          <w:lang w:val="en-GB"/>
        </w:rPr>
      </w:pPr>
      <w:r>
        <w:rPr>
          <w:rFonts w:eastAsia="Calibri" w:cs="Times New Roman"/>
          <w:szCs w:val="20"/>
          <w:lang w:val="en-GB"/>
        </w:rPr>
        <w:t xml:space="preserve">The 4 options in the WF all propose different combinations of above generic expression. However, it may be difficult to </w:t>
      </w:r>
      <w:proofErr w:type="gramStart"/>
      <w:r>
        <w:rPr>
          <w:rFonts w:eastAsia="Calibri" w:cs="Times New Roman"/>
          <w:szCs w:val="20"/>
          <w:lang w:val="en-GB"/>
        </w:rPr>
        <w:t>make a decision</w:t>
      </w:r>
      <w:proofErr w:type="gramEnd"/>
      <w:r>
        <w:rPr>
          <w:rFonts w:eastAsia="Calibri" w:cs="Times New Roman"/>
          <w:szCs w:val="20"/>
          <w:lang w:val="en-GB"/>
        </w:rPr>
        <w:t xml:space="preserve"> regarding the number of EMR carriers in total and </w:t>
      </w:r>
      <w:r w:rsidR="00ED2B07">
        <w:rPr>
          <w:rFonts w:eastAsia="Calibri" w:cs="Times New Roman"/>
          <w:szCs w:val="20"/>
          <w:lang w:val="en-GB"/>
        </w:rPr>
        <w:t>for overlapping and non-overlapping specifically, before the detailed idle mode measurements for EMR has been discussed.</w:t>
      </w:r>
    </w:p>
    <w:p w14:paraId="463ECF9B" w14:textId="19D91530" w:rsidR="00ED2B07" w:rsidRDefault="00ED2B07" w:rsidP="00D045E0">
      <w:pPr>
        <w:ind w:right="-22"/>
        <w:rPr>
          <w:rFonts w:eastAsia="Calibri" w:cs="Times New Roman"/>
          <w:szCs w:val="20"/>
          <w:lang w:val="en-GB"/>
        </w:rPr>
      </w:pPr>
      <w:r>
        <w:rPr>
          <w:rFonts w:eastAsia="Calibri" w:cs="Times New Roman"/>
          <w:szCs w:val="20"/>
          <w:lang w:val="en-GB"/>
        </w:rPr>
        <w:t>Therefore, we propose to agree following generic approach to progress the work.</w:t>
      </w:r>
    </w:p>
    <w:p w14:paraId="4DC118BD" w14:textId="6F7938CC" w:rsidR="00ED2B07" w:rsidRDefault="00ED2B07" w:rsidP="00ED2B07">
      <w:pPr>
        <w:pStyle w:val="RAN4proposal"/>
        <w:rPr>
          <w:lang w:val="en-GB"/>
        </w:rPr>
      </w:pPr>
      <w:r>
        <w:rPr>
          <w:lang w:val="en-GB"/>
        </w:rPr>
        <w:t xml:space="preserve">N: The total number EMR carriers, N </w:t>
      </w:r>
      <w:r>
        <w:rPr>
          <w:rFonts w:cs="Times New Roman"/>
          <w:lang w:val="en-GB"/>
        </w:rPr>
        <w:t>≤</w:t>
      </w:r>
      <w:r>
        <w:rPr>
          <w:lang w:val="en-GB"/>
        </w:rPr>
        <w:t xml:space="preserve"> 7; N = A + B.</w:t>
      </w:r>
    </w:p>
    <w:p w14:paraId="0ECED734" w14:textId="5B78F223" w:rsidR="00ED2B07" w:rsidRDefault="00ED2B07" w:rsidP="00ED2B07">
      <w:pPr>
        <w:pStyle w:val="RAN4proposal"/>
        <w:rPr>
          <w:lang w:val="en-GB"/>
        </w:rPr>
      </w:pPr>
      <w:r>
        <w:rPr>
          <w:lang w:val="en-GB"/>
        </w:rPr>
        <w:t>A: The number of overlapping carriers, A = [</w:t>
      </w:r>
      <w:proofErr w:type="gramStart"/>
      <w:r>
        <w:rPr>
          <w:lang w:val="en-GB"/>
        </w:rPr>
        <w:t>0;x</w:t>
      </w:r>
      <w:proofErr w:type="gramEnd"/>
      <w:r>
        <w:rPr>
          <w:lang w:val="en-GB"/>
        </w:rPr>
        <w:t>]</w:t>
      </w:r>
    </w:p>
    <w:p w14:paraId="4C76588A" w14:textId="4D4637D7" w:rsidR="00ED2B07" w:rsidRDefault="00ED2B07" w:rsidP="00ED2B07">
      <w:pPr>
        <w:pStyle w:val="RAN4proposal"/>
        <w:rPr>
          <w:lang w:val="en-GB"/>
        </w:rPr>
      </w:pPr>
      <w:r>
        <w:rPr>
          <w:lang w:val="en-GB"/>
        </w:rPr>
        <w:t>B: The number of non-overlapping carriers, B = [</w:t>
      </w:r>
      <w:proofErr w:type="gramStart"/>
      <w:r>
        <w:rPr>
          <w:lang w:val="en-GB"/>
        </w:rPr>
        <w:t>0;y</w:t>
      </w:r>
      <w:proofErr w:type="gramEnd"/>
      <w:r>
        <w:rPr>
          <w:lang w:val="en-GB"/>
        </w:rPr>
        <w:t>]</w:t>
      </w:r>
    </w:p>
    <w:p w14:paraId="4BC491E5" w14:textId="77777777" w:rsidR="00ED2B07" w:rsidRDefault="00ED2B07" w:rsidP="00D045E0">
      <w:pPr>
        <w:ind w:right="-22"/>
        <w:rPr>
          <w:rFonts w:eastAsia="Calibri" w:cs="Times New Roman"/>
          <w:szCs w:val="20"/>
          <w:lang w:val="en-GB"/>
        </w:rPr>
      </w:pPr>
    </w:p>
    <w:p w14:paraId="0F4FDDA4" w14:textId="2148163A" w:rsidR="00CA2754" w:rsidRDefault="00CA2754" w:rsidP="00CA2754">
      <w:pPr>
        <w:pStyle w:val="RAN4H2"/>
        <w:rPr>
          <w:rFonts w:eastAsia="Calibri"/>
          <w:lang w:val="en-GB"/>
        </w:rPr>
      </w:pPr>
      <w:r>
        <w:rPr>
          <w:rFonts w:eastAsia="Calibri"/>
          <w:lang w:val="en-GB"/>
        </w:rPr>
        <w:lastRenderedPageBreak/>
        <w:t>Idle mode measurements for EMR</w:t>
      </w:r>
    </w:p>
    <w:p w14:paraId="2D0EF38C" w14:textId="2CE6D5D1" w:rsidR="002E47BB" w:rsidRDefault="002E47BB" w:rsidP="00D045E0">
      <w:pPr>
        <w:ind w:right="-22"/>
        <w:rPr>
          <w:rFonts w:eastAsia="Calibri" w:cs="Times New Roman"/>
          <w:szCs w:val="20"/>
          <w:lang w:val="en-GB"/>
        </w:rPr>
      </w:pPr>
      <w:r>
        <w:rPr>
          <w:rFonts w:eastAsia="Calibri" w:cs="Times New Roman"/>
          <w:szCs w:val="20"/>
          <w:lang w:val="en-GB"/>
        </w:rPr>
        <w:t>When discussing EMR measurement RAN4 should initially discuss the actual measurement requirements and accuracy for the NR EMR carriers. Additionally, RAN4 should also discuss the overall UE measurement effort and latency and this can be improved by use of EMR.</w:t>
      </w:r>
    </w:p>
    <w:p w14:paraId="2EA58739" w14:textId="7BAF0B55" w:rsidR="002E47BB" w:rsidRDefault="002E47BB" w:rsidP="002E47BB">
      <w:pPr>
        <w:pStyle w:val="RAN4H3"/>
        <w:rPr>
          <w:lang w:val="en-GB"/>
        </w:rPr>
      </w:pPr>
      <w:r>
        <w:rPr>
          <w:lang w:val="en-GB"/>
        </w:rPr>
        <w:t>Measurement requirements for NR EMR carriers</w:t>
      </w:r>
    </w:p>
    <w:p w14:paraId="0327B52F" w14:textId="77777777" w:rsidR="002E47BB" w:rsidRDefault="002E47BB" w:rsidP="00D045E0">
      <w:pPr>
        <w:ind w:right="-22"/>
        <w:rPr>
          <w:rFonts w:eastAsia="Calibri" w:cs="Times New Roman"/>
          <w:szCs w:val="20"/>
          <w:lang w:val="en-GB"/>
        </w:rPr>
      </w:pPr>
      <w:r>
        <w:rPr>
          <w:rFonts w:eastAsia="Calibri" w:cs="Times New Roman"/>
          <w:szCs w:val="20"/>
        </w:rPr>
        <w:t xml:space="preserve">As mentioned, </w:t>
      </w:r>
      <w:r>
        <w:rPr>
          <w:rFonts w:eastAsia="Calibri" w:cs="Times New Roman"/>
          <w:szCs w:val="20"/>
          <w:lang w:val="en-GB"/>
        </w:rPr>
        <w:t>RAN2 has decided that measurements cell reselection and EMR are independent and hence e.g. existing search thresholds (</w:t>
      </w:r>
      <w:proofErr w:type="spellStart"/>
      <w:r w:rsidRPr="00241959">
        <w:t>S</w:t>
      </w:r>
      <w:r w:rsidRPr="00241959">
        <w:rPr>
          <w:vertAlign w:val="subscript"/>
        </w:rPr>
        <w:t>nonIntraSearchP</w:t>
      </w:r>
      <w:proofErr w:type="spellEnd"/>
      <w:r>
        <w:t xml:space="preserve"> and </w:t>
      </w:r>
      <w:proofErr w:type="spellStart"/>
      <w:r w:rsidRPr="00241959">
        <w:t>S</w:t>
      </w:r>
      <w:r w:rsidRPr="00241959">
        <w:rPr>
          <w:vertAlign w:val="subscript"/>
        </w:rPr>
        <w:t>nonIntraSearch</w:t>
      </w:r>
      <w:r>
        <w:rPr>
          <w:vertAlign w:val="subscript"/>
        </w:rPr>
        <w:t>Q</w:t>
      </w:r>
      <w:proofErr w:type="spellEnd"/>
      <w:r>
        <w:rPr>
          <w:rFonts w:eastAsia="Calibri" w:cs="Times New Roman"/>
          <w:szCs w:val="20"/>
          <w:lang w:val="en-GB"/>
        </w:rPr>
        <w:t>) for inter-frequency measurements do not apply to EMR carriers in NR.</w:t>
      </w:r>
    </w:p>
    <w:p w14:paraId="5ED33CD3" w14:textId="10DCD6C3" w:rsidR="00CA2754" w:rsidRDefault="006936F1" w:rsidP="00D045E0">
      <w:pPr>
        <w:ind w:right="-22"/>
        <w:rPr>
          <w:rFonts w:eastAsia="Calibri" w:cs="Times New Roman"/>
          <w:szCs w:val="20"/>
          <w:lang w:val="en-GB"/>
        </w:rPr>
      </w:pPr>
      <w:r>
        <w:rPr>
          <w:rFonts w:eastAsia="Calibri" w:cs="Times New Roman"/>
          <w:szCs w:val="20"/>
          <w:lang w:val="en-GB"/>
        </w:rPr>
        <w:t>This is aligned with</w:t>
      </w:r>
      <w:r w:rsidR="00715F1A">
        <w:rPr>
          <w:rFonts w:eastAsia="Calibri" w:cs="Times New Roman"/>
          <w:szCs w:val="20"/>
          <w:lang w:val="en-GB"/>
        </w:rPr>
        <w:t xml:space="preserve"> E-UTRAN </w:t>
      </w:r>
      <w:r>
        <w:rPr>
          <w:rFonts w:eastAsia="Calibri" w:cs="Times New Roman"/>
          <w:szCs w:val="20"/>
          <w:lang w:val="en-GB"/>
        </w:rPr>
        <w:t xml:space="preserve">where </w:t>
      </w:r>
      <w:r w:rsidR="00715F1A">
        <w:rPr>
          <w:rFonts w:eastAsia="Calibri" w:cs="Times New Roman"/>
          <w:szCs w:val="20"/>
          <w:lang w:val="en-GB"/>
        </w:rPr>
        <w:t>the search thresholds do not apply for overlapping EMR carriers. Meanwhile the non-overlapping EMR carriers are not required to be measured continuously. Specifically, 36.133 states:</w:t>
      </w:r>
    </w:p>
    <w:p w14:paraId="08081A4A" w14:textId="77777777" w:rsidR="00715F1A" w:rsidRPr="00715F1A" w:rsidRDefault="00715F1A" w:rsidP="00715F1A">
      <w:pPr>
        <w:ind w:left="720" w:right="-22"/>
        <w:rPr>
          <w:rFonts w:eastAsia="Calibri" w:cs="Times New Roman"/>
          <w:i/>
          <w:iCs/>
          <w:szCs w:val="20"/>
        </w:rPr>
      </w:pPr>
      <w:r w:rsidRPr="00715F1A">
        <w:rPr>
          <w:rFonts w:eastAsia="Calibri" w:cs="Times New Roman"/>
          <w:i/>
          <w:iCs/>
          <w:szCs w:val="20"/>
        </w:rPr>
        <w:t>While T331 is running, the UE shall perform measurement on the configured overlapping and non-overlapping inter-frequency carriers for idle mode measurement reporting.</w:t>
      </w:r>
    </w:p>
    <w:p w14:paraId="39E52C53" w14:textId="77777777" w:rsidR="00715F1A" w:rsidRPr="00715F1A" w:rsidRDefault="00715F1A" w:rsidP="00715F1A">
      <w:pPr>
        <w:ind w:left="720" w:right="-22"/>
        <w:rPr>
          <w:rFonts w:eastAsia="Calibri" w:cs="Times New Roman"/>
          <w:i/>
          <w:iCs/>
          <w:szCs w:val="20"/>
          <w:lang w:val="en-GB"/>
        </w:rPr>
      </w:pPr>
      <w:r w:rsidRPr="00715F1A">
        <w:rPr>
          <w:rFonts w:eastAsia="Calibri" w:cs="Times New Roman"/>
          <w:i/>
          <w:iCs/>
          <w:szCs w:val="20"/>
          <w:lang w:val="en-GB"/>
        </w:rPr>
        <w:t>A UE which supports ca-</w:t>
      </w:r>
      <w:proofErr w:type="spellStart"/>
      <w:r w:rsidRPr="00715F1A">
        <w:rPr>
          <w:rFonts w:eastAsia="Calibri" w:cs="Times New Roman"/>
          <w:i/>
          <w:iCs/>
          <w:szCs w:val="20"/>
          <w:lang w:val="en-GB"/>
        </w:rPr>
        <w:t>IdleModeMeasurements</w:t>
      </w:r>
      <w:proofErr w:type="spellEnd"/>
      <w:r w:rsidRPr="00715F1A" w:rsidDel="00C363C4">
        <w:rPr>
          <w:rFonts w:eastAsia="Calibri" w:cs="Times New Roman"/>
          <w:i/>
          <w:iCs/>
          <w:szCs w:val="20"/>
        </w:rPr>
        <w:t xml:space="preserve"> </w:t>
      </w:r>
      <w:r w:rsidRPr="00715F1A">
        <w:rPr>
          <w:rFonts w:eastAsia="Calibri" w:cs="Times New Roman"/>
          <w:i/>
          <w:iCs/>
          <w:szCs w:val="20"/>
        </w:rPr>
        <w:t>shall support the idle mode CA measurements of at least [1, 2 or 3] inter-frequency carriers of which zero or one inter-frequency carrier may be a non-overlapping carrier</w:t>
      </w:r>
      <w:r w:rsidRPr="00715F1A">
        <w:rPr>
          <w:rFonts w:eastAsia="Calibri" w:cs="Times New Roman"/>
          <w:i/>
          <w:iCs/>
          <w:szCs w:val="20"/>
          <w:lang w:val="en-GB"/>
        </w:rPr>
        <w:t>.</w:t>
      </w:r>
    </w:p>
    <w:p w14:paraId="27E242C5" w14:textId="77777777" w:rsidR="00715F1A" w:rsidRPr="00715F1A" w:rsidRDefault="00715F1A" w:rsidP="00715F1A">
      <w:pPr>
        <w:ind w:left="720" w:right="-22"/>
        <w:rPr>
          <w:rFonts w:eastAsia="Calibri" w:cs="Times New Roman"/>
          <w:i/>
          <w:iCs/>
          <w:szCs w:val="20"/>
        </w:rPr>
      </w:pPr>
      <w:r w:rsidRPr="00715F1A">
        <w:rPr>
          <w:rFonts w:eastAsia="Calibri" w:cs="Times New Roman"/>
          <w:i/>
          <w:iCs/>
          <w:szCs w:val="20"/>
        </w:rPr>
        <w:t>For overlapping carriers, the inter-frequency measurement requirements in section 4.2.2.4 apply.</w:t>
      </w:r>
    </w:p>
    <w:p w14:paraId="2E285882" w14:textId="77777777" w:rsidR="00715F1A" w:rsidRPr="00715F1A" w:rsidRDefault="00715F1A" w:rsidP="00715F1A">
      <w:pPr>
        <w:ind w:left="720" w:right="-22"/>
        <w:rPr>
          <w:rFonts w:eastAsia="Calibri" w:cs="Times New Roman"/>
          <w:i/>
          <w:iCs/>
          <w:szCs w:val="20"/>
        </w:rPr>
      </w:pPr>
      <w:r w:rsidRPr="00715F1A">
        <w:rPr>
          <w:rFonts w:eastAsia="Calibri" w:cs="Times New Roman"/>
          <w:i/>
          <w:iCs/>
          <w:szCs w:val="20"/>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34BCB1F7" w14:textId="7E791E66" w:rsidR="006936F1" w:rsidRDefault="006936F1" w:rsidP="00D045E0">
      <w:pPr>
        <w:ind w:right="-22"/>
        <w:rPr>
          <w:rFonts w:eastAsia="Calibri" w:cs="Times New Roman"/>
          <w:szCs w:val="20"/>
        </w:rPr>
      </w:pPr>
      <w:r>
        <w:rPr>
          <w:rFonts w:eastAsia="Calibri" w:cs="Times New Roman"/>
          <w:szCs w:val="20"/>
        </w:rPr>
        <w:t xml:space="preserve">Considering overlapping carriers, our view is that for NR overlapping </w:t>
      </w:r>
      <w:r w:rsidR="001D117A">
        <w:rPr>
          <w:rFonts w:eastAsia="Calibri" w:cs="Times New Roman"/>
          <w:szCs w:val="20"/>
        </w:rPr>
        <w:t xml:space="preserve">EMR </w:t>
      </w:r>
      <w:r>
        <w:rPr>
          <w:rFonts w:eastAsia="Calibri" w:cs="Times New Roman"/>
          <w:szCs w:val="20"/>
        </w:rPr>
        <w:t>carriers</w:t>
      </w:r>
      <w:r w:rsidR="001D117A">
        <w:rPr>
          <w:rFonts w:eastAsia="Calibri" w:cs="Times New Roman"/>
          <w:szCs w:val="20"/>
        </w:rPr>
        <w:t>,</w:t>
      </w:r>
      <w:r>
        <w:rPr>
          <w:rFonts w:eastAsia="Calibri" w:cs="Times New Roman"/>
          <w:szCs w:val="20"/>
        </w:rPr>
        <w:t xml:space="preserve"> RAN4 could ad</w:t>
      </w:r>
      <w:r w:rsidR="001D117A">
        <w:rPr>
          <w:rFonts w:eastAsia="Calibri" w:cs="Times New Roman"/>
          <w:szCs w:val="20"/>
        </w:rPr>
        <w:t>o</w:t>
      </w:r>
      <w:r>
        <w:rPr>
          <w:rFonts w:eastAsia="Calibri" w:cs="Times New Roman"/>
          <w:szCs w:val="20"/>
        </w:rPr>
        <w:t>pt the E-UTRAN measurement requirements for overlapping EMR carriers.</w:t>
      </w:r>
    </w:p>
    <w:p w14:paraId="180101FD" w14:textId="728C80C8" w:rsidR="006936F1" w:rsidRPr="006936F1" w:rsidRDefault="006936F1" w:rsidP="006936F1">
      <w:pPr>
        <w:pStyle w:val="RAN4proposal"/>
      </w:pPr>
      <w:r w:rsidRPr="00715F1A">
        <w:rPr>
          <w:rFonts w:eastAsia="Calibri" w:cs="Times New Roman"/>
          <w:szCs w:val="20"/>
        </w:rPr>
        <w:t>While T331 is running, the UE shall perform measurement</w:t>
      </w:r>
      <w:r w:rsidRPr="006936F1">
        <w:rPr>
          <w:rFonts w:eastAsia="Calibri" w:cs="Times New Roman"/>
          <w:szCs w:val="20"/>
        </w:rPr>
        <w:t xml:space="preserve">s and fulfil the </w:t>
      </w:r>
      <w:r w:rsidR="001D117A">
        <w:rPr>
          <w:rFonts w:eastAsia="Calibri" w:cs="Times New Roman"/>
          <w:szCs w:val="20"/>
        </w:rPr>
        <w:t>‘</w:t>
      </w:r>
      <w:r w:rsidRPr="006936F1">
        <w:rPr>
          <w:rFonts w:eastAsia="Calibri" w:cs="Times New Roman"/>
          <w:szCs w:val="20"/>
        </w:rPr>
        <w:t>inter-frequency</w:t>
      </w:r>
      <w:r w:rsidR="001D117A">
        <w:rPr>
          <w:rFonts w:eastAsia="Calibri" w:cs="Times New Roman"/>
          <w:szCs w:val="20"/>
        </w:rPr>
        <w:t>’</w:t>
      </w:r>
      <w:r w:rsidRPr="006936F1">
        <w:rPr>
          <w:rFonts w:eastAsia="Calibri" w:cs="Times New Roman"/>
          <w:szCs w:val="20"/>
        </w:rPr>
        <w:t xml:space="preserve"> measurement requirements</w:t>
      </w:r>
      <w:r w:rsidRPr="00715F1A">
        <w:rPr>
          <w:rFonts w:eastAsia="Calibri" w:cs="Times New Roman"/>
          <w:szCs w:val="20"/>
        </w:rPr>
        <w:t xml:space="preserve"> on the configured overlapping</w:t>
      </w:r>
      <w:r w:rsidRPr="006936F1">
        <w:rPr>
          <w:rFonts w:eastAsia="Calibri" w:cs="Times New Roman"/>
          <w:szCs w:val="20"/>
        </w:rPr>
        <w:t xml:space="preserve"> EMR carriers.</w:t>
      </w:r>
    </w:p>
    <w:p w14:paraId="058160A3" w14:textId="73AE65A6" w:rsidR="001D117A" w:rsidRDefault="001D117A" w:rsidP="00D045E0">
      <w:pPr>
        <w:ind w:right="-22"/>
        <w:rPr>
          <w:rFonts w:eastAsia="Calibri" w:cs="Times New Roman"/>
          <w:szCs w:val="20"/>
        </w:rPr>
      </w:pPr>
      <w:r>
        <w:rPr>
          <w:rFonts w:eastAsia="Calibri" w:cs="Times New Roman"/>
          <w:szCs w:val="20"/>
        </w:rPr>
        <w:t>Where the ‘inter-frequency’ measurement accuracy would need to be discussed further.</w:t>
      </w:r>
    </w:p>
    <w:p w14:paraId="69611715" w14:textId="4D7B43F2" w:rsidR="00DE27B7" w:rsidRDefault="001D117A" w:rsidP="00D045E0">
      <w:pPr>
        <w:ind w:right="-22"/>
        <w:rPr>
          <w:rFonts w:eastAsia="Calibri" w:cs="Times New Roman"/>
          <w:szCs w:val="20"/>
        </w:rPr>
      </w:pPr>
      <w:r>
        <w:rPr>
          <w:rFonts w:eastAsia="Calibri" w:cs="Times New Roman"/>
          <w:szCs w:val="20"/>
        </w:rPr>
        <w:t xml:space="preserve">Additionally, </w:t>
      </w:r>
      <w:r w:rsidR="00DE27B7">
        <w:rPr>
          <w:rFonts w:eastAsia="Calibri" w:cs="Times New Roman"/>
          <w:szCs w:val="20"/>
        </w:rPr>
        <w:t xml:space="preserve">RAN4 would need to discuss the measurement requirements for </w:t>
      </w:r>
      <w:r w:rsidR="00EC0BD9">
        <w:rPr>
          <w:rFonts w:eastAsia="Calibri" w:cs="Times New Roman"/>
          <w:szCs w:val="20"/>
        </w:rPr>
        <w:t xml:space="preserve">the </w:t>
      </w:r>
      <w:r w:rsidR="00DE27B7">
        <w:rPr>
          <w:rFonts w:eastAsia="Calibri" w:cs="Times New Roman"/>
          <w:szCs w:val="20"/>
        </w:rPr>
        <w:t xml:space="preserve">non-overlapping </w:t>
      </w:r>
      <w:r>
        <w:rPr>
          <w:rFonts w:eastAsia="Calibri" w:cs="Times New Roman"/>
          <w:szCs w:val="20"/>
        </w:rPr>
        <w:t xml:space="preserve">EMR </w:t>
      </w:r>
      <w:r w:rsidR="00DE27B7">
        <w:rPr>
          <w:rFonts w:eastAsia="Calibri" w:cs="Times New Roman"/>
          <w:szCs w:val="20"/>
        </w:rPr>
        <w:t xml:space="preserve">carriers in NR. </w:t>
      </w:r>
      <w:r>
        <w:rPr>
          <w:rFonts w:eastAsia="Calibri" w:cs="Times New Roman"/>
          <w:szCs w:val="20"/>
        </w:rPr>
        <w:t>We believe the current E-UTRAN measurement requirements for non-overlapping carriers are too relaxed which compromises the measurement result accuracy and potential use of non-overlapping carriers.</w:t>
      </w:r>
    </w:p>
    <w:p w14:paraId="0CEA7AE7" w14:textId="6FE68242" w:rsidR="001D117A" w:rsidRDefault="001D117A" w:rsidP="001D117A">
      <w:pPr>
        <w:pStyle w:val="RAN4observation0"/>
      </w:pPr>
      <w:r>
        <w:t>E-UTRAN measurement requirements for non-overlapping carriers are very relaxed.</w:t>
      </w:r>
    </w:p>
    <w:p w14:paraId="41059A3A" w14:textId="77777777" w:rsidR="001D117A" w:rsidRDefault="001D117A" w:rsidP="00D045E0">
      <w:pPr>
        <w:ind w:right="-22"/>
        <w:rPr>
          <w:rFonts w:eastAsia="Calibri" w:cs="Times New Roman"/>
          <w:szCs w:val="20"/>
          <w:lang w:val="en-GB"/>
        </w:rPr>
      </w:pPr>
      <w:r>
        <w:rPr>
          <w:rFonts w:eastAsia="Calibri" w:cs="Times New Roman"/>
          <w:szCs w:val="20"/>
          <w:lang w:val="en-GB"/>
        </w:rPr>
        <w:t>We would prefer to tighten the measurements requirements for NR EMR to improve the measurement accuracy. This would help when using the EMR on the network side for setting up CA.</w:t>
      </w:r>
    </w:p>
    <w:p w14:paraId="5F74E4FE" w14:textId="3B9C8BB6" w:rsidR="001D117A" w:rsidRDefault="001D117A" w:rsidP="001D117A">
      <w:pPr>
        <w:pStyle w:val="RAN4proposal"/>
        <w:rPr>
          <w:lang w:val="en-GB"/>
        </w:rPr>
      </w:pPr>
      <w:r>
        <w:rPr>
          <w:lang w:val="en-GB"/>
        </w:rPr>
        <w:t xml:space="preserve"> Discuss tightening of the EMR measurements and accuracy for NR EMR carriers</w:t>
      </w:r>
    </w:p>
    <w:p w14:paraId="7FA8A3E6" w14:textId="16C25519" w:rsidR="001D117A" w:rsidRPr="001D117A" w:rsidRDefault="001D117A" w:rsidP="001D117A">
      <w:pPr>
        <w:rPr>
          <w:lang w:val="en-GB"/>
        </w:rPr>
      </w:pPr>
      <w:r>
        <w:rPr>
          <w:lang w:val="en-GB"/>
        </w:rPr>
        <w:t xml:space="preserve">This would help in reducing CA setup delay </w:t>
      </w:r>
      <w:r w:rsidR="002E47BB">
        <w:rPr>
          <w:lang w:val="en-GB"/>
        </w:rPr>
        <w:t>and improve the overall performance of the feature. Any tightening would of course need to consider the impact on the UE power consumption.</w:t>
      </w:r>
    </w:p>
    <w:p w14:paraId="6751051F" w14:textId="384753DC" w:rsidR="002E47BB" w:rsidRDefault="002E47BB" w:rsidP="00D045E0">
      <w:pPr>
        <w:ind w:right="-22"/>
        <w:rPr>
          <w:rFonts w:eastAsia="Calibri" w:cs="Times New Roman"/>
          <w:szCs w:val="20"/>
        </w:rPr>
      </w:pPr>
    </w:p>
    <w:p w14:paraId="2368E61B" w14:textId="2E19894D" w:rsidR="002E47BB" w:rsidRDefault="002E47BB" w:rsidP="002E47BB">
      <w:pPr>
        <w:pStyle w:val="RAN4H3"/>
      </w:pPr>
      <w:r>
        <w:t>EMR and non-EMR measurement requirements</w:t>
      </w:r>
    </w:p>
    <w:p w14:paraId="0FAAD700" w14:textId="4386B54C" w:rsidR="002E47BB" w:rsidRDefault="002E47BB" w:rsidP="002E47BB">
      <w:pPr>
        <w:ind w:right="-22"/>
        <w:rPr>
          <w:rFonts w:eastAsia="Calibri" w:cs="Times New Roman"/>
          <w:szCs w:val="20"/>
          <w:lang w:val="en-GB"/>
        </w:rPr>
      </w:pPr>
      <w:r>
        <w:rPr>
          <w:rFonts w:eastAsia="Calibri" w:cs="Times New Roman"/>
          <w:szCs w:val="20"/>
          <w:lang w:val="en-GB"/>
        </w:rPr>
        <w:t>In RAN4#93 the EMR and non-EMR measurement effort and measurement delays were discussed and captured in the WF. RAN4 discussed the aspect of reducing the measurement effort and delays focusing the measurement types to certain areas e.g. by use of thresholds. Such approach could help in focusing the UE measurements which can also help reducing the UE measurement effort and thereby UE power consumption.</w:t>
      </w:r>
    </w:p>
    <w:p w14:paraId="2806E781" w14:textId="318FFE71" w:rsidR="002E47BB" w:rsidRDefault="002E47BB" w:rsidP="002E47BB">
      <w:pPr>
        <w:ind w:right="-22"/>
        <w:rPr>
          <w:rFonts w:eastAsia="Calibri" w:cs="Times New Roman"/>
          <w:szCs w:val="20"/>
          <w:lang w:val="en-GB"/>
        </w:rPr>
      </w:pPr>
      <w:r>
        <w:rPr>
          <w:rFonts w:eastAsia="Calibri" w:cs="Times New Roman"/>
          <w:szCs w:val="20"/>
          <w:lang w:val="en-GB"/>
        </w:rPr>
        <w:t xml:space="preserve">When not applying the </w:t>
      </w:r>
      <w:proofErr w:type="spellStart"/>
      <w:proofErr w:type="gramStart"/>
      <w:r>
        <w:rPr>
          <w:rFonts w:eastAsia="Calibri" w:cs="Times New Roman"/>
          <w:szCs w:val="20"/>
          <w:lang w:val="en-GB"/>
        </w:rPr>
        <w:t>inter.frequency</w:t>
      </w:r>
      <w:proofErr w:type="spellEnd"/>
      <w:proofErr w:type="gramEnd"/>
      <w:r>
        <w:rPr>
          <w:rFonts w:eastAsia="Calibri" w:cs="Times New Roman"/>
          <w:szCs w:val="20"/>
          <w:lang w:val="en-GB"/>
        </w:rPr>
        <w:t xml:space="preserve"> search thresholds the UE</w:t>
      </w:r>
      <w:r w:rsidR="00A30049">
        <w:rPr>
          <w:rFonts w:eastAsia="Calibri" w:cs="Times New Roman"/>
          <w:szCs w:val="20"/>
          <w:lang w:val="en-GB"/>
        </w:rPr>
        <w:t xml:space="preserve"> would measure EMR and non-EMR carriers as</w:t>
      </w:r>
      <w:r>
        <w:rPr>
          <w:rFonts w:eastAsia="Calibri" w:cs="Times New Roman"/>
          <w:szCs w:val="20"/>
          <w:lang w:val="en-GB"/>
        </w:rPr>
        <w:t xml:space="preserve"> follow</w:t>
      </w:r>
      <w:r w:rsidR="00A30049">
        <w:rPr>
          <w:rFonts w:eastAsia="Calibri" w:cs="Times New Roman"/>
          <w:szCs w:val="20"/>
          <w:lang w:val="en-GB"/>
        </w:rPr>
        <w:t>s</w:t>
      </w:r>
      <w:r>
        <w:rPr>
          <w:rFonts w:eastAsia="Calibri" w:cs="Times New Roman"/>
          <w:szCs w:val="20"/>
          <w:lang w:val="en-GB"/>
        </w:rPr>
        <w:t>:</w:t>
      </w:r>
    </w:p>
    <w:p w14:paraId="2BEC04CD" w14:textId="77777777" w:rsidR="002E47BB" w:rsidRDefault="002E47BB" w:rsidP="002E47BB">
      <w:pPr>
        <w:pStyle w:val="ListParagraph"/>
        <w:numPr>
          <w:ilvl w:val="0"/>
          <w:numId w:val="23"/>
        </w:numPr>
        <w:ind w:right="-22"/>
        <w:rPr>
          <w:rFonts w:eastAsia="Calibri" w:cs="Times New Roman"/>
          <w:szCs w:val="20"/>
          <w:lang w:val="en-GB"/>
        </w:rPr>
      </w:pPr>
      <w:r>
        <w:rPr>
          <w:rFonts w:eastAsia="Calibri" w:cs="Times New Roman"/>
          <w:szCs w:val="20"/>
          <w:lang w:val="en-GB"/>
        </w:rPr>
        <w:t xml:space="preserve">Non-EMR carriers are measured obeying configured </w:t>
      </w:r>
      <w:proofErr w:type="spellStart"/>
      <w:r w:rsidRPr="00241959">
        <w:t>S</w:t>
      </w:r>
      <w:r w:rsidRPr="00241959">
        <w:rPr>
          <w:vertAlign w:val="subscript"/>
        </w:rPr>
        <w:t>nonIntraSearch</w:t>
      </w:r>
      <w:proofErr w:type="spellEnd"/>
      <w:r>
        <w:rPr>
          <w:rFonts w:eastAsia="Calibri" w:cs="Times New Roman"/>
          <w:szCs w:val="20"/>
          <w:lang w:val="en-GB"/>
        </w:rPr>
        <w:t xml:space="preserve"> threshold</w:t>
      </w:r>
    </w:p>
    <w:p w14:paraId="1880E426" w14:textId="77777777" w:rsidR="002E47BB" w:rsidRDefault="002E47BB" w:rsidP="002E47BB">
      <w:pPr>
        <w:pStyle w:val="ListParagraph"/>
        <w:numPr>
          <w:ilvl w:val="0"/>
          <w:numId w:val="23"/>
        </w:numPr>
        <w:ind w:right="-22"/>
        <w:rPr>
          <w:rFonts w:eastAsia="Calibri" w:cs="Times New Roman"/>
          <w:szCs w:val="20"/>
          <w:lang w:val="en-GB"/>
        </w:rPr>
      </w:pPr>
      <w:r>
        <w:rPr>
          <w:rFonts w:eastAsia="Calibri" w:cs="Times New Roman"/>
          <w:szCs w:val="20"/>
          <w:lang w:val="en-GB"/>
        </w:rPr>
        <w:t xml:space="preserve">EMR carriers are measured irrespectively of configured </w:t>
      </w:r>
      <w:proofErr w:type="spellStart"/>
      <w:r w:rsidRPr="00241959">
        <w:t>S</w:t>
      </w:r>
      <w:r w:rsidRPr="00241959">
        <w:rPr>
          <w:vertAlign w:val="subscript"/>
        </w:rPr>
        <w:t>nonIntraSearch</w:t>
      </w:r>
      <w:proofErr w:type="spellEnd"/>
      <w:r>
        <w:rPr>
          <w:rFonts w:eastAsia="Calibri" w:cs="Times New Roman"/>
          <w:szCs w:val="20"/>
          <w:lang w:val="en-GB"/>
        </w:rPr>
        <w:t xml:space="preserve"> threshold</w:t>
      </w:r>
    </w:p>
    <w:p w14:paraId="766EEFA7" w14:textId="7B61F98C" w:rsidR="002E47BB" w:rsidRPr="002E47BB" w:rsidRDefault="00A30049" w:rsidP="00D045E0">
      <w:pPr>
        <w:ind w:right="-22"/>
        <w:rPr>
          <w:rFonts w:eastAsia="Calibri" w:cs="Times New Roman"/>
          <w:szCs w:val="20"/>
          <w:lang w:val="en-GB"/>
        </w:rPr>
      </w:pPr>
      <w:r>
        <w:rPr>
          <w:rFonts w:eastAsia="Calibri" w:cs="Times New Roman"/>
          <w:szCs w:val="20"/>
          <w:lang w:val="en-GB"/>
        </w:rPr>
        <w:lastRenderedPageBreak/>
        <w:t xml:space="preserve">Which again means that at cell </w:t>
      </w:r>
      <w:proofErr w:type="spellStart"/>
      <w:r>
        <w:rPr>
          <w:rFonts w:eastAsia="Calibri" w:cs="Times New Roman"/>
          <w:szCs w:val="20"/>
          <w:lang w:val="en-GB"/>
        </w:rPr>
        <w:t>center</w:t>
      </w:r>
      <w:proofErr w:type="spellEnd"/>
      <w:r>
        <w:rPr>
          <w:rFonts w:eastAsia="Calibri" w:cs="Times New Roman"/>
          <w:szCs w:val="20"/>
          <w:lang w:val="en-GB"/>
        </w:rPr>
        <w:t xml:space="preserve"> the UE measurements are focused on EMR measurements, while at the cell edge UE will perform both EMR and non-EMR measurements. This would increase the UE inter-frequency measurement effort at the cell edge (searching both mobility and EMR carriers) increasing the measurement delay at cell edge where the measurement delay is especially important.</w:t>
      </w:r>
    </w:p>
    <w:p w14:paraId="47737EEA" w14:textId="1B9C80A9" w:rsidR="00715F1A" w:rsidRDefault="00DE27B7" w:rsidP="00D045E0">
      <w:pPr>
        <w:ind w:right="-22"/>
        <w:rPr>
          <w:rFonts w:eastAsia="Calibri" w:cs="Times New Roman"/>
          <w:szCs w:val="20"/>
        </w:rPr>
      </w:pPr>
      <w:r>
        <w:rPr>
          <w:rFonts w:eastAsia="Calibri" w:cs="Times New Roman"/>
          <w:szCs w:val="20"/>
        </w:rPr>
        <w:t>To evaluate the UE measurement effort</w:t>
      </w:r>
      <w:r w:rsidR="00EB127E">
        <w:rPr>
          <w:rFonts w:eastAsia="Calibri" w:cs="Times New Roman"/>
          <w:szCs w:val="20"/>
        </w:rPr>
        <w:t xml:space="preserve"> and delay</w:t>
      </w:r>
      <w:r>
        <w:rPr>
          <w:rFonts w:eastAsia="Calibri" w:cs="Times New Roman"/>
          <w:szCs w:val="20"/>
        </w:rPr>
        <w:t>, we would need to look at the measurement requirement for each type of EMR carrier before and after T331 expiry.</w:t>
      </w:r>
      <w:r w:rsidR="008730F8">
        <w:rPr>
          <w:rFonts w:eastAsia="Calibri" w:cs="Times New Roman"/>
          <w:szCs w:val="20"/>
        </w:rPr>
        <w:t xml:space="preserve"> Following table (disregarding the non-overlapping EMR carriers) illustrates the UE inter-frequency measurement requirements (assuming E-UTRAN approach is adopted for overlapping carriers):</w:t>
      </w:r>
    </w:p>
    <w:p w14:paraId="594924E1" w14:textId="6618A07B" w:rsidR="00EB127E" w:rsidRDefault="00EB127E" w:rsidP="00D045E0">
      <w:pPr>
        <w:ind w:right="-22"/>
        <w:rPr>
          <w:rFonts w:eastAsia="Calibri" w:cs="Times New Roman"/>
          <w:szCs w:val="20"/>
        </w:rPr>
      </w:pPr>
    </w:p>
    <w:tbl>
      <w:tblPr>
        <w:tblStyle w:val="TableGrid"/>
        <w:tblW w:w="0" w:type="auto"/>
        <w:jc w:val="center"/>
        <w:tblLook w:val="04A0" w:firstRow="1" w:lastRow="0" w:firstColumn="1" w:lastColumn="0" w:noHBand="0" w:noVBand="1"/>
      </w:tblPr>
      <w:tblGrid>
        <w:gridCol w:w="1413"/>
        <w:gridCol w:w="1792"/>
        <w:gridCol w:w="2035"/>
        <w:gridCol w:w="1843"/>
        <w:gridCol w:w="1843"/>
      </w:tblGrid>
      <w:tr w:rsidR="008730F8" w14:paraId="6A659C1C" w14:textId="0284D3AB" w:rsidTr="005E2097">
        <w:trPr>
          <w:jc w:val="center"/>
        </w:trPr>
        <w:tc>
          <w:tcPr>
            <w:tcW w:w="1413" w:type="dxa"/>
          </w:tcPr>
          <w:p w14:paraId="11E78F67" w14:textId="1D81DF49" w:rsidR="008730F8" w:rsidRDefault="008730F8" w:rsidP="00EB127E">
            <w:pPr>
              <w:ind w:right="-22"/>
              <w:rPr>
                <w:rFonts w:eastAsia="Calibri" w:cs="Times New Roman"/>
                <w:szCs w:val="20"/>
              </w:rPr>
            </w:pPr>
            <w:r>
              <w:rPr>
                <w:rFonts w:eastAsia="Calibri" w:cs="Times New Roman"/>
                <w:szCs w:val="20"/>
              </w:rPr>
              <w:t>T331 status</w:t>
            </w:r>
          </w:p>
        </w:tc>
        <w:tc>
          <w:tcPr>
            <w:tcW w:w="1792" w:type="dxa"/>
          </w:tcPr>
          <w:p w14:paraId="7B751391" w14:textId="34B00B36" w:rsidR="008730F8" w:rsidRDefault="008730F8" w:rsidP="008730F8">
            <w:pPr>
              <w:ind w:right="-22"/>
              <w:jc w:val="center"/>
              <w:rPr>
                <w:rFonts w:eastAsia="Calibri" w:cs="Times New Roman"/>
                <w:szCs w:val="20"/>
              </w:rPr>
            </w:pPr>
            <w:r>
              <w:rPr>
                <w:rFonts w:eastAsia="Calibri" w:cs="Times New Roman"/>
                <w:szCs w:val="20"/>
              </w:rPr>
              <w:t>carrier type</w:t>
            </w:r>
          </w:p>
        </w:tc>
        <w:tc>
          <w:tcPr>
            <w:tcW w:w="2035" w:type="dxa"/>
          </w:tcPr>
          <w:p w14:paraId="557CA7DF" w14:textId="6BA95F95" w:rsidR="008730F8" w:rsidRDefault="008730F8" w:rsidP="008730F8">
            <w:pPr>
              <w:ind w:right="-22"/>
              <w:jc w:val="center"/>
              <w:rPr>
                <w:rFonts w:eastAsia="Calibri" w:cs="Times New Roman"/>
                <w:szCs w:val="20"/>
              </w:rPr>
            </w:pPr>
            <w:proofErr w:type="spellStart"/>
            <w:r w:rsidRPr="00241959">
              <w:t>Srxlev</w:t>
            </w:r>
            <w:proofErr w:type="spellEnd"/>
            <w:r w:rsidRPr="00241959">
              <w:t xml:space="preserve"> &gt; </w:t>
            </w:r>
            <w:proofErr w:type="spellStart"/>
            <w:r w:rsidRPr="00241959">
              <w:t>S</w:t>
            </w:r>
            <w:r w:rsidRPr="00241959">
              <w:rPr>
                <w:vertAlign w:val="subscript"/>
              </w:rPr>
              <w:t>nonIntraSearch</w:t>
            </w:r>
            <w:proofErr w:type="spellEnd"/>
          </w:p>
        </w:tc>
        <w:tc>
          <w:tcPr>
            <w:tcW w:w="1843" w:type="dxa"/>
          </w:tcPr>
          <w:p w14:paraId="2A40FC24" w14:textId="5BC4D0BC" w:rsidR="008730F8" w:rsidRDefault="008730F8" w:rsidP="008730F8">
            <w:pPr>
              <w:ind w:right="-22"/>
              <w:jc w:val="center"/>
              <w:rPr>
                <w:rFonts w:eastAsia="Calibri" w:cs="Times New Roman"/>
                <w:szCs w:val="20"/>
              </w:rPr>
            </w:pPr>
            <w:proofErr w:type="spellStart"/>
            <w:r w:rsidRPr="00241959">
              <w:t>Srxlev</w:t>
            </w:r>
            <w:proofErr w:type="spellEnd"/>
            <w:r w:rsidRPr="00241959">
              <w:t xml:space="preserve"> </w:t>
            </w:r>
            <w:r>
              <w:t>&lt;</w:t>
            </w:r>
            <w:r w:rsidRPr="00241959">
              <w:t xml:space="preserve"> </w:t>
            </w:r>
            <w:proofErr w:type="spellStart"/>
            <w:r w:rsidRPr="00241959">
              <w:t>S</w:t>
            </w:r>
            <w:r w:rsidRPr="00241959">
              <w:rPr>
                <w:vertAlign w:val="subscript"/>
              </w:rPr>
              <w:t>nonIntraSearch</w:t>
            </w:r>
            <w:proofErr w:type="spellEnd"/>
          </w:p>
        </w:tc>
        <w:tc>
          <w:tcPr>
            <w:tcW w:w="1843" w:type="dxa"/>
          </w:tcPr>
          <w:p w14:paraId="3CB8F2BB" w14:textId="51B17BFA" w:rsidR="008730F8" w:rsidRPr="00241959" w:rsidRDefault="008730F8" w:rsidP="008730F8">
            <w:pPr>
              <w:ind w:right="-22"/>
              <w:jc w:val="center"/>
            </w:pPr>
            <w:r>
              <w:t xml:space="preserve">no </w:t>
            </w:r>
            <w:proofErr w:type="spellStart"/>
            <w:r w:rsidRPr="00241959">
              <w:t>S</w:t>
            </w:r>
            <w:r w:rsidRPr="00241959">
              <w:rPr>
                <w:vertAlign w:val="subscript"/>
              </w:rPr>
              <w:t>nonIntraSearch</w:t>
            </w:r>
            <w:proofErr w:type="spellEnd"/>
          </w:p>
        </w:tc>
      </w:tr>
      <w:tr w:rsidR="008730F8" w14:paraId="3492EE76" w14:textId="6AD23B98" w:rsidTr="005E2097">
        <w:trPr>
          <w:jc w:val="center"/>
        </w:trPr>
        <w:tc>
          <w:tcPr>
            <w:tcW w:w="1413" w:type="dxa"/>
          </w:tcPr>
          <w:p w14:paraId="5722CE30" w14:textId="3B727A43" w:rsidR="008730F8" w:rsidRDefault="008730F8" w:rsidP="008730F8">
            <w:pPr>
              <w:ind w:right="-22"/>
              <w:rPr>
                <w:rFonts w:eastAsia="Calibri" w:cs="Times New Roman"/>
                <w:szCs w:val="20"/>
              </w:rPr>
            </w:pPr>
            <w:r>
              <w:rPr>
                <w:rFonts w:eastAsia="Calibri" w:cs="Times New Roman"/>
                <w:szCs w:val="20"/>
              </w:rPr>
              <w:t>Running</w:t>
            </w:r>
          </w:p>
        </w:tc>
        <w:tc>
          <w:tcPr>
            <w:tcW w:w="1792" w:type="dxa"/>
          </w:tcPr>
          <w:p w14:paraId="6D4CF67B" w14:textId="311B9B8C" w:rsidR="008730F8" w:rsidRDefault="008730F8" w:rsidP="008730F8">
            <w:pPr>
              <w:ind w:right="-22"/>
              <w:jc w:val="center"/>
              <w:rPr>
                <w:rFonts w:eastAsia="Calibri" w:cs="Times New Roman"/>
                <w:szCs w:val="20"/>
              </w:rPr>
            </w:pPr>
            <w:r>
              <w:rPr>
                <w:rFonts w:eastAsia="Calibri" w:cs="Times New Roman"/>
                <w:szCs w:val="20"/>
              </w:rPr>
              <w:t>non-EMR</w:t>
            </w:r>
          </w:p>
        </w:tc>
        <w:tc>
          <w:tcPr>
            <w:tcW w:w="2035" w:type="dxa"/>
          </w:tcPr>
          <w:p w14:paraId="3C98ADDE" w14:textId="162AAD48" w:rsidR="008730F8" w:rsidRDefault="008730F8" w:rsidP="008730F8">
            <w:pPr>
              <w:ind w:right="-22"/>
              <w:jc w:val="center"/>
              <w:rPr>
                <w:rFonts w:eastAsia="Calibri" w:cs="Times New Roman"/>
                <w:szCs w:val="20"/>
              </w:rPr>
            </w:pPr>
            <w:r>
              <w:rPr>
                <w:rFonts w:eastAsia="Calibri" w:cs="Times New Roman"/>
                <w:szCs w:val="20"/>
              </w:rPr>
              <w:t>not measured</w:t>
            </w:r>
          </w:p>
        </w:tc>
        <w:tc>
          <w:tcPr>
            <w:tcW w:w="1843" w:type="dxa"/>
          </w:tcPr>
          <w:p w14:paraId="4852E7C1" w14:textId="1409E8D1" w:rsidR="008730F8" w:rsidRDefault="008730F8" w:rsidP="008730F8">
            <w:pPr>
              <w:ind w:right="-22"/>
              <w:jc w:val="center"/>
              <w:rPr>
                <w:rFonts w:eastAsia="Calibri" w:cs="Times New Roman"/>
                <w:szCs w:val="20"/>
              </w:rPr>
            </w:pPr>
            <w:r>
              <w:rPr>
                <w:rFonts w:eastAsia="Calibri" w:cs="Times New Roman"/>
                <w:szCs w:val="20"/>
              </w:rPr>
              <w:t>measured</w:t>
            </w:r>
          </w:p>
        </w:tc>
        <w:tc>
          <w:tcPr>
            <w:tcW w:w="1843" w:type="dxa"/>
          </w:tcPr>
          <w:p w14:paraId="1E451B4D" w14:textId="58BAAD47" w:rsidR="008730F8" w:rsidRDefault="008730F8" w:rsidP="008730F8">
            <w:pPr>
              <w:ind w:right="-22"/>
              <w:jc w:val="center"/>
              <w:rPr>
                <w:rFonts w:eastAsia="Calibri" w:cs="Times New Roman"/>
                <w:szCs w:val="20"/>
              </w:rPr>
            </w:pPr>
            <w:r>
              <w:rPr>
                <w:rFonts w:eastAsia="Calibri" w:cs="Times New Roman"/>
                <w:szCs w:val="20"/>
              </w:rPr>
              <w:t>measured</w:t>
            </w:r>
          </w:p>
        </w:tc>
      </w:tr>
      <w:tr w:rsidR="008730F8" w14:paraId="17A6B70F" w14:textId="2F6CAC33" w:rsidTr="005E2097">
        <w:trPr>
          <w:jc w:val="center"/>
        </w:trPr>
        <w:tc>
          <w:tcPr>
            <w:tcW w:w="1413" w:type="dxa"/>
          </w:tcPr>
          <w:p w14:paraId="03D2FB44" w14:textId="5EB058F5" w:rsidR="008730F8" w:rsidRDefault="008730F8" w:rsidP="008730F8">
            <w:pPr>
              <w:ind w:right="-22"/>
              <w:rPr>
                <w:rFonts w:eastAsia="Calibri" w:cs="Times New Roman"/>
                <w:szCs w:val="20"/>
              </w:rPr>
            </w:pPr>
          </w:p>
        </w:tc>
        <w:tc>
          <w:tcPr>
            <w:tcW w:w="1792" w:type="dxa"/>
          </w:tcPr>
          <w:p w14:paraId="4FFE08E0" w14:textId="2EFB1AC3" w:rsidR="008730F8" w:rsidRDefault="008730F8" w:rsidP="008730F8">
            <w:pPr>
              <w:ind w:right="-22"/>
              <w:jc w:val="center"/>
              <w:rPr>
                <w:rFonts w:eastAsia="Calibri" w:cs="Times New Roman"/>
                <w:szCs w:val="20"/>
              </w:rPr>
            </w:pPr>
            <w:r>
              <w:rPr>
                <w:rFonts w:eastAsia="Calibri" w:cs="Times New Roman"/>
                <w:szCs w:val="20"/>
              </w:rPr>
              <w:t>overlapping EMR</w:t>
            </w:r>
          </w:p>
        </w:tc>
        <w:tc>
          <w:tcPr>
            <w:tcW w:w="2035" w:type="dxa"/>
          </w:tcPr>
          <w:p w14:paraId="5FA75F2A" w14:textId="102F640D" w:rsidR="008730F8" w:rsidRDefault="008730F8" w:rsidP="008730F8">
            <w:pPr>
              <w:ind w:right="-22"/>
              <w:jc w:val="center"/>
              <w:rPr>
                <w:rFonts w:eastAsia="Calibri" w:cs="Times New Roman"/>
                <w:szCs w:val="20"/>
              </w:rPr>
            </w:pPr>
            <w:r>
              <w:rPr>
                <w:rFonts w:eastAsia="Calibri" w:cs="Times New Roman"/>
                <w:szCs w:val="20"/>
              </w:rPr>
              <w:t>measured</w:t>
            </w:r>
          </w:p>
        </w:tc>
        <w:tc>
          <w:tcPr>
            <w:tcW w:w="1843" w:type="dxa"/>
          </w:tcPr>
          <w:p w14:paraId="32FAB210" w14:textId="78FBFD79" w:rsidR="008730F8" w:rsidRDefault="008730F8" w:rsidP="008730F8">
            <w:pPr>
              <w:ind w:right="-22"/>
              <w:jc w:val="center"/>
              <w:rPr>
                <w:rFonts w:eastAsia="Calibri" w:cs="Times New Roman"/>
                <w:szCs w:val="20"/>
              </w:rPr>
            </w:pPr>
            <w:r>
              <w:rPr>
                <w:rFonts w:eastAsia="Calibri" w:cs="Times New Roman"/>
                <w:szCs w:val="20"/>
              </w:rPr>
              <w:t>measured</w:t>
            </w:r>
          </w:p>
        </w:tc>
        <w:tc>
          <w:tcPr>
            <w:tcW w:w="1843" w:type="dxa"/>
          </w:tcPr>
          <w:p w14:paraId="7716F591" w14:textId="0C965789" w:rsidR="008730F8" w:rsidRDefault="008730F8" w:rsidP="008730F8">
            <w:pPr>
              <w:ind w:right="-22"/>
              <w:jc w:val="center"/>
              <w:rPr>
                <w:rFonts w:eastAsia="Calibri" w:cs="Times New Roman"/>
                <w:szCs w:val="20"/>
              </w:rPr>
            </w:pPr>
            <w:r>
              <w:rPr>
                <w:rFonts w:eastAsia="Calibri" w:cs="Times New Roman"/>
                <w:szCs w:val="20"/>
              </w:rPr>
              <w:t>measured</w:t>
            </w:r>
          </w:p>
        </w:tc>
      </w:tr>
      <w:tr w:rsidR="008730F8" w14:paraId="46E5993B" w14:textId="0DA54234" w:rsidTr="005E2097">
        <w:trPr>
          <w:jc w:val="center"/>
        </w:trPr>
        <w:tc>
          <w:tcPr>
            <w:tcW w:w="1413" w:type="dxa"/>
          </w:tcPr>
          <w:p w14:paraId="71C97E2F" w14:textId="0C36914A" w:rsidR="008730F8" w:rsidRDefault="008730F8" w:rsidP="008730F8">
            <w:pPr>
              <w:ind w:right="-22"/>
              <w:rPr>
                <w:rFonts w:eastAsia="Calibri" w:cs="Times New Roman"/>
                <w:szCs w:val="20"/>
              </w:rPr>
            </w:pPr>
            <w:r>
              <w:rPr>
                <w:rFonts w:eastAsia="Calibri" w:cs="Times New Roman"/>
                <w:szCs w:val="20"/>
              </w:rPr>
              <w:t>Expired</w:t>
            </w:r>
          </w:p>
        </w:tc>
        <w:tc>
          <w:tcPr>
            <w:tcW w:w="1792" w:type="dxa"/>
          </w:tcPr>
          <w:p w14:paraId="59FAB2B4" w14:textId="44761B26" w:rsidR="008730F8" w:rsidRDefault="008730F8" w:rsidP="008730F8">
            <w:pPr>
              <w:ind w:right="-22"/>
              <w:jc w:val="center"/>
              <w:rPr>
                <w:rFonts w:eastAsia="Calibri" w:cs="Times New Roman"/>
                <w:szCs w:val="20"/>
              </w:rPr>
            </w:pPr>
            <w:r>
              <w:rPr>
                <w:rFonts w:eastAsia="Calibri" w:cs="Times New Roman"/>
                <w:szCs w:val="20"/>
              </w:rPr>
              <w:t>non-EMR</w:t>
            </w:r>
          </w:p>
        </w:tc>
        <w:tc>
          <w:tcPr>
            <w:tcW w:w="2035" w:type="dxa"/>
          </w:tcPr>
          <w:p w14:paraId="01A6974F" w14:textId="11CFA6F6" w:rsidR="008730F8" w:rsidRDefault="008730F8" w:rsidP="008730F8">
            <w:pPr>
              <w:ind w:right="-22"/>
              <w:jc w:val="center"/>
              <w:rPr>
                <w:rFonts w:eastAsia="Calibri" w:cs="Times New Roman"/>
                <w:szCs w:val="20"/>
              </w:rPr>
            </w:pPr>
            <w:r>
              <w:rPr>
                <w:rFonts w:eastAsia="Calibri" w:cs="Times New Roman"/>
                <w:szCs w:val="20"/>
              </w:rPr>
              <w:t>not measured</w:t>
            </w:r>
          </w:p>
        </w:tc>
        <w:tc>
          <w:tcPr>
            <w:tcW w:w="1843" w:type="dxa"/>
          </w:tcPr>
          <w:p w14:paraId="6F076519" w14:textId="4DD68445" w:rsidR="008730F8" w:rsidRDefault="008730F8" w:rsidP="008730F8">
            <w:pPr>
              <w:ind w:right="-22"/>
              <w:jc w:val="center"/>
              <w:rPr>
                <w:rFonts w:eastAsia="Calibri" w:cs="Times New Roman"/>
                <w:szCs w:val="20"/>
              </w:rPr>
            </w:pPr>
            <w:r>
              <w:rPr>
                <w:rFonts w:eastAsia="Calibri" w:cs="Times New Roman"/>
                <w:szCs w:val="20"/>
              </w:rPr>
              <w:t>measured</w:t>
            </w:r>
          </w:p>
        </w:tc>
        <w:tc>
          <w:tcPr>
            <w:tcW w:w="1843" w:type="dxa"/>
          </w:tcPr>
          <w:p w14:paraId="17E9839C" w14:textId="7EA8D4F8" w:rsidR="008730F8" w:rsidRDefault="008730F8" w:rsidP="008730F8">
            <w:pPr>
              <w:ind w:right="-22"/>
              <w:jc w:val="center"/>
              <w:rPr>
                <w:rFonts w:eastAsia="Calibri" w:cs="Times New Roman"/>
                <w:szCs w:val="20"/>
              </w:rPr>
            </w:pPr>
            <w:r>
              <w:rPr>
                <w:rFonts w:eastAsia="Calibri" w:cs="Times New Roman"/>
                <w:szCs w:val="20"/>
              </w:rPr>
              <w:t>measured</w:t>
            </w:r>
          </w:p>
        </w:tc>
      </w:tr>
      <w:tr w:rsidR="008730F8" w14:paraId="7398B5D1" w14:textId="3FF703ED" w:rsidTr="005E2097">
        <w:trPr>
          <w:jc w:val="center"/>
        </w:trPr>
        <w:tc>
          <w:tcPr>
            <w:tcW w:w="1413" w:type="dxa"/>
          </w:tcPr>
          <w:p w14:paraId="1290E201" w14:textId="77777777" w:rsidR="008730F8" w:rsidRDefault="008730F8" w:rsidP="008730F8">
            <w:pPr>
              <w:ind w:right="-22"/>
              <w:rPr>
                <w:rFonts w:eastAsia="Calibri" w:cs="Times New Roman"/>
                <w:szCs w:val="20"/>
              </w:rPr>
            </w:pPr>
          </w:p>
        </w:tc>
        <w:tc>
          <w:tcPr>
            <w:tcW w:w="1792" w:type="dxa"/>
          </w:tcPr>
          <w:p w14:paraId="5B3AFCFB" w14:textId="01FC5FBE" w:rsidR="008730F8" w:rsidRDefault="008730F8" w:rsidP="008730F8">
            <w:pPr>
              <w:ind w:right="-22"/>
              <w:jc w:val="center"/>
              <w:rPr>
                <w:rFonts w:eastAsia="Calibri" w:cs="Times New Roman"/>
                <w:szCs w:val="20"/>
              </w:rPr>
            </w:pPr>
            <w:r>
              <w:rPr>
                <w:rFonts w:eastAsia="Calibri" w:cs="Times New Roman"/>
                <w:szCs w:val="20"/>
              </w:rPr>
              <w:t>overlapping EMR</w:t>
            </w:r>
          </w:p>
        </w:tc>
        <w:tc>
          <w:tcPr>
            <w:tcW w:w="2035" w:type="dxa"/>
          </w:tcPr>
          <w:p w14:paraId="01080101" w14:textId="351678E9" w:rsidR="008730F8" w:rsidRDefault="008730F8" w:rsidP="008730F8">
            <w:pPr>
              <w:ind w:right="-22"/>
              <w:jc w:val="center"/>
              <w:rPr>
                <w:rFonts w:eastAsia="Calibri" w:cs="Times New Roman"/>
                <w:szCs w:val="20"/>
              </w:rPr>
            </w:pPr>
            <w:r>
              <w:rPr>
                <w:rFonts w:eastAsia="Calibri" w:cs="Times New Roman"/>
                <w:szCs w:val="20"/>
              </w:rPr>
              <w:t>not measured</w:t>
            </w:r>
          </w:p>
        </w:tc>
        <w:tc>
          <w:tcPr>
            <w:tcW w:w="1843" w:type="dxa"/>
          </w:tcPr>
          <w:p w14:paraId="2B1B3258" w14:textId="3F1B8EF4" w:rsidR="008730F8" w:rsidRDefault="008730F8" w:rsidP="008730F8">
            <w:pPr>
              <w:ind w:right="-22"/>
              <w:jc w:val="center"/>
              <w:rPr>
                <w:rFonts w:eastAsia="Calibri" w:cs="Times New Roman"/>
                <w:szCs w:val="20"/>
              </w:rPr>
            </w:pPr>
            <w:r>
              <w:rPr>
                <w:rFonts w:eastAsia="Calibri" w:cs="Times New Roman"/>
                <w:szCs w:val="20"/>
              </w:rPr>
              <w:t>measured</w:t>
            </w:r>
          </w:p>
        </w:tc>
        <w:tc>
          <w:tcPr>
            <w:tcW w:w="1843" w:type="dxa"/>
          </w:tcPr>
          <w:p w14:paraId="025E76AA" w14:textId="2DFF22C2" w:rsidR="008730F8" w:rsidRDefault="008730F8" w:rsidP="008730F8">
            <w:pPr>
              <w:ind w:right="-22"/>
              <w:jc w:val="center"/>
              <w:rPr>
                <w:rFonts w:eastAsia="Calibri" w:cs="Times New Roman"/>
                <w:szCs w:val="20"/>
              </w:rPr>
            </w:pPr>
            <w:r>
              <w:rPr>
                <w:rFonts w:eastAsia="Calibri" w:cs="Times New Roman"/>
                <w:szCs w:val="20"/>
              </w:rPr>
              <w:t>measured</w:t>
            </w:r>
          </w:p>
        </w:tc>
      </w:tr>
    </w:tbl>
    <w:p w14:paraId="59D1793B" w14:textId="5E00A464" w:rsidR="00EB127E" w:rsidRDefault="00EB127E" w:rsidP="00D045E0">
      <w:pPr>
        <w:ind w:right="-22"/>
        <w:rPr>
          <w:rFonts w:eastAsia="Calibri" w:cs="Times New Roman"/>
          <w:szCs w:val="20"/>
        </w:rPr>
      </w:pPr>
    </w:p>
    <w:p w14:paraId="59AF77BA" w14:textId="11DB98CD" w:rsidR="008730F8" w:rsidRDefault="008730F8" w:rsidP="00D045E0">
      <w:pPr>
        <w:ind w:right="-22"/>
        <w:rPr>
          <w:rFonts w:eastAsia="Calibri" w:cs="Times New Roman"/>
          <w:szCs w:val="20"/>
        </w:rPr>
      </w:pPr>
      <w:r>
        <w:rPr>
          <w:rFonts w:eastAsia="Calibri" w:cs="Times New Roman"/>
          <w:szCs w:val="20"/>
        </w:rPr>
        <w:t>From the table is it seen that the impact from having EMR carriers configured is that measurements are to be performed on the overlapping EMR carriers irrespective of search thresholds (</w:t>
      </w:r>
      <w:proofErr w:type="spellStart"/>
      <w:r w:rsidRPr="00241959">
        <w:t>S</w:t>
      </w:r>
      <w:r w:rsidRPr="00241959">
        <w:rPr>
          <w:vertAlign w:val="subscript"/>
        </w:rPr>
        <w:t>nonIntraSearch</w:t>
      </w:r>
      <w:proofErr w:type="spellEnd"/>
      <w:r>
        <w:rPr>
          <w:rFonts w:eastAsia="Calibri" w:cs="Times New Roman"/>
          <w:szCs w:val="20"/>
        </w:rPr>
        <w:t>). As can also be seen is that the use of search threshold (</w:t>
      </w:r>
      <w:proofErr w:type="spellStart"/>
      <w:r w:rsidRPr="00241959">
        <w:t>S</w:t>
      </w:r>
      <w:r w:rsidRPr="00241959">
        <w:rPr>
          <w:vertAlign w:val="subscript"/>
        </w:rPr>
        <w:t>nonIntraSearch</w:t>
      </w:r>
      <w:proofErr w:type="spellEnd"/>
      <w:r>
        <w:rPr>
          <w:rFonts w:eastAsia="Calibri" w:cs="Times New Roman"/>
          <w:szCs w:val="20"/>
        </w:rPr>
        <w:t>) can in fact reduce the UE measurement effort under good cell conditions.</w:t>
      </w:r>
    </w:p>
    <w:p w14:paraId="3004D0E8" w14:textId="4C48F0EB" w:rsidR="005D7DA7" w:rsidRDefault="005D7DA7" w:rsidP="00D045E0">
      <w:pPr>
        <w:ind w:right="-22"/>
        <w:rPr>
          <w:rFonts w:eastAsia="Calibri" w:cs="Times New Roman"/>
          <w:szCs w:val="20"/>
        </w:rPr>
      </w:pPr>
      <w:r>
        <w:rPr>
          <w:rFonts w:eastAsia="Calibri" w:cs="Times New Roman"/>
          <w:szCs w:val="20"/>
        </w:rPr>
        <w:t xml:space="preserve">The use of the search threshold </w:t>
      </w:r>
      <w:proofErr w:type="gramStart"/>
      <w:r>
        <w:rPr>
          <w:rFonts w:eastAsia="Calibri" w:cs="Times New Roman"/>
          <w:szCs w:val="20"/>
        </w:rPr>
        <w:t>do</w:t>
      </w:r>
      <w:proofErr w:type="gramEnd"/>
      <w:r>
        <w:rPr>
          <w:rFonts w:eastAsia="Calibri" w:cs="Times New Roman"/>
          <w:szCs w:val="20"/>
        </w:rPr>
        <w:t xml:space="preserve"> have one significant drawback – and especially in NR with synchronized and aligned SMTC periods and limited UE searcher capability </w:t>
      </w:r>
      <w:r w:rsidR="00415FEE">
        <w:rPr>
          <w:rFonts w:eastAsia="Calibri" w:cs="Times New Roman"/>
          <w:szCs w:val="20"/>
        </w:rPr>
        <w:t>–</w:t>
      </w:r>
      <w:r>
        <w:rPr>
          <w:rFonts w:eastAsia="Calibri" w:cs="Times New Roman"/>
          <w:szCs w:val="20"/>
        </w:rPr>
        <w:t xml:space="preserve"> </w:t>
      </w:r>
      <w:r w:rsidR="00415FEE">
        <w:rPr>
          <w:rFonts w:eastAsia="Calibri" w:cs="Times New Roman"/>
          <w:szCs w:val="20"/>
        </w:rPr>
        <w:t xml:space="preserve">namely that once the </w:t>
      </w:r>
      <w:proofErr w:type="spellStart"/>
      <w:r w:rsidR="00415FEE" w:rsidRPr="00241959">
        <w:t>Srxlev</w:t>
      </w:r>
      <w:proofErr w:type="spellEnd"/>
      <w:r w:rsidR="00415FEE" w:rsidRPr="00241959">
        <w:t xml:space="preserve"> </w:t>
      </w:r>
      <w:r w:rsidR="00415FEE">
        <w:t>&lt;</w:t>
      </w:r>
      <w:r w:rsidR="00415FEE" w:rsidRPr="00241959">
        <w:t xml:space="preserve"> </w:t>
      </w:r>
      <w:proofErr w:type="spellStart"/>
      <w:r w:rsidR="00415FEE" w:rsidRPr="00241959">
        <w:t>S</w:t>
      </w:r>
      <w:r w:rsidR="00415FEE" w:rsidRPr="00241959">
        <w:rPr>
          <w:vertAlign w:val="subscript"/>
        </w:rPr>
        <w:t>nonIntraSearch</w:t>
      </w:r>
      <w:proofErr w:type="spellEnd"/>
      <w:r w:rsidR="00415FEE">
        <w:rPr>
          <w:rFonts w:eastAsia="Calibri" w:cs="Times New Roman"/>
          <w:szCs w:val="20"/>
        </w:rPr>
        <w:t xml:space="preserve"> the UE shall start to search all inter-frequency carriers simultaneously.</w:t>
      </w:r>
    </w:p>
    <w:p w14:paraId="6CD173AF" w14:textId="6CC11912" w:rsidR="00E5570A" w:rsidRDefault="00E5570A" w:rsidP="00D045E0">
      <w:pPr>
        <w:ind w:right="-22"/>
      </w:pPr>
      <w:r>
        <w:rPr>
          <w:rFonts w:eastAsia="Calibri" w:cs="Times New Roman"/>
          <w:szCs w:val="20"/>
        </w:rPr>
        <w:t>In last meeting was discussed in [</w:t>
      </w:r>
      <w:r w:rsidR="00ED5797">
        <w:rPr>
          <w:rFonts w:eastAsia="Calibri" w:cs="Times New Roman"/>
          <w:szCs w:val="20"/>
        </w:rPr>
        <w:t>2</w:t>
      </w:r>
      <w:r>
        <w:rPr>
          <w:rFonts w:eastAsia="Calibri" w:cs="Times New Roman"/>
          <w:szCs w:val="20"/>
        </w:rPr>
        <w:t>] how to further reduce the UE measurement effort. One proposal was to introduce an opposite</w:t>
      </w:r>
      <w:r w:rsidRPr="00241959">
        <w:t xml:space="preserve"> </w:t>
      </w:r>
      <w:proofErr w:type="spellStart"/>
      <w:r w:rsidRPr="00241959">
        <w:t>S</w:t>
      </w:r>
      <w:r w:rsidRPr="00241959">
        <w:rPr>
          <w:vertAlign w:val="subscript"/>
        </w:rPr>
        <w:t>nonIntraSearch</w:t>
      </w:r>
      <w:proofErr w:type="spellEnd"/>
      <w:r>
        <w:rPr>
          <w:rFonts w:eastAsia="Calibri" w:cs="Times New Roman"/>
          <w:szCs w:val="20"/>
        </w:rPr>
        <w:t xml:space="preserve"> threshold, such that if </w:t>
      </w:r>
      <w:proofErr w:type="spellStart"/>
      <w:r w:rsidRPr="00241959">
        <w:t>Srxlev</w:t>
      </w:r>
      <w:proofErr w:type="spellEnd"/>
      <w:r w:rsidRPr="00241959">
        <w:t xml:space="preserve"> </w:t>
      </w:r>
      <w:r>
        <w:t>&gt;</w:t>
      </w:r>
      <w:r w:rsidRPr="00241959">
        <w:t xml:space="preserve"> </w:t>
      </w:r>
      <w:proofErr w:type="spellStart"/>
      <w:r w:rsidRPr="00241959">
        <w:t>S</w:t>
      </w:r>
      <w:r w:rsidRPr="00241959">
        <w:rPr>
          <w:vertAlign w:val="subscript"/>
        </w:rPr>
        <w:t>nonIntraSearch</w:t>
      </w:r>
      <w:r>
        <w:rPr>
          <w:vertAlign w:val="subscript"/>
        </w:rPr>
        <w:t>EMR</w:t>
      </w:r>
      <w:proofErr w:type="spellEnd"/>
      <w:r>
        <w:t xml:space="preserve"> UE would measure the EMR carrier, otherwise </w:t>
      </w:r>
      <w:r w:rsidR="00803123">
        <w:t>this would not be required</w:t>
      </w:r>
      <w:r>
        <w:t xml:space="preserve">. Hence, at the cell edge when </w:t>
      </w:r>
      <w:proofErr w:type="spellStart"/>
      <w:r w:rsidRPr="00241959">
        <w:t>Srxlev</w:t>
      </w:r>
      <w:proofErr w:type="spellEnd"/>
      <w:r w:rsidRPr="00241959">
        <w:t xml:space="preserve"> </w:t>
      </w:r>
      <w:r>
        <w:t>&lt;</w:t>
      </w:r>
      <w:r w:rsidRPr="00241959">
        <w:t xml:space="preserve"> </w:t>
      </w:r>
      <w:proofErr w:type="spellStart"/>
      <w:r w:rsidRPr="00241959">
        <w:t>S</w:t>
      </w:r>
      <w:r w:rsidRPr="00241959">
        <w:rPr>
          <w:vertAlign w:val="subscript"/>
        </w:rPr>
        <w:t>nonIntraSearch</w:t>
      </w:r>
      <w:r>
        <w:rPr>
          <w:vertAlign w:val="subscript"/>
        </w:rPr>
        <w:t>EMR</w:t>
      </w:r>
      <w:proofErr w:type="spellEnd"/>
      <w:r>
        <w:t xml:space="preserve"> UE would not be required to measure the EMR carrier. </w:t>
      </w:r>
    </w:p>
    <w:tbl>
      <w:tblPr>
        <w:tblStyle w:val="TableGrid"/>
        <w:tblW w:w="0" w:type="auto"/>
        <w:jc w:val="center"/>
        <w:tblLook w:val="04A0" w:firstRow="1" w:lastRow="0" w:firstColumn="1" w:lastColumn="0" w:noHBand="0" w:noVBand="1"/>
      </w:tblPr>
      <w:tblGrid>
        <w:gridCol w:w="1413"/>
        <w:gridCol w:w="1792"/>
        <w:gridCol w:w="2177"/>
        <w:gridCol w:w="2126"/>
        <w:gridCol w:w="1418"/>
      </w:tblGrid>
      <w:tr w:rsidR="00E5570A" w14:paraId="1CDB4A7A" w14:textId="77777777" w:rsidTr="00E5570A">
        <w:trPr>
          <w:jc w:val="center"/>
        </w:trPr>
        <w:tc>
          <w:tcPr>
            <w:tcW w:w="1413" w:type="dxa"/>
          </w:tcPr>
          <w:p w14:paraId="54F66E5B" w14:textId="77777777" w:rsidR="00E5570A" w:rsidRDefault="00E5570A" w:rsidP="00425FBC">
            <w:pPr>
              <w:ind w:right="-22"/>
              <w:rPr>
                <w:rFonts w:eastAsia="Calibri" w:cs="Times New Roman"/>
                <w:szCs w:val="20"/>
              </w:rPr>
            </w:pPr>
            <w:r>
              <w:rPr>
                <w:rFonts w:eastAsia="Calibri" w:cs="Times New Roman"/>
                <w:szCs w:val="20"/>
              </w:rPr>
              <w:t>T331 status</w:t>
            </w:r>
          </w:p>
        </w:tc>
        <w:tc>
          <w:tcPr>
            <w:tcW w:w="1792" w:type="dxa"/>
          </w:tcPr>
          <w:p w14:paraId="0CF48EED" w14:textId="77777777" w:rsidR="00E5570A" w:rsidRDefault="00E5570A" w:rsidP="00425FBC">
            <w:pPr>
              <w:ind w:right="-22"/>
              <w:jc w:val="center"/>
              <w:rPr>
                <w:rFonts w:eastAsia="Calibri" w:cs="Times New Roman"/>
                <w:szCs w:val="20"/>
              </w:rPr>
            </w:pPr>
            <w:r>
              <w:rPr>
                <w:rFonts w:eastAsia="Calibri" w:cs="Times New Roman"/>
                <w:szCs w:val="20"/>
              </w:rPr>
              <w:t>carrier type</w:t>
            </w:r>
          </w:p>
        </w:tc>
        <w:tc>
          <w:tcPr>
            <w:tcW w:w="2177" w:type="dxa"/>
          </w:tcPr>
          <w:p w14:paraId="0C4E1279" w14:textId="77777777" w:rsidR="00E5570A" w:rsidRDefault="00E5570A" w:rsidP="00425FBC">
            <w:pPr>
              <w:ind w:right="-22"/>
              <w:jc w:val="center"/>
              <w:rPr>
                <w:vertAlign w:val="subscript"/>
              </w:rPr>
            </w:pPr>
            <w:proofErr w:type="spellStart"/>
            <w:r w:rsidRPr="00241959">
              <w:t>Srxlev</w:t>
            </w:r>
            <w:proofErr w:type="spellEnd"/>
            <w:r w:rsidRPr="00241959">
              <w:t xml:space="preserve"> &gt; </w:t>
            </w:r>
            <w:proofErr w:type="spellStart"/>
            <w:r w:rsidRPr="00241959">
              <w:t>S</w:t>
            </w:r>
            <w:r w:rsidRPr="00241959">
              <w:rPr>
                <w:vertAlign w:val="subscript"/>
              </w:rPr>
              <w:t>nonIntraSearch</w:t>
            </w:r>
            <w:proofErr w:type="spellEnd"/>
          </w:p>
          <w:p w14:paraId="52D3E951" w14:textId="77777777" w:rsidR="00E5570A" w:rsidRDefault="00E5570A" w:rsidP="00425FBC">
            <w:pPr>
              <w:ind w:right="-22"/>
              <w:jc w:val="center"/>
            </w:pPr>
            <w:r>
              <w:t xml:space="preserve">and </w:t>
            </w:r>
          </w:p>
          <w:p w14:paraId="1D1BC2DC" w14:textId="4D2F5ABD" w:rsidR="00E5570A" w:rsidRDefault="00E5570A" w:rsidP="00425FBC">
            <w:pPr>
              <w:ind w:right="-22"/>
              <w:jc w:val="center"/>
              <w:rPr>
                <w:rFonts w:eastAsia="Calibri" w:cs="Times New Roman"/>
                <w:szCs w:val="20"/>
              </w:rPr>
            </w:pPr>
            <w:proofErr w:type="spellStart"/>
            <w:r w:rsidRPr="00241959">
              <w:t>Srxlev</w:t>
            </w:r>
            <w:proofErr w:type="spellEnd"/>
            <w:r w:rsidRPr="00241959">
              <w:t xml:space="preserve"> </w:t>
            </w:r>
            <w:r w:rsidR="00803123">
              <w:t>&gt;</w:t>
            </w:r>
            <w:r w:rsidRPr="00241959">
              <w:t xml:space="preserve"> </w:t>
            </w:r>
            <w:proofErr w:type="spellStart"/>
            <w:r w:rsidRPr="00241959">
              <w:t>S</w:t>
            </w:r>
            <w:r w:rsidRPr="00241959">
              <w:rPr>
                <w:vertAlign w:val="subscript"/>
              </w:rPr>
              <w:t>nonIntraSearch</w:t>
            </w:r>
            <w:r>
              <w:rPr>
                <w:vertAlign w:val="subscript"/>
              </w:rPr>
              <w:t>EMR</w:t>
            </w:r>
            <w:proofErr w:type="spellEnd"/>
          </w:p>
        </w:tc>
        <w:tc>
          <w:tcPr>
            <w:tcW w:w="2126" w:type="dxa"/>
          </w:tcPr>
          <w:p w14:paraId="5D0E0397" w14:textId="77777777" w:rsidR="00E5570A" w:rsidRDefault="00E5570A" w:rsidP="00425FBC">
            <w:pPr>
              <w:ind w:right="-22"/>
              <w:jc w:val="center"/>
              <w:rPr>
                <w:vertAlign w:val="subscript"/>
              </w:rPr>
            </w:pPr>
            <w:proofErr w:type="spellStart"/>
            <w:r w:rsidRPr="00241959">
              <w:t>Srxlev</w:t>
            </w:r>
            <w:proofErr w:type="spellEnd"/>
            <w:r w:rsidRPr="00241959">
              <w:t xml:space="preserve"> </w:t>
            </w:r>
            <w:r>
              <w:t>&lt;</w:t>
            </w:r>
            <w:r w:rsidRPr="00241959">
              <w:t xml:space="preserve"> </w:t>
            </w:r>
            <w:proofErr w:type="spellStart"/>
            <w:r w:rsidRPr="00241959">
              <w:t>S</w:t>
            </w:r>
            <w:r w:rsidRPr="00241959">
              <w:rPr>
                <w:vertAlign w:val="subscript"/>
              </w:rPr>
              <w:t>nonIntraSearch</w:t>
            </w:r>
            <w:proofErr w:type="spellEnd"/>
          </w:p>
          <w:p w14:paraId="5A2F7A81" w14:textId="4CF9F6C7" w:rsidR="00E5570A" w:rsidRDefault="00E5570A" w:rsidP="00425FBC">
            <w:pPr>
              <w:ind w:right="-22"/>
              <w:jc w:val="center"/>
            </w:pPr>
            <w:r>
              <w:t>and</w:t>
            </w:r>
          </w:p>
          <w:p w14:paraId="4D0F4491" w14:textId="7EBEFC50" w:rsidR="00E5570A" w:rsidRDefault="00E5570A" w:rsidP="00425FBC">
            <w:pPr>
              <w:ind w:right="-22"/>
              <w:jc w:val="center"/>
              <w:rPr>
                <w:rFonts w:eastAsia="Calibri" w:cs="Times New Roman"/>
                <w:szCs w:val="20"/>
              </w:rPr>
            </w:pPr>
            <w:proofErr w:type="spellStart"/>
            <w:r w:rsidRPr="00241959">
              <w:t>Srxlev</w:t>
            </w:r>
            <w:proofErr w:type="spellEnd"/>
            <w:r w:rsidRPr="00241959">
              <w:t xml:space="preserve"> </w:t>
            </w:r>
            <w:r>
              <w:t>&lt;</w:t>
            </w:r>
            <w:r w:rsidRPr="00241959">
              <w:t xml:space="preserve"> </w:t>
            </w:r>
            <w:proofErr w:type="spellStart"/>
            <w:r w:rsidRPr="00241959">
              <w:t>S</w:t>
            </w:r>
            <w:r w:rsidRPr="00241959">
              <w:rPr>
                <w:vertAlign w:val="subscript"/>
              </w:rPr>
              <w:t>nonIntraSearch</w:t>
            </w:r>
            <w:r>
              <w:rPr>
                <w:vertAlign w:val="subscript"/>
              </w:rPr>
              <w:t>EMR</w:t>
            </w:r>
            <w:proofErr w:type="spellEnd"/>
          </w:p>
        </w:tc>
        <w:tc>
          <w:tcPr>
            <w:tcW w:w="1418" w:type="dxa"/>
          </w:tcPr>
          <w:p w14:paraId="5DC655ED" w14:textId="77777777" w:rsidR="00E5570A" w:rsidRPr="00241959" w:rsidRDefault="00E5570A" w:rsidP="00425FBC">
            <w:pPr>
              <w:ind w:right="-22"/>
              <w:jc w:val="center"/>
            </w:pPr>
            <w:r>
              <w:t xml:space="preserve">no </w:t>
            </w:r>
            <w:proofErr w:type="spellStart"/>
            <w:r w:rsidRPr="00241959">
              <w:t>S</w:t>
            </w:r>
            <w:r w:rsidRPr="00241959">
              <w:rPr>
                <w:vertAlign w:val="subscript"/>
              </w:rPr>
              <w:t>nonIntraSearch</w:t>
            </w:r>
            <w:proofErr w:type="spellEnd"/>
          </w:p>
        </w:tc>
      </w:tr>
      <w:tr w:rsidR="00E5570A" w14:paraId="1D8AC579" w14:textId="77777777" w:rsidTr="00E5570A">
        <w:trPr>
          <w:jc w:val="center"/>
        </w:trPr>
        <w:tc>
          <w:tcPr>
            <w:tcW w:w="1413" w:type="dxa"/>
          </w:tcPr>
          <w:p w14:paraId="23C4FAF2" w14:textId="77777777" w:rsidR="00E5570A" w:rsidRDefault="00E5570A" w:rsidP="00425FBC">
            <w:pPr>
              <w:ind w:right="-22"/>
              <w:rPr>
                <w:rFonts w:eastAsia="Calibri" w:cs="Times New Roman"/>
                <w:szCs w:val="20"/>
              </w:rPr>
            </w:pPr>
            <w:r>
              <w:rPr>
                <w:rFonts w:eastAsia="Calibri" w:cs="Times New Roman"/>
                <w:szCs w:val="20"/>
              </w:rPr>
              <w:t>Running</w:t>
            </w:r>
          </w:p>
        </w:tc>
        <w:tc>
          <w:tcPr>
            <w:tcW w:w="1792" w:type="dxa"/>
          </w:tcPr>
          <w:p w14:paraId="56DBDA79" w14:textId="77777777" w:rsidR="00E5570A" w:rsidRDefault="00E5570A" w:rsidP="00425FBC">
            <w:pPr>
              <w:ind w:right="-22"/>
              <w:jc w:val="center"/>
              <w:rPr>
                <w:rFonts w:eastAsia="Calibri" w:cs="Times New Roman"/>
                <w:szCs w:val="20"/>
              </w:rPr>
            </w:pPr>
            <w:r>
              <w:rPr>
                <w:rFonts w:eastAsia="Calibri" w:cs="Times New Roman"/>
                <w:szCs w:val="20"/>
              </w:rPr>
              <w:t>non-EMR</w:t>
            </w:r>
          </w:p>
        </w:tc>
        <w:tc>
          <w:tcPr>
            <w:tcW w:w="2177" w:type="dxa"/>
          </w:tcPr>
          <w:p w14:paraId="4B593583" w14:textId="77777777" w:rsidR="00E5570A" w:rsidRDefault="00E5570A" w:rsidP="00425FBC">
            <w:pPr>
              <w:ind w:right="-22"/>
              <w:jc w:val="center"/>
              <w:rPr>
                <w:rFonts w:eastAsia="Calibri" w:cs="Times New Roman"/>
                <w:szCs w:val="20"/>
              </w:rPr>
            </w:pPr>
            <w:r>
              <w:rPr>
                <w:rFonts w:eastAsia="Calibri" w:cs="Times New Roman"/>
                <w:szCs w:val="20"/>
              </w:rPr>
              <w:t>not measured</w:t>
            </w:r>
          </w:p>
        </w:tc>
        <w:tc>
          <w:tcPr>
            <w:tcW w:w="2126" w:type="dxa"/>
          </w:tcPr>
          <w:p w14:paraId="3866CF76" w14:textId="77777777" w:rsidR="00E5570A" w:rsidRDefault="00E5570A" w:rsidP="00425FBC">
            <w:pPr>
              <w:ind w:right="-22"/>
              <w:jc w:val="center"/>
              <w:rPr>
                <w:rFonts w:eastAsia="Calibri" w:cs="Times New Roman"/>
                <w:szCs w:val="20"/>
              </w:rPr>
            </w:pPr>
            <w:r>
              <w:rPr>
                <w:rFonts w:eastAsia="Calibri" w:cs="Times New Roman"/>
                <w:szCs w:val="20"/>
              </w:rPr>
              <w:t>measured</w:t>
            </w:r>
          </w:p>
        </w:tc>
        <w:tc>
          <w:tcPr>
            <w:tcW w:w="1418" w:type="dxa"/>
          </w:tcPr>
          <w:p w14:paraId="5B31B8C8" w14:textId="77777777" w:rsidR="00E5570A" w:rsidRDefault="00E5570A" w:rsidP="00425FBC">
            <w:pPr>
              <w:ind w:right="-22"/>
              <w:jc w:val="center"/>
              <w:rPr>
                <w:rFonts w:eastAsia="Calibri" w:cs="Times New Roman"/>
                <w:szCs w:val="20"/>
              </w:rPr>
            </w:pPr>
            <w:r>
              <w:rPr>
                <w:rFonts w:eastAsia="Calibri" w:cs="Times New Roman"/>
                <w:szCs w:val="20"/>
              </w:rPr>
              <w:t>measured</w:t>
            </w:r>
          </w:p>
        </w:tc>
      </w:tr>
      <w:tr w:rsidR="00E5570A" w14:paraId="195A6675" w14:textId="77777777" w:rsidTr="00E5570A">
        <w:trPr>
          <w:jc w:val="center"/>
        </w:trPr>
        <w:tc>
          <w:tcPr>
            <w:tcW w:w="1413" w:type="dxa"/>
          </w:tcPr>
          <w:p w14:paraId="6FC66D40" w14:textId="77777777" w:rsidR="00E5570A" w:rsidRDefault="00E5570A" w:rsidP="00425FBC">
            <w:pPr>
              <w:ind w:right="-22"/>
              <w:rPr>
                <w:rFonts w:eastAsia="Calibri" w:cs="Times New Roman"/>
                <w:szCs w:val="20"/>
              </w:rPr>
            </w:pPr>
          </w:p>
        </w:tc>
        <w:tc>
          <w:tcPr>
            <w:tcW w:w="1792" w:type="dxa"/>
          </w:tcPr>
          <w:p w14:paraId="2A5A163B" w14:textId="77777777" w:rsidR="00E5570A" w:rsidRDefault="00E5570A" w:rsidP="00425FBC">
            <w:pPr>
              <w:ind w:right="-22"/>
              <w:jc w:val="center"/>
              <w:rPr>
                <w:rFonts w:eastAsia="Calibri" w:cs="Times New Roman"/>
                <w:szCs w:val="20"/>
              </w:rPr>
            </w:pPr>
            <w:r>
              <w:rPr>
                <w:rFonts w:eastAsia="Calibri" w:cs="Times New Roman"/>
                <w:szCs w:val="20"/>
              </w:rPr>
              <w:t>overlapping EMR</w:t>
            </w:r>
          </w:p>
        </w:tc>
        <w:tc>
          <w:tcPr>
            <w:tcW w:w="2177" w:type="dxa"/>
          </w:tcPr>
          <w:p w14:paraId="5D139126" w14:textId="77777777" w:rsidR="00E5570A" w:rsidRDefault="00E5570A" w:rsidP="00425FBC">
            <w:pPr>
              <w:ind w:right="-22"/>
              <w:jc w:val="center"/>
              <w:rPr>
                <w:rFonts w:eastAsia="Calibri" w:cs="Times New Roman"/>
                <w:szCs w:val="20"/>
              </w:rPr>
            </w:pPr>
            <w:r>
              <w:rPr>
                <w:rFonts w:eastAsia="Calibri" w:cs="Times New Roman"/>
                <w:szCs w:val="20"/>
              </w:rPr>
              <w:t>measured</w:t>
            </w:r>
          </w:p>
        </w:tc>
        <w:tc>
          <w:tcPr>
            <w:tcW w:w="2126" w:type="dxa"/>
          </w:tcPr>
          <w:p w14:paraId="52B45617" w14:textId="5BAEA399" w:rsidR="00E5570A" w:rsidRDefault="00803123" w:rsidP="00425FBC">
            <w:pPr>
              <w:ind w:right="-22"/>
              <w:jc w:val="center"/>
              <w:rPr>
                <w:rFonts w:eastAsia="Calibri" w:cs="Times New Roman"/>
                <w:szCs w:val="20"/>
              </w:rPr>
            </w:pPr>
            <w:r>
              <w:rPr>
                <w:rFonts w:eastAsia="Calibri" w:cs="Times New Roman"/>
                <w:szCs w:val="20"/>
              </w:rPr>
              <w:t xml:space="preserve">not </w:t>
            </w:r>
            <w:r w:rsidR="00E5570A">
              <w:rPr>
                <w:rFonts w:eastAsia="Calibri" w:cs="Times New Roman"/>
                <w:szCs w:val="20"/>
              </w:rPr>
              <w:t>measured</w:t>
            </w:r>
          </w:p>
        </w:tc>
        <w:tc>
          <w:tcPr>
            <w:tcW w:w="1418" w:type="dxa"/>
          </w:tcPr>
          <w:p w14:paraId="6B5790C9" w14:textId="77777777" w:rsidR="00E5570A" w:rsidRDefault="00E5570A" w:rsidP="00425FBC">
            <w:pPr>
              <w:ind w:right="-22"/>
              <w:jc w:val="center"/>
              <w:rPr>
                <w:rFonts w:eastAsia="Calibri" w:cs="Times New Roman"/>
                <w:szCs w:val="20"/>
              </w:rPr>
            </w:pPr>
            <w:r>
              <w:rPr>
                <w:rFonts w:eastAsia="Calibri" w:cs="Times New Roman"/>
                <w:szCs w:val="20"/>
              </w:rPr>
              <w:t>measured</w:t>
            </w:r>
          </w:p>
        </w:tc>
      </w:tr>
      <w:tr w:rsidR="00E5570A" w14:paraId="24F3E88E" w14:textId="77777777" w:rsidTr="00E5570A">
        <w:trPr>
          <w:jc w:val="center"/>
        </w:trPr>
        <w:tc>
          <w:tcPr>
            <w:tcW w:w="1413" w:type="dxa"/>
          </w:tcPr>
          <w:p w14:paraId="3C195EA9" w14:textId="77777777" w:rsidR="00E5570A" w:rsidRDefault="00E5570A" w:rsidP="00425FBC">
            <w:pPr>
              <w:ind w:right="-22"/>
              <w:rPr>
                <w:rFonts w:eastAsia="Calibri" w:cs="Times New Roman"/>
                <w:szCs w:val="20"/>
              </w:rPr>
            </w:pPr>
            <w:r>
              <w:rPr>
                <w:rFonts w:eastAsia="Calibri" w:cs="Times New Roman"/>
                <w:szCs w:val="20"/>
              </w:rPr>
              <w:t>Expired</w:t>
            </w:r>
          </w:p>
        </w:tc>
        <w:tc>
          <w:tcPr>
            <w:tcW w:w="1792" w:type="dxa"/>
          </w:tcPr>
          <w:p w14:paraId="3451502A" w14:textId="77777777" w:rsidR="00E5570A" w:rsidRDefault="00E5570A" w:rsidP="00425FBC">
            <w:pPr>
              <w:ind w:right="-22"/>
              <w:jc w:val="center"/>
              <w:rPr>
                <w:rFonts w:eastAsia="Calibri" w:cs="Times New Roman"/>
                <w:szCs w:val="20"/>
              </w:rPr>
            </w:pPr>
            <w:r>
              <w:rPr>
                <w:rFonts w:eastAsia="Calibri" w:cs="Times New Roman"/>
                <w:szCs w:val="20"/>
              </w:rPr>
              <w:t>non-EMR</w:t>
            </w:r>
          </w:p>
        </w:tc>
        <w:tc>
          <w:tcPr>
            <w:tcW w:w="2177" w:type="dxa"/>
          </w:tcPr>
          <w:p w14:paraId="2E7D1BC6" w14:textId="77777777" w:rsidR="00E5570A" w:rsidRDefault="00E5570A" w:rsidP="00425FBC">
            <w:pPr>
              <w:ind w:right="-22"/>
              <w:jc w:val="center"/>
              <w:rPr>
                <w:rFonts w:eastAsia="Calibri" w:cs="Times New Roman"/>
                <w:szCs w:val="20"/>
              </w:rPr>
            </w:pPr>
            <w:r>
              <w:rPr>
                <w:rFonts w:eastAsia="Calibri" w:cs="Times New Roman"/>
                <w:szCs w:val="20"/>
              </w:rPr>
              <w:t>not measured</w:t>
            </w:r>
          </w:p>
        </w:tc>
        <w:tc>
          <w:tcPr>
            <w:tcW w:w="2126" w:type="dxa"/>
          </w:tcPr>
          <w:p w14:paraId="109F3D78" w14:textId="77777777" w:rsidR="00E5570A" w:rsidRDefault="00E5570A" w:rsidP="00425FBC">
            <w:pPr>
              <w:ind w:right="-22"/>
              <w:jc w:val="center"/>
              <w:rPr>
                <w:rFonts w:eastAsia="Calibri" w:cs="Times New Roman"/>
                <w:szCs w:val="20"/>
              </w:rPr>
            </w:pPr>
            <w:r>
              <w:rPr>
                <w:rFonts w:eastAsia="Calibri" w:cs="Times New Roman"/>
                <w:szCs w:val="20"/>
              </w:rPr>
              <w:t>measured</w:t>
            </w:r>
          </w:p>
        </w:tc>
        <w:tc>
          <w:tcPr>
            <w:tcW w:w="1418" w:type="dxa"/>
          </w:tcPr>
          <w:p w14:paraId="4805E375" w14:textId="77777777" w:rsidR="00E5570A" w:rsidRDefault="00E5570A" w:rsidP="00425FBC">
            <w:pPr>
              <w:ind w:right="-22"/>
              <w:jc w:val="center"/>
              <w:rPr>
                <w:rFonts w:eastAsia="Calibri" w:cs="Times New Roman"/>
                <w:szCs w:val="20"/>
              </w:rPr>
            </w:pPr>
            <w:r>
              <w:rPr>
                <w:rFonts w:eastAsia="Calibri" w:cs="Times New Roman"/>
                <w:szCs w:val="20"/>
              </w:rPr>
              <w:t>measured</w:t>
            </w:r>
          </w:p>
        </w:tc>
      </w:tr>
      <w:tr w:rsidR="00E5570A" w14:paraId="0C6CE0F0" w14:textId="77777777" w:rsidTr="00E5570A">
        <w:trPr>
          <w:jc w:val="center"/>
        </w:trPr>
        <w:tc>
          <w:tcPr>
            <w:tcW w:w="1413" w:type="dxa"/>
          </w:tcPr>
          <w:p w14:paraId="3C2D5C63" w14:textId="77777777" w:rsidR="00E5570A" w:rsidRDefault="00E5570A" w:rsidP="00425FBC">
            <w:pPr>
              <w:ind w:right="-22"/>
              <w:rPr>
                <w:rFonts w:eastAsia="Calibri" w:cs="Times New Roman"/>
                <w:szCs w:val="20"/>
              </w:rPr>
            </w:pPr>
          </w:p>
        </w:tc>
        <w:tc>
          <w:tcPr>
            <w:tcW w:w="1792" w:type="dxa"/>
          </w:tcPr>
          <w:p w14:paraId="333E22C6" w14:textId="77777777" w:rsidR="00E5570A" w:rsidRDefault="00E5570A" w:rsidP="00425FBC">
            <w:pPr>
              <w:ind w:right="-22"/>
              <w:jc w:val="center"/>
              <w:rPr>
                <w:rFonts w:eastAsia="Calibri" w:cs="Times New Roman"/>
                <w:szCs w:val="20"/>
              </w:rPr>
            </w:pPr>
            <w:r>
              <w:rPr>
                <w:rFonts w:eastAsia="Calibri" w:cs="Times New Roman"/>
                <w:szCs w:val="20"/>
              </w:rPr>
              <w:t>overlapping EMR</w:t>
            </w:r>
          </w:p>
        </w:tc>
        <w:tc>
          <w:tcPr>
            <w:tcW w:w="2177" w:type="dxa"/>
          </w:tcPr>
          <w:p w14:paraId="71C8D37A" w14:textId="77777777" w:rsidR="00E5570A" w:rsidRDefault="00E5570A" w:rsidP="00425FBC">
            <w:pPr>
              <w:ind w:right="-22"/>
              <w:jc w:val="center"/>
              <w:rPr>
                <w:rFonts w:eastAsia="Calibri" w:cs="Times New Roman"/>
                <w:szCs w:val="20"/>
              </w:rPr>
            </w:pPr>
            <w:r>
              <w:rPr>
                <w:rFonts w:eastAsia="Calibri" w:cs="Times New Roman"/>
                <w:szCs w:val="20"/>
              </w:rPr>
              <w:t>not measured</w:t>
            </w:r>
          </w:p>
        </w:tc>
        <w:tc>
          <w:tcPr>
            <w:tcW w:w="2126" w:type="dxa"/>
          </w:tcPr>
          <w:p w14:paraId="4065EF73" w14:textId="77777777" w:rsidR="00E5570A" w:rsidRDefault="00E5570A" w:rsidP="00425FBC">
            <w:pPr>
              <w:ind w:right="-22"/>
              <w:jc w:val="center"/>
              <w:rPr>
                <w:rFonts w:eastAsia="Calibri" w:cs="Times New Roman"/>
                <w:szCs w:val="20"/>
              </w:rPr>
            </w:pPr>
            <w:r>
              <w:rPr>
                <w:rFonts w:eastAsia="Calibri" w:cs="Times New Roman"/>
                <w:szCs w:val="20"/>
              </w:rPr>
              <w:t>measured</w:t>
            </w:r>
          </w:p>
        </w:tc>
        <w:tc>
          <w:tcPr>
            <w:tcW w:w="1418" w:type="dxa"/>
          </w:tcPr>
          <w:p w14:paraId="219FD9A2" w14:textId="77777777" w:rsidR="00E5570A" w:rsidRDefault="00E5570A" w:rsidP="00425FBC">
            <w:pPr>
              <w:ind w:right="-22"/>
              <w:jc w:val="center"/>
              <w:rPr>
                <w:rFonts w:eastAsia="Calibri" w:cs="Times New Roman"/>
                <w:szCs w:val="20"/>
              </w:rPr>
            </w:pPr>
            <w:r>
              <w:rPr>
                <w:rFonts w:eastAsia="Calibri" w:cs="Times New Roman"/>
                <w:szCs w:val="20"/>
              </w:rPr>
              <w:t>measured</w:t>
            </w:r>
          </w:p>
        </w:tc>
      </w:tr>
    </w:tbl>
    <w:p w14:paraId="29A80A90" w14:textId="77777777" w:rsidR="00E5570A" w:rsidRDefault="00E5570A" w:rsidP="00D045E0">
      <w:pPr>
        <w:ind w:right="-22"/>
      </w:pPr>
    </w:p>
    <w:p w14:paraId="254F45EF" w14:textId="302800C1" w:rsidR="00415FEE" w:rsidRPr="00E5570A" w:rsidRDefault="00803123" w:rsidP="00D045E0">
      <w:pPr>
        <w:ind w:right="-22"/>
        <w:rPr>
          <w:rFonts w:eastAsia="Calibri" w:cs="Times New Roman"/>
          <w:szCs w:val="20"/>
        </w:rPr>
      </w:pPr>
      <w:r>
        <w:t xml:space="preserve">In this case we have assumed that thresholds are set at the same </w:t>
      </w:r>
      <w:proofErr w:type="spellStart"/>
      <w:r>
        <w:t>Srxlev</w:t>
      </w:r>
      <w:proofErr w:type="spellEnd"/>
      <w:r>
        <w:t>. The use of this threshold would be network configurable (similar as with current</w:t>
      </w:r>
      <w:r w:rsidRPr="00241959">
        <w:t xml:space="preserve"> </w:t>
      </w:r>
      <w:proofErr w:type="spellStart"/>
      <w:r w:rsidRPr="00241959">
        <w:t>S</w:t>
      </w:r>
      <w:r w:rsidRPr="00241959">
        <w:rPr>
          <w:vertAlign w:val="subscript"/>
        </w:rPr>
        <w:t>nonIntraSearch</w:t>
      </w:r>
      <w:proofErr w:type="spellEnd"/>
      <w:r>
        <w:t xml:space="preserve"> threshold). </w:t>
      </w:r>
      <w:r w:rsidR="00E5570A">
        <w:t xml:space="preserve">This would </w:t>
      </w:r>
      <w:r>
        <w:t xml:space="preserve">further reduction of the UE inter-frequency measurement for EMR carriers at cell edge. </w:t>
      </w:r>
      <w:r w:rsidR="00E5570A">
        <w:t xml:space="preserve"> </w:t>
      </w:r>
    </w:p>
    <w:p w14:paraId="7CD1AD61" w14:textId="4E10FC7D" w:rsidR="00415FEE" w:rsidRDefault="00803123" w:rsidP="00803123">
      <w:pPr>
        <w:pStyle w:val="RAN4proposal"/>
      </w:pPr>
      <w:r>
        <w:t xml:space="preserve">Introduce </w:t>
      </w:r>
      <w:r w:rsidR="003C50FF">
        <w:t>cell edge search threshold for NR EMR carriers.</w:t>
      </w:r>
    </w:p>
    <w:p w14:paraId="0C880662" w14:textId="77777777" w:rsidR="00715F1A" w:rsidRDefault="00715F1A" w:rsidP="00D045E0">
      <w:pPr>
        <w:ind w:right="-22"/>
        <w:rPr>
          <w:rFonts w:eastAsia="Calibri" w:cs="Times New Roman"/>
          <w:szCs w:val="20"/>
          <w:lang w:val="en-GB"/>
        </w:rPr>
      </w:pPr>
    </w:p>
    <w:p w14:paraId="63EC7724" w14:textId="316B6662" w:rsidR="00CA2754" w:rsidRDefault="00CA2754" w:rsidP="00CA2754">
      <w:pPr>
        <w:pStyle w:val="RAN4H2"/>
        <w:rPr>
          <w:rFonts w:eastAsia="Calibri"/>
          <w:lang w:val="en-GB"/>
        </w:rPr>
      </w:pPr>
      <w:r>
        <w:rPr>
          <w:rFonts w:eastAsia="Calibri"/>
          <w:lang w:val="en-GB"/>
        </w:rPr>
        <w:t>EMR behaviour at cell change</w:t>
      </w:r>
    </w:p>
    <w:p w14:paraId="78B6D076" w14:textId="7982F679" w:rsidR="00CA2754" w:rsidRDefault="00BF3549" w:rsidP="00D045E0">
      <w:pPr>
        <w:ind w:right="-22"/>
        <w:rPr>
          <w:rFonts w:eastAsia="Calibri" w:cs="Times New Roman"/>
          <w:szCs w:val="20"/>
          <w:lang w:val="en-GB"/>
        </w:rPr>
      </w:pPr>
      <w:r>
        <w:rPr>
          <w:rFonts w:eastAsia="Calibri" w:cs="Times New Roman"/>
          <w:szCs w:val="20"/>
          <w:lang w:val="en-GB"/>
        </w:rPr>
        <w:t xml:space="preserve">Last meeting RAN4 also managed to discuss </w:t>
      </w:r>
      <w:proofErr w:type="gramStart"/>
      <w:r>
        <w:rPr>
          <w:rFonts w:eastAsia="Calibri" w:cs="Times New Roman"/>
          <w:szCs w:val="20"/>
          <w:lang w:val="en-GB"/>
        </w:rPr>
        <w:t>a number of</w:t>
      </w:r>
      <w:proofErr w:type="gramEnd"/>
      <w:r>
        <w:rPr>
          <w:rFonts w:eastAsia="Calibri" w:cs="Times New Roman"/>
          <w:szCs w:val="20"/>
          <w:lang w:val="en-GB"/>
        </w:rPr>
        <w:t xml:space="preserve"> aspect</w:t>
      </w:r>
      <w:r w:rsidR="0082076F">
        <w:rPr>
          <w:rFonts w:eastAsia="Calibri" w:cs="Times New Roman"/>
          <w:szCs w:val="20"/>
          <w:lang w:val="en-GB"/>
        </w:rPr>
        <w:t>s</w:t>
      </w:r>
      <w:r>
        <w:rPr>
          <w:rFonts w:eastAsia="Calibri" w:cs="Times New Roman"/>
          <w:szCs w:val="20"/>
          <w:lang w:val="en-GB"/>
        </w:rPr>
        <w:t xml:space="preserve"> related to EMR and cell change. Most topics were left open and </w:t>
      </w:r>
      <w:r w:rsidR="0082076F">
        <w:rPr>
          <w:rFonts w:eastAsia="Calibri" w:cs="Times New Roman"/>
          <w:szCs w:val="20"/>
          <w:lang w:val="en-GB"/>
        </w:rPr>
        <w:t xml:space="preserve">captured in the WF for further study by the companies. </w:t>
      </w:r>
    </w:p>
    <w:p w14:paraId="4909A267" w14:textId="50236B77" w:rsidR="0082076F" w:rsidRDefault="0082076F" w:rsidP="00D045E0">
      <w:pPr>
        <w:ind w:right="-22"/>
        <w:rPr>
          <w:rFonts w:eastAsia="Calibri" w:cs="Times New Roman"/>
          <w:szCs w:val="20"/>
          <w:lang w:val="en-GB"/>
        </w:rPr>
      </w:pPr>
      <w:r>
        <w:rPr>
          <w:rFonts w:eastAsia="Calibri" w:cs="Times New Roman"/>
          <w:szCs w:val="20"/>
          <w:lang w:val="en-GB"/>
        </w:rPr>
        <w:t>initial topics regarding cell change and EMR:</w:t>
      </w:r>
    </w:p>
    <w:p w14:paraId="5BF48BF0" w14:textId="77777777" w:rsidR="0082076F" w:rsidRPr="0082076F" w:rsidRDefault="0082076F" w:rsidP="0082076F">
      <w:pPr>
        <w:numPr>
          <w:ilvl w:val="0"/>
          <w:numId w:val="26"/>
        </w:numPr>
        <w:ind w:right="-22"/>
        <w:rPr>
          <w:rFonts w:eastAsia="Calibri" w:cs="Times New Roman"/>
          <w:szCs w:val="20"/>
          <w:lang w:val="en-GB"/>
        </w:rPr>
      </w:pPr>
      <w:r w:rsidRPr="0082076F">
        <w:rPr>
          <w:rFonts w:eastAsia="Calibri" w:cs="Times New Roman"/>
          <w:szCs w:val="20"/>
          <w:lang w:val="en-GB"/>
        </w:rPr>
        <w:t>Possible Agreement: Follow RAN2 agreements which are (for information)</w:t>
      </w:r>
    </w:p>
    <w:p w14:paraId="4FA9581E" w14:textId="77777777" w:rsidR="0082076F" w:rsidRPr="0082076F" w:rsidRDefault="0082076F" w:rsidP="0082076F">
      <w:pPr>
        <w:numPr>
          <w:ilvl w:val="1"/>
          <w:numId w:val="26"/>
        </w:numPr>
        <w:ind w:right="-22"/>
        <w:rPr>
          <w:rFonts w:eastAsia="Calibri" w:cs="Times New Roman"/>
          <w:szCs w:val="20"/>
          <w:lang w:val="en-GB"/>
        </w:rPr>
      </w:pPr>
      <w:r w:rsidRPr="0082076F">
        <w:rPr>
          <w:rFonts w:eastAsia="Calibri" w:cs="Times New Roman"/>
          <w:szCs w:val="20"/>
          <w:lang w:val="en-GB"/>
        </w:rPr>
        <w:t>Dedicated:</w:t>
      </w:r>
    </w:p>
    <w:p w14:paraId="2EA66040" w14:textId="77777777" w:rsidR="0082076F" w:rsidRPr="0082076F" w:rsidRDefault="0082076F" w:rsidP="0082076F">
      <w:pPr>
        <w:numPr>
          <w:ilvl w:val="2"/>
          <w:numId w:val="26"/>
        </w:numPr>
        <w:ind w:right="-22"/>
        <w:rPr>
          <w:rFonts w:eastAsia="Calibri" w:cs="Times New Roman"/>
          <w:szCs w:val="20"/>
          <w:lang w:val="en-GB"/>
        </w:rPr>
      </w:pPr>
      <w:r w:rsidRPr="0082076F">
        <w:rPr>
          <w:rFonts w:eastAsia="Calibri" w:cs="Times New Roman"/>
          <w:szCs w:val="20"/>
          <w:lang w:val="en-GB"/>
        </w:rPr>
        <w:t xml:space="preserve">UE performs measurements for EMR using the </w:t>
      </w:r>
      <w:proofErr w:type="spellStart"/>
      <w:r w:rsidRPr="0082076F">
        <w:rPr>
          <w:rFonts w:eastAsia="Calibri" w:cs="Times New Roman"/>
          <w:szCs w:val="20"/>
          <w:lang w:val="en-GB"/>
        </w:rPr>
        <w:t>RRCRelease</w:t>
      </w:r>
      <w:proofErr w:type="spellEnd"/>
      <w:r w:rsidRPr="0082076F">
        <w:rPr>
          <w:rFonts w:eastAsia="Calibri" w:cs="Times New Roman"/>
          <w:szCs w:val="20"/>
          <w:lang w:val="en-GB"/>
        </w:rPr>
        <w:t xml:space="preserve"> configured MOs independently from PCell changes while T331 is running.</w:t>
      </w:r>
    </w:p>
    <w:p w14:paraId="3FC73990" w14:textId="77777777" w:rsidR="0082076F" w:rsidRPr="0082076F" w:rsidRDefault="0082076F" w:rsidP="0082076F">
      <w:pPr>
        <w:numPr>
          <w:ilvl w:val="1"/>
          <w:numId w:val="26"/>
        </w:numPr>
        <w:ind w:right="-22"/>
        <w:rPr>
          <w:rFonts w:eastAsia="Calibri" w:cs="Times New Roman"/>
          <w:szCs w:val="20"/>
          <w:lang w:val="en-GB"/>
        </w:rPr>
      </w:pPr>
      <w:r w:rsidRPr="0082076F">
        <w:rPr>
          <w:rFonts w:eastAsia="Calibri" w:cs="Times New Roman"/>
          <w:szCs w:val="20"/>
          <w:lang w:val="en-GB"/>
        </w:rPr>
        <w:lastRenderedPageBreak/>
        <w:t>SIB Configured:</w:t>
      </w:r>
    </w:p>
    <w:p w14:paraId="58F819A2" w14:textId="77777777" w:rsidR="0082076F" w:rsidRPr="0082076F" w:rsidRDefault="0082076F" w:rsidP="0082076F">
      <w:pPr>
        <w:numPr>
          <w:ilvl w:val="2"/>
          <w:numId w:val="26"/>
        </w:numPr>
        <w:ind w:right="-22"/>
        <w:rPr>
          <w:rFonts w:eastAsia="Calibri" w:cs="Times New Roman"/>
          <w:szCs w:val="20"/>
          <w:lang w:val="en-GB"/>
        </w:rPr>
      </w:pPr>
      <w:r w:rsidRPr="0082076F">
        <w:rPr>
          <w:rFonts w:eastAsia="Calibri" w:cs="Times New Roman"/>
          <w:szCs w:val="20"/>
          <w:lang w:val="en-GB"/>
        </w:rPr>
        <w:t>UE performs EMR measurements according to serving cell SIB configuration while T331 is running.</w:t>
      </w:r>
    </w:p>
    <w:p w14:paraId="40FC5144" w14:textId="77777777" w:rsidR="0082076F" w:rsidRPr="0082076F" w:rsidRDefault="0082076F" w:rsidP="0082076F">
      <w:pPr>
        <w:numPr>
          <w:ilvl w:val="1"/>
          <w:numId w:val="26"/>
        </w:numPr>
        <w:ind w:right="-22"/>
        <w:rPr>
          <w:rFonts w:eastAsia="Calibri" w:cs="Times New Roman"/>
          <w:szCs w:val="20"/>
          <w:lang w:val="en-GB"/>
        </w:rPr>
      </w:pPr>
      <w:r w:rsidRPr="0082076F">
        <w:rPr>
          <w:rFonts w:eastAsia="Calibri" w:cs="Times New Roman"/>
          <w:szCs w:val="20"/>
          <w:lang w:val="en-GB"/>
        </w:rPr>
        <w:t>FFS whether the above also applies when the carrier changes from overlapping to non-overlapping or from non-overlapping to overlapping after the cell change</w:t>
      </w:r>
    </w:p>
    <w:p w14:paraId="2AC66962" w14:textId="77777777" w:rsidR="0082076F" w:rsidRPr="0082076F" w:rsidRDefault="0082076F" w:rsidP="0082076F">
      <w:pPr>
        <w:numPr>
          <w:ilvl w:val="0"/>
          <w:numId w:val="26"/>
        </w:numPr>
        <w:ind w:right="-22"/>
        <w:rPr>
          <w:rFonts w:eastAsia="Calibri" w:cs="Times New Roman"/>
          <w:szCs w:val="20"/>
          <w:lang w:val="en-GB"/>
        </w:rPr>
      </w:pPr>
      <w:r w:rsidRPr="0082076F">
        <w:rPr>
          <w:rFonts w:eastAsia="Calibri" w:cs="Times New Roman"/>
          <w:szCs w:val="20"/>
          <w:lang w:val="en-GB"/>
        </w:rPr>
        <w:t>Discuss if any additional rules are necessary from RAN4 side</w:t>
      </w:r>
    </w:p>
    <w:p w14:paraId="79DEA61E" w14:textId="5AED5FF9" w:rsidR="0082076F" w:rsidRDefault="0082076F" w:rsidP="00D045E0">
      <w:pPr>
        <w:ind w:right="-22"/>
        <w:rPr>
          <w:rFonts w:eastAsia="Calibri" w:cs="Times New Roman"/>
          <w:szCs w:val="20"/>
          <w:lang w:val="en-GB"/>
        </w:rPr>
      </w:pPr>
      <w:r>
        <w:rPr>
          <w:rFonts w:eastAsia="Calibri" w:cs="Times New Roman"/>
          <w:szCs w:val="20"/>
          <w:lang w:val="en-GB"/>
        </w:rPr>
        <w:t xml:space="preserve">In general, we see that RAN4 follow the RAN2 agreements and hence we support the possible agreement. Our understanding of </w:t>
      </w:r>
      <w:proofErr w:type="gramStart"/>
      <w:r>
        <w:rPr>
          <w:rFonts w:eastAsia="Calibri" w:cs="Times New Roman"/>
          <w:szCs w:val="20"/>
          <w:lang w:val="en-GB"/>
        </w:rPr>
        <w:t>an</w:t>
      </w:r>
      <w:proofErr w:type="gramEnd"/>
      <w:r>
        <w:rPr>
          <w:rFonts w:eastAsia="Calibri" w:cs="Times New Roman"/>
          <w:szCs w:val="20"/>
          <w:lang w:val="en-GB"/>
        </w:rPr>
        <w:t xml:space="preserve"> non-overlapping carrier is that such carrier is not for mobility. Therefore, there is no reason to discuss what the UE requirements would be in case UE reselection to/from non-overlapping carrier.</w:t>
      </w:r>
    </w:p>
    <w:p w14:paraId="5F87C01A" w14:textId="40BD1E15" w:rsidR="0082076F" w:rsidRDefault="0082076F" w:rsidP="0082076F">
      <w:pPr>
        <w:pStyle w:val="RAN4observation0"/>
      </w:pPr>
      <w:r>
        <w:t>Non-overlapping carriers are carrier not used for mobility.</w:t>
      </w:r>
    </w:p>
    <w:p w14:paraId="3237E9BD" w14:textId="3F2EBC11" w:rsidR="0082076F" w:rsidRPr="0082076F" w:rsidRDefault="00ED5797" w:rsidP="0082076F">
      <w:pPr>
        <w:pStyle w:val="RAN4proposal"/>
        <w:rPr>
          <w:lang w:val="en-GB"/>
        </w:rPr>
      </w:pPr>
      <w:r>
        <w:rPr>
          <w:lang w:val="en-GB"/>
        </w:rPr>
        <w:t>At cell change - f</w:t>
      </w:r>
      <w:r w:rsidR="0082076F">
        <w:rPr>
          <w:lang w:val="en-GB"/>
        </w:rPr>
        <w:t>ollow the RAN2 agreements.</w:t>
      </w:r>
    </w:p>
    <w:p w14:paraId="562B522A" w14:textId="55866BF8" w:rsidR="00BF3549" w:rsidRDefault="0082076F" w:rsidP="00D045E0">
      <w:pPr>
        <w:ind w:right="-22"/>
        <w:rPr>
          <w:rFonts w:eastAsia="Calibri" w:cs="Times New Roman"/>
          <w:szCs w:val="20"/>
          <w:lang w:val="en-GB"/>
        </w:rPr>
      </w:pPr>
      <w:r>
        <w:rPr>
          <w:rFonts w:eastAsia="Calibri" w:cs="Times New Roman"/>
          <w:szCs w:val="20"/>
          <w:lang w:val="en-GB"/>
        </w:rPr>
        <w:t>Second part of the discussion considered following topics</w:t>
      </w:r>
      <w:r w:rsidR="00004676">
        <w:rPr>
          <w:rFonts w:eastAsia="Calibri" w:cs="Times New Roman"/>
          <w:szCs w:val="20"/>
          <w:lang w:val="en-GB"/>
        </w:rPr>
        <w:t xml:space="preserve"> which we address next</w:t>
      </w:r>
      <w:r>
        <w:rPr>
          <w:rFonts w:eastAsia="Calibri" w:cs="Times New Roman"/>
          <w:szCs w:val="20"/>
          <w:lang w:val="en-GB"/>
        </w:rPr>
        <w:t>:</w:t>
      </w:r>
    </w:p>
    <w:p w14:paraId="55C9D67C" w14:textId="77777777" w:rsidR="0082076F" w:rsidRPr="0082076F" w:rsidRDefault="0082076F" w:rsidP="0082076F">
      <w:pPr>
        <w:numPr>
          <w:ilvl w:val="0"/>
          <w:numId w:val="27"/>
        </w:numPr>
        <w:ind w:right="-22"/>
        <w:rPr>
          <w:rFonts w:eastAsia="Calibri" w:cs="Times New Roman"/>
          <w:szCs w:val="20"/>
          <w:lang w:val="en-GB"/>
        </w:rPr>
      </w:pPr>
      <w:r w:rsidRPr="0082076F">
        <w:rPr>
          <w:rFonts w:eastAsia="Calibri" w:cs="Times New Roman"/>
          <w:szCs w:val="20"/>
          <w:lang w:val="en-GB"/>
        </w:rPr>
        <w:t>At cell change, what is the UE behaviour related to reporting of EMR:</w:t>
      </w:r>
    </w:p>
    <w:p w14:paraId="3B36495C" w14:textId="77777777" w:rsidR="0082076F" w:rsidRPr="0082076F" w:rsidRDefault="0082076F" w:rsidP="0082076F">
      <w:pPr>
        <w:numPr>
          <w:ilvl w:val="1"/>
          <w:numId w:val="27"/>
        </w:numPr>
        <w:ind w:right="-22"/>
        <w:rPr>
          <w:rFonts w:eastAsia="Calibri" w:cs="Times New Roman"/>
          <w:szCs w:val="20"/>
          <w:lang w:val="en-GB"/>
        </w:rPr>
      </w:pPr>
      <w:r w:rsidRPr="0082076F">
        <w:rPr>
          <w:rFonts w:eastAsia="Calibri" w:cs="Times New Roman"/>
          <w:szCs w:val="20"/>
          <w:lang w:val="en-GB"/>
        </w:rPr>
        <w:t>Option 1: leave it to UE implementation</w:t>
      </w:r>
    </w:p>
    <w:p w14:paraId="2CA920FF" w14:textId="20E8E170" w:rsidR="0082076F" w:rsidRDefault="0082076F" w:rsidP="0082076F">
      <w:pPr>
        <w:numPr>
          <w:ilvl w:val="1"/>
          <w:numId w:val="27"/>
        </w:numPr>
        <w:ind w:right="-22"/>
        <w:rPr>
          <w:rFonts w:eastAsia="Calibri" w:cs="Times New Roman"/>
          <w:szCs w:val="20"/>
          <w:lang w:val="en-GB"/>
        </w:rPr>
      </w:pPr>
      <w:r w:rsidRPr="0082076F">
        <w:rPr>
          <w:rFonts w:eastAsia="Calibri" w:cs="Times New Roman"/>
          <w:szCs w:val="20"/>
          <w:lang w:val="en-GB"/>
        </w:rPr>
        <w:t>Option 2: RAN4 defines specific rules</w:t>
      </w:r>
    </w:p>
    <w:p w14:paraId="260C4A6F" w14:textId="77777777" w:rsidR="00004676" w:rsidRDefault="00004676" w:rsidP="00004676">
      <w:pPr>
        <w:ind w:right="-22"/>
        <w:rPr>
          <w:rFonts w:eastAsia="Calibri" w:cs="Times New Roman"/>
          <w:szCs w:val="20"/>
          <w:lang w:val="en-GB"/>
        </w:rPr>
      </w:pPr>
      <w:r>
        <w:rPr>
          <w:rFonts w:eastAsia="Calibri" w:cs="Times New Roman"/>
          <w:szCs w:val="20"/>
          <w:lang w:val="en-GB"/>
        </w:rPr>
        <w:t>At RAN2#106 RAN2 agreed following:</w:t>
      </w:r>
    </w:p>
    <w:p w14:paraId="40903CD2" w14:textId="77777777" w:rsidR="00004676" w:rsidRDefault="00004676" w:rsidP="00004676">
      <w:pPr>
        <w:pStyle w:val="Doc-text2"/>
        <w:pBdr>
          <w:top w:val="single" w:sz="4" w:space="1" w:color="auto"/>
          <w:left w:val="single" w:sz="4" w:space="4" w:color="auto"/>
          <w:bottom w:val="single" w:sz="4" w:space="1" w:color="auto"/>
          <w:right w:val="single" w:sz="4" w:space="4" w:color="auto"/>
        </w:pBdr>
      </w:pPr>
      <w:r>
        <w:t>Agreements</w:t>
      </w:r>
    </w:p>
    <w:p w14:paraId="787A1C7A" w14:textId="77777777" w:rsidR="00004676" w:rsidRDefault="00004676" w:rsidP="00004676">
      <w:pPr>
        <w:pStyle w:val="Doc-text2"/>
        <w:pBdr>
          <w:top w:val="single" w:sz="4" w:space="1" w:color="auto"/>
          <w:left w:val="single" w:sz="4" w:space="4" w:color="auto"/>
          <w:bottom w:val="single" w:sz="4" w:space="1" w:color="auto"/>
          <w:right w:val="single" w:sz="4" w:space="4" w:color="auto"/>
        </w:pBdr>
      </w:pPr>
      <w:r>
        <w:t>1</w:t>
      </w:r>
      <w:r>
        <w:tab/>
        <w:t xml:space="preserve">The early measurement configuration can be different between that in </w:t>
      </w:r>
      <w:proofErr w:type="spellStart"/>
      <w:r>
        <w:t>RRCRelease</w:t>
      </w:r>
      <w:proofErr w:type="spellEnd"/>
      <w:r>
        <w:t xml:space="preserve"> and in SIB. If the UE receives the early measurement configuration from </w:t>
      </w:r>
      <w:proofErr w:type="spellStart"/>
      <w:r>
        <w:t>RRCRelease</w:t>
      </w:r>
      <w:proofErr w:type="spellEnd"/>
      <w:r>
        <w:t>, this overrides the early measurement configuration provided in SIB (if any).</w:t>
      </w:r>
    </w:p>
    <w:p w14:paraId="7FA36C80" w14:textId="77777777" w:rsidR="00004676" w:rsidRDefault="00004676" w:rsidP="00004676">
      <w:pPr>
        <w:pStyle w:val="Doc-text2"/>
        <w:pBdr>
          <w:top w:val="single" w:sz="4" w:space="1" w:color="auto"/>
          <w:left w:val="single" w:sz="4" w:space="4" w:color="auto"/>
          <w:bottom w:val="single" w:sz="4" w:space="1" w:color="auto"/>
          <w:right w:val="single" w:sz="4" w:space="4" w:color="auto"/>
        </w:pBdr>
      </w:pPr>
      <w:r>
        <w:t xml:space="preserve">FFS: Whether some other measurement related configuration in SI (e.g. </w:t>
      </w:r>
      <w:proofErr w:type="spellStart"/>
      <w:r>
        <w:t>smtc</w:t>
      </w:r>
      <w:proofErr w:type="spellEnd"/>
      <w:r>
        <w:t>) outside of the early measurement configuration can still be used.</w:t>
      </w:r>
    </w:p>
    <w:p w14:paraId="3B867831" w14:textId="77777777" w:rsidR="00004676" w:rsidRDefault="00004676" w:rsidP="00004676">
      <w:pPr>
        <w:pStyle w:val="Doc-text2"/>
        <w:pBdr>
          <w:top w:val="single" w:sz="4" w:space="1" w:color="auto"/>
          <w:left w:val="single" w:sz="4" w:space="4" w:color="auto"/>
          <w:bottom w:val="single" w:sz="4" w:space="1" w:color="auto"/>
          <w:right w:val="single" w:sz="4" w:space="4" w:color="auto"/>
        </w:pBdr>
      </w:pPr>
      <w:r>
        <w:t>2</w:t>
      </w:r>
      <w:r>
        <w:tab/>
        <w:t>A single early measurement configuration is provided in SI for idle and inactive</w:t>
      </w:r>
    </w:p>
    <w:p w14:paraId="30BDB5DC" w14:textId="77777777" w:rsidR="00004676" w:rsidRPr="00004676" w:rsidRDefault="00004676" w:rsidP="00004676">
      <w:pPr>
        <w:pStyle w:val="Doc-text2"/>
        <w:pBdr>
          <w:top w:val="single" w:sz="4" w:space="1" w:color="auto"/>
          <w:left w:val="single" w:sz="4" w:space="4" w:color="auto"/>
          <w:bottom w:val="single" w:sz="4" w:space="1" w:color="auto"/>
          <w:right w:val="single" w:sz="4" w:space="4" w:color="auto"/>
        </w:pBdr>
      </w:pPr>
      <w:r>
        <w:t xml:space="preserve">FFS: Whether the </w:t>
      </w:r>
      <w:r w:rsidRPr="00A174C2">
        <w:t>early measurement configuration</w:t>
      </w:r>
      <w:r>
        <w:t xml:space="preserve"> can be kept when the UE receives the </w:t>
      </w:r>
      <w:r w:rsidRPr="00004676">
        <w:t>Release (to Inactive to Idle) in response to Resume Request.</w:t>
      </w:r>
    </w:p>
    <w:p w14:paraId="78F68C64" w14:textId="77777777" w:rsidR="00004676" w:rsidRPr="00004676" w:rsidRDefault="00004676" w:rsidP="00004676">
      <w:pPr>
        <w:pStyle w:val="Doc-text2"/>
        <w:pBdr>
          <w:top w:val="single" w:sz="4" w:space="1" w:color="auto"/>
          <w:left w:val="single" w:sz="4" w:space="4" w:color="auto"/>
          <w:bottom w:val="single" w:sz="4" w:space="1" w:color="auto"/>
          <w:right w:val="single" w:sz="4" w:space="4" w:color="auto"/>
        </w:pBdr>
      </w:pPr>
      <w:r w:rsidRPr="00004676">
        <w:t>3</w:t>
      </w:r>
      <w:r w:rsidRPr="00004676">
        <w:tab/>
        <w:t>L3 filtering is not applied to early measurement reporting</w:t>
      </w:r>
    </w:p>
    <w:p w14:paraId="2574BF82" w14:textId="77777777" w:rsidR="00004676" w:rsidRDefault="00004676" w:rsidP="00004676">
      <w:pPr>
        <w:pStyle w:val="Doc-text2"/>
        <w:pBdr>
          <w:top w:val="single" w:sz="4" w:space="1" w:color="auto"/>
          <w:left w:val="single" w:sz="4" w:space="4" w:color="auto"/>
          <w:bottom w:val="single" w:sz="4" w:space="1" w:color="auto"/>
          <w:right w:val="single" w:sz="4" w:space="4" w:color="auto"/>
        </w:pBdr>
      </w:pPr>
      <w:r w:rsidRPr="00004676">
        <w:t>4</w:t>
      </w:r>
      <w:r w:rsidRPr="00004676">
        <w:tab/>
        <w:t>The UE performs the idle measurement for the frequencies in configured frequency list only when the UE support CA or MR-DC between the frequency and the serving frequency.</w:t>
      </w:r>
    </w:p>
    <w:p w14:paraId="0AE3965A" w14:textId="77777777" w:rsidR="00004676" w:rsidRDefault="00004676" w:rsidP="00004676">
      <w:pPr>
        <w:pStyle w:val="Doc-text2"/>
        <w:pBdr>
          <w:top w:val="single" w:sz="4" w:space="1" w:color="auto"/>
          <w:left w:val="single" w:sz="4" w:space="4" w:color="auto"/>
          <w:bottom w:val="single" w:sz="4" w:space="1" w:color="auto"/>
          <w:right w:val="single" w:sz="4" w:space="4" w:color="auto"/>
        </w:pBdr>
      </w:pPr>
      <w:r>
        <w:t>FFS Whether the network can provide information on support of CA/DC between frequencies to assist the UE to determine which frequencies to provide measurement for.</w:t>
      </w:r>
    </w:p>
    <w:p w14:paraId="580BB00B" w14:textId="77777777" w:rsidR="00004676" w:rsidRDefault="00004676" w:rsidP="00004676">
      <w:pPr>
        <w:pStyle w:val="Doc-text2"/>
        <w:pBdr>
          <w:top w:val="single" w:sz="4" w:space="1" w:color="auto"/>
          <w:left w:val="single" w:sz="4" w:space="4" w:color="auto"/>
          <w:bottom w:val="single" w:sz="4" w:space="1" w:color="auto"/>
          <w:right w:val="single" w:sz="4" w:space="4" w:color="auto"/>
        </w:pBdr>
      </w:pPr>
      <w:r>
        <w:t>6</w:t>
      </w:r>
      <w:r>
        <w:tab/>
      </w:r>
      <w:r w:rsidRPr="000B7643">
        <w:rPr>
          <w:highlight w:val="cyan"/>
        </w:rPr>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0B7643">
        <w:rPr>
          <w:highlight w:val="cyan"/>
        </w:rPr>
        <w:t>euCA</w:t>
      </w:r>
      <w:proofErr w:type="spellEnd"/>
      <w:r w:rsidRPr="000B7643">
        <w:rPr>
          <w:highlight w:val="cyan"/>
        </w:rPr>
        <w:t>)</w:t>
      </w:r>
    </w:p>
    <w:p w14:paraId="2135BFD0" w14:textId="77777777" w:rsidR="00004676" w:rsidRDefault="00004676" w:rsidP="00004676">
      <w:pPr>
        <w:ind w:right="-22"/>
        <w:rPr>
          <w:rFonts w:eastAsia="Calibri" w:cs="Times New Roman"/>
          <w:szCs w:val="20"/>
          <w:lang w:val="en-GB"/>
        </w:rPr>
      </w:pPr>
    </w:p>
    <w:p w14:paraId="690B1E36" w14:textId="31E8C141" w:rsidR="0082076F" w:rsidRDefault="00004676" w:rsidP="00004676">
      <w:pPr>
        <w:ind w:right="-22"/>
        <w:rPr>
          <w:rFonts w:eastAsia="Calibri" w:cs="Times New Roman"/>
          <w:szCs w:val="20"/>
          <w:lang w:val="en-GB"/>
        </w:rPr>
      </w:pPr>
      <w:r>
        <w:rPr>
          <w:rFonts w:eastAsia="Calibri" w:cs="Times New Roman"/>
          <w:szCs w:val="20"/>
          <w:lang w:val="en-GB"/>
        </w:rPr>
        <w:t>And at RAN2#107bis:</w:t>
      </w:r>
    </w:p>
    <w:tbl>
      <w:tblPr>
        <w:tblStyle w:val="TableGrid"/>
        <w:tblW w:w="8931" w:type="dxa"/>
        <w:tblInd w:w="1129" w:type="dxa"/>
        <w:tblLook w:val="04A0" w:firstRow="1" w:lastRow="0" w:firstColumn="1" w:lastColumn="0" w:noHBand="0" w:noVBand="1"/>
      </w:tblPr>
      <w:tblGrid>
        <w:gridCol w:w="8931"/>
      </w:tblGrid>
      <w:tr w:rsidR="00004676" w14:paraId="7DB70B83" w14:textId="77777777" w:rsidTr="00425FBC">
        <w:tc>
          <w:tcPr>
            <w:tcW w:w="8931" w:type="dxa"/>
          </w:tcPr>
          <w:p w14:paraId="0921761C" w14:textId="77777777" w:rsidR="00004676" w:rsidRDefault="00004676" w:rsidP="00425FBC">
            <w:pPr>
              <w:pStyle w:val="Agreement"/>
              <w:numPr>
                <w:ilvl w:val="0"/>
                <w:numId w:val="0"/>
              </w:numPr>
            </w:pPr>
            <w:r>
              <w:t>Agreements:</w:t>
            </w:r>
          </w:p>
          <w:p w14:paraId="63BCC093" w14:textId="77777777" w:rsidR="00004676" w:rsidRPr="00435C89" w:rsidRDefault="00004676" w:rsidP="00004676">
            <w:pPr>
              <w:pStyle w:val="Agreement"/>
              <w:numPr>
                <w:ilvl w:val="0"/>
                <w:numId w:val="31"/>
              </w:numPr>
              <w:rPr>
                <w:b w:val="0"/>
              </w:rPr>
            </w:pPr>
            <w:r w:rsidRPr="00004676">
              <w:rPr>
                <w:b w:val="0"/>
                <w:highlight w:val="yellow"/>
              </w:rPr>
              <w:t>There is a validity area, and the action when the UE exits the validity area is that the UE stops all early measurements</w:t>
            </w:r>
            <w:r w:rsidRPr="00435C89">
              <w:rPr>
                <w:b w:val="0"/>
              </w:rPr>
              <w:t>.</w:t>
            </w:r>
          </w:p>
          <w:p w14:paraId="5B34AE47" w14:textId="77777777" w:rsidR="00004676" w:rsidRPr="00435C89" w:rsidRDefault="00004676" w:rsidP="00004676">
            <w:pPr>
              <w:pStyle w:val="Agreement"/>
              <w:numPr>
                <w:ilvl w:val="0"/>
                <w:numId w:val="31"/>
              </w:numPr>
              <w:rPr>
                <w:b w:val="0"/>
              </w:rPr>
            </w:pPr>
            <w:r w:rsidRPr="00435C89">
              <w:rPr>
                <w:b w:val="0"/>
                <w:lang w:eastAsia="zh-CN"/>
              </w:rPr>
              <w:t xml:space="preserve">Validity area is configured by means of dedicated RRC </w:t>
            </w:r>
            <w:proofErr w:type="spellStart"/>
            <w:r w:rsidRPr="00435C89">
              <w:rPr>
                <w:b w:val="0"/>
                <w:lang w:eastAsia="zh-CN"/>
              </w:rPr>
              <w:t>signaling</w:t>
            </w:r>
            <w:proofErr w:type="spellEnd"/>
          </w:p>
          <w:p w14:paraId="0F0EC2B2" w14:textId="77777777" w:rsidR="00004676" w:rsidRPr="00435C89" w:rsidRDefault="00004676" w:rsidP="00004676">
            <w:pPr>
              <w:pStyle w:val="Agreement"/>
              <w:numPr>
                <w:ilvl w:val="0"/>
                <w:numId w:val="31"/>
              </w:numPr>
              <w:rPr>
                <w:b w:val="0"/>
                <w:lang w:eastAsia="zh-CN"/>
              </w:rPr>
            </w:pPr>
            <w:r w:rsidRPr="00435C89">
              <w:rPr>
                <w:b w:val="0"/>
                <w:lang w:eastAsia="zh-CN"/>
              </w:rPr>
              <w:t xml:space="preserve">Validity area can be configured by means of: Lists of PCIs; Lists of </w:t>
            </w:r>
            <w:proofErr w:type="spellStart"/>
            <w:r w:rsidRPr="00435C89">
              <w:rPr>
                <w:b w:val="0"/>
                <w:lang w:eastAsia="zh-CN"/>
              </w:rPr>
              <w:t>CellIdentity</w:t>
            </w:r>
            <w:proofErr w:type="spellEnd"/>
            <w:r w:rsidRPr="00435C89">
              <w:rPr>
                <w:b w:val="0"/>
                <w:lang w:eastAsia="zh-CN"/>
              </w:rPr>
              <w:t>;</w:t>
            </w:r>
          </w:p>
          <w:p w14:paraId="444FE587" w14:textId="77777777" w:rsidR="00004676" w:rsidRPr="00435C89" w:rsidRDefault="00004676" w:rsidP="00004676">
            <w:pPr>
              <w:pStyle w:val="Agreement"/>
              <w:numPr>
                <w:ilvl w:val="0"/>
                <w:numId w:val="31"/>
              </w:numPr>
              <w:rPr>
                <w:b w:val="0"/>
                <w:lang w:eastAsia="zh-CN"/>
              </w:rPr>
            </w:pPr>
            <w:r w:rsidRPr="00435C89">
              <w:rPr>
                <w:b w:val="0"/>
                <w:lang w:eastAsia="zh-CN"/>
              </w:rPr>
              <w:t xml:space="preserve">When UE reselects to a cell that is not part of the validity area (for any of the configured frequencies/cells) while </w:t>
            </w:r>
            <w:proofErr w:type="spellStart"/>
            <w:r w:rsidRPr="00435C89">
              <w:rPr>
                <w:b w:val="0"/>
                <w:lang w:eastAsia="zh-CN"/>
              </w:rPr>
              <w:t>measIdleDuration</w:t>
            </w:r>
            <w:proofErr w:type="spellEnd"/>
            <w:r w:rsidRPr="00435C89">
              <w:rPr>
                <w:b w:val="0"/>
                <w:lang w:eastAsia="zh-CN"/>
              </w:rPr>
              <w:t xml:space="preserve"> is running, UE should stop measurement. UE stops the timer. WA that the UE also clears the entire early measurement configuration.</w:t>
            </w:r>
          </w:p>
          <w:p w14:paraId="48255518" w14:textId="77777777" w:rsidR="00004676" w:rsidRPr="00435C89" w:rsidRDefault="00004676" w:rsidP="00004676">
            <w:pPr>
              <w:pStyle w:val="Agreement"/>
              <w:numPr>
                <w:ilvl w:val="0"/>
                <w:numId w:val="31"/>
              </w:numPr>
              <w:rPr>
                <w:b w:val="0"/>
                <w:lang w:eastAsia="zh-CN"/>
              </w:rPr>
            </w:pPr>
            <w:r w:rsidRPr="00435C89">
              <w:rPr>
                <w:b w:val="0"/>
                <w:lang w:eastAsia="zh-CN"/>
              </w:rPr>
              <w:t xml:space="preserve">The RRC release message can include SSB measurement configuration. It is assumed that information provided for cell reselection by broadcast is not provided in the RRC release message. </w:t>
            </w:r>
          </w:p>
          <w:p w14:paraId="5B3E4685" w14:textId="77777777" w:rsidR="00004676" w:rsidRPr="00435C89" w:rsidRDefault="00004676" w:rsidP="00004676">
            <w:pPr>
              <w:pStyle w:val="Agreement"/>
              <w:numPr>
                <w:ilvl w:val="0"/>
                <w:numId w:val="31"/>
              </w:numPr>
              <w:rPr>
                <w:b w:val="0"/>
                <w:lang w:eastAsia="zh-CN"/>
              </w:rPr>
            </w:pPr>
            <w:r w:rsidRPr="00435C89">
              <w:rPr>
                <w:b w:val="0"/>
                <w:lang w:eastAsia="zh-CN"/>
              </w:rPr>
              <w:lastRenderedPageBreak/>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7F243D1F" w14:textId="77777777" w:rsidR="00004676" w:rsidRPr="00004676" w:rsidRDefault="00004676" w:rsidP="00004676">
            <w:pPr>
              <w:pStyle w:val="Agreement"/>
              <w:numPr>
                <w:ilvl w:val="0"/>
                <w:numId w:val="31"/>
              </w:numPr>
              <w:rPr>
                <w:b w:val="0"/>
                <w:lang w:eastAsia="zh-CN"/>
              </w:rPr>
            </w:pPr>
            <w:r w:rsidRPr="00004676">
              <w:rPr>
                <w:b w:val="0"/>
                <w:lang w:eastAsia="zh-CN"/>
              </w:rPr>
              <w:t>If the UE has not received a dedicated SSB configuration, the UE does early measurements based on SIB.</w:t>
            </w:r>
          </w:p>
          <w:p w14:paraId="2C49C22D" w14:textId="77777777" w:rsidR="00004676" w:rsidRPr="00004676" w:rsidRDefault="00004676" w:rsidP="00004676">
            <w:pPr>
              <w:pStyle w:val="Agreement"/>
              <w:numPr>
                <w:ilvl w:val="0"/>
                <w:numId w:val="31"/>
              </w:numPr>
              <w:rPr>
                <w:b w:val="0"/>
                <w:lang w:eastAsia="zh-CN"/>
              </w:rPr>
            </w:pPr>
            <w:r w:rsidRPr="00004676">
              <w:rPr>
                <w:rFonts w:cs="Arial"/>
                <w:szCs w:val="20"/>
                <w:lang w:eastAsia="ko-KR"/>
              </w:rPr>
              <w:t>The UE only needs to support the following signalling combination options:</w:t>
            </w:r>
          </w:p>
          <w:p w14:paraId="24AB1230" w14:textId="77777777" w:rsidR="00004676" w:rsidRPr="007B1947" w:rsidRDefault="00004676" w:rsidP="00004676">
            <w:pPr>
              <w:pStyle w:val="ListParagraph"/>
              <w:numPr>
                <w:ilvl w:val="0"/>
                <w:numId w:val="29"/>
              </w:numPr>
              <w:spacing w:after="180"/>
              <w:rPr>
                <w:rFonts w:ascii="Arial" w:hAnsi="Arial" w:cs="Arial"/>
              </w:rPr>
            </w:pPr>
            <w:r w:rsidRPr="007B1947">
              <w:rPr>
                <w:rFonts w:ascii="Arial" w:hAnsi="Arial" w:cs="Arial"/>
              </w:rPr>
              <w:t xml:space="preserve">If network uses broadcast signaling for the list of early measurements, it will provide all parameters by broadcast signaling with the only exception that dedicated </w:t>
            </w:r>
            <w:proofErr w:type="spellStart"/>
            <w:r w:rsidRPr="007B1947">
              <w:rPr>
                <w:rFonts w:ascii="Arial" w:hAnsi="Arial" w:cs="Arial"/>
              </w:rPr>
              <w:t>signalling</w:t>
            </w:r>
            <w:proofErr w:type="spellEnd"/>
            <w:r w:rsidRPr="007B1947">
              <w:rPr>
                <w:rFonts w:ascii="Arial" w:hAnsi="Arial" w:cs="Arial"/>
              </w:rPr>
              <w:t xml:space="preserve"> is used for the timer</w:t>
            </w:r>
          </w:p>
          <w:p w14:paraId="51E58D1C" w14:textId="77777777" w:rsidR="00004676" w:rsidRPr="007B1947" w:rsidRDefault="00004676" w:rsidP="00004676">
            <w:pPr>
              <w:pStyle w:val="ListParagraph"/>
              <w:numPr>
                <w:ilvl w:val="0"/>
                <w:numId w:val="29"/>
              </w:numPr>
              <w:spacing w:after="180"/>
              <w:rPr>
                <w:rFonts w:ascii="Arial" w:hAnsi="Arial" w:cs="Arial"/>
              </w:rPr>
            </w:pPr>
            <w:r w:rsidRPr="007B1947">
              <w:rPr>
                <w:rFonts w:ascii="Arial" w:hAnsi="Arial" w:cs="Arial"/>
              </w:rPr>
              <w:t xml:space="preserve">If network uses dedicated signaling for the list of early measurements, the following </w:t>
            </w:r>
            <w:proofErr w:type="spellStart"/>
            <w:r w:rsidRPr="007B1947">
              <w:rPr>
                <w:rFonts w:ascii="Arial" w:hAnsi="Arial" w:cs="Arial"/>
              </w:rPr>
              <w:t>signalling</w:t>
            </w:r>
            <w:proofErr w:type="spellEnd"/>
            <w:r w:rsidRPr="007B1947">
              <w:rPr>
                <w:rFonts w:ascii="Arial" w:hAnsi="Arial" w:cs="Arial"/>
              </w:rPr>
              <w:t xml:space="preserve"> options are allowed for each of the frequencies:</w:t>
            </w:r>
          </w:p>
          <w:p w14:paraId="6E63448F" w14:textId="77777777" w:rsidR="00004676" w:rsidRPr="007B1947" w:rsidRDefault="00004676" w:rsidP="00004676">
            <w:pPr>
              <w:pStyle w:val="ListParagraph"/>
              <w:numPr>
                <w:ilvl w:val="1"/>
                <w:numId w:val="30"/>
              </w:numPr>
              <w:spacing w:after="180"/>
              <w:rPr>
                <w:rFonts w:ascii="Arial" w:hAnsi="Arial" w:cs="Arial"/>
              </w:rPr>
            </w:pPr>
            <w:r w:rsidRPr="007B1947">
              <w:rPr>
                <w:rFonts w:ascii="Arial" w:hAnsi="Arial" w:cs="Arial"/>
                <w:color w:val="000000"/>
                <w:kern w:val="24"/>
                <w:lang w:eastAsia="zh-CN"/>
              </w:rPr>
              <w:t>SSB measurement configuration (incl SMTC)</w:t>
            </w:r>
            <w:r w:rsidRPr="007B1947">
              <w:rPr>
                <w:rFonts w:ascii="Arial" w:hAnsi="Arial" w:cs="Arial"/>
              </w:rPr>
              <w:t xml:space="preserve"> and all other parameters are provided by dedicated signaling</w:t>
            </w:r>
          </w:p>
          <w:p w14:paraId="714A1689" w14:textId="77777777" w:rsidR="00004676" w:rsidRPr="007B1947" w:rsidRDefault="00004676" w:rsidP="00004676">
            <w:pPr>
              <w:pStyle w:val="ListParagraph"/>
              <w:numPr>
                <w:ilvl w:val="1"/>
                <w:numId w:val="30"/>
              </w:numPr>
              <w:spacing w:after="180"/>
              <w:rPr>
                <w:rFonts w:ascii="Arial" w:hAnsi="Arial" w:cs="Arial"/>
              </w:rPr>
            </w:pPr>
            <w:r w:rsidRPr="007B1947">
              <w:rPr>
                <w:rFonts w:ascii="Arial" w:hAnsi="Arial" w:cs="Arial"/>
                <w:color w:val="000000"/>
                <w:kern w:val="24"/>
                <w:lang w:eastAsia="zh-CN"/>
              </w:rPr>
              <w:t>SSB measurement configuration (incl SMTC)</w:t>
            </w:r>
            <w:r w:rsidRPr="007B1947">
              <w:rPr>
                <w:rFonts w:ascii="Arial" w:hAnsi="Arial" w:cs="Arial"/>
              </w:rPr>
              <w:t xml:space="preserve"> is broadcast and all other parameters are provided by dedicated signaling</w:t>
            </w:r>
          </w:p>
          <w:p w14:paraId="424F77E3" w14:textId="77777777" w:rsidR="00004676" w:rsidRDefault="00004676" w:rsidP="00425FBC">
            <w:pPr>
              <w:pStyle w:val="Header"/>
              <w:rPr>
                <w:lang w:val="en-GB"/>
              </w:rPr>
            </w:pPr>
          </w:p>
        </w:tc>
      </w:tr>
    </w:tbl>
    <w:p w14:paraId="494AA744" w14:textId="495ECEB7" w:rsidR="0082076F" w:rsidRDefault="00004676" w:rsidP="00004676">
      <w:pPr>
        <w:ind w:right="-22"/>
        <w:rPr>
          <w:rFonts w:eastAsia="Calibri" w:cs="Times New Roman"/>
          <w:szCs w:val="20"/>
        </w:rPr>
      </w:pPr>
      <w:r>
        <w:rPr>
          <w:rFonts w:eastAsia="Calibri" w:cs="Times New Roman"/>
          <w:szCs w:val="20"/>
        </w:rPr>
        <w:lastRenderedPageBreak/>
        <w:t xml:space="preserve">Our understanding is that </w:t>
      </w:r>
      <w:proofErr w:type="gramStart"/>
      <w:r>
        <w:rPr>
          <w:rFonts w:eastAsia="Calibri" w:cs="Times New Roman"/>
          <w:szCs w:val="20"/>
        </w:rPr>
        <w:t>as long as</w:t>
      </w:r>
      <w:proofErr w:type="gramEnd"/>
      <w:r>
        <w:rPr>
          <w:rFonts w:eastAsia="Calibri" w:cs="Times New Roman"/>
          <w:szCs w:val="20"/>
        </w:rPr>
        <w:t xml:space="preserve"> the UE reselects to a cell within the validity area the UE keeps the EMR configuration and keeps the T331 timer running. UE is not required to perform EMR related measurements in a cell not supporting EMR (and UE will neither be requested to report in a cell not supporting EMR). However, only if the UE </w:t>
      </w:r>
      <w:r w:rsidR="00ED5797">
        <w:rPr>
          <w:rFonts w:eastAsia="Calibri" w:cs="Times New Roman"/>
          <w:szCs w:val="20"/>
        </w:rPr>
        <w:t>leaves</w:t>
      </w:r>
      <w:r>
        <w:rPr>
          <w:rFonts w:eastAsia="Calibri" w:cs="Times New Roman"/>
          <w:szCs w:val="20"/>
        </w:rPr>
        <w:t xml:space="preserve"> the validity area is it allowed to remove the EMR configuration.</w:t>
      </w:r>
    </w:p>
    <w:p w14:paraId="7B0AC6EA" w14:textId="32170EDE" w:rsidR="0082076F" w:rsidRDefault="00A70064" w:rsidP="002E5970">
      <w:pPr>
        <w:pStyle w:val="RAN4proposal"/>
      </w:pPr>
      <w:r>
        <w:t xml:space="preserve">RAN2 has defined rules for EMR at cell changes and RAN4 should </w:t>
      </w:r>
      <w:r w:rsidR="002E5970">
        <w:t>align the necessary accordingly</w:t>
      </w:r>
      <w:r>
        <w:t>.</w:t>
      </w:r>
    </w:p>
    <w:p w14:paraId="1332A817" w14:textId="77777777" w:rsidR="00A70064" w:rsidRPr="00A70064" w:rsidRDefault="00A70064" w:rsidP="00A70064">
      <w:pPr>
        <w:rPr>
          <w:lang w:val="en-GB"/>
        </w:rPr>
      </w:pPr>
    </w:p>
    <w:p w14:paraId="6F63908E" w14:textId="77777777" w:rsidR="0082076F" w:rsidRPr="0082076F" w:rsidRDefault="0082076F" w:rsidP="0082076F">
      <w:pPr>
        <w:numPr>
          <w:ilvl w:val="0"/>
          <w:numId w:val="27"/>
        </w:numPr>
        <w:ind w:right="-22"/>
        <w:rPr>
          <w:rFonts w:eastAsia="Calibri" w:cs="Times New Roman"/>
          <w:szCs w:val="20"/>
          <w:lang w:val="en-GB"/>
        </w:rPr>
      </w:pPr>
      <w:r w:rsidRPr="0082076F">
        <w:rPr>
          <w:rFonts w:eastAsia="Calibri" w:cs="Times New Roman"/>
          <w:szCs w:val="20"/>
          <w:lang w:val="en-GB"/>
        </w:rPr>
        <w:t>RAN4 to discuss introduction of the concept of unknown cells considering early measurement reporting</w:t>
      </w:r>
    </w:p>
    <w:p w14:paraId="59AD8115" w14:textId="77777777" w:rsidR="0082076F" w:rsidRPr="0082076F" w:rsidRDefault="0082076F" w:rsidP="0082076F">
      <w:pPr>
        <w:numPr>
          <w:ilvl w:val="1"/>
          <w:numId w:val="27"/>
        </w:numPr>
        <w:ind w:right="-22"/>
        <w:rPr>
          <w:rFonts w:eastAsia="Calibri" w:cs="Times New Roman"/>
          <w:szCs w:val="20"/>
          <w:lang w:val="en-GB"/>
        </w:rPr>
      </w:pPr>
      <w:r w:rsidRPr="0082076F">
        <w:rPr>
          <w:rFonts w:eastAsia="Calibri" w:cs="Times New Roman"/>
          <w:szCs w:val="20"/>
          <w:lang w:val="en-GB"/>
        </w:rPr>
        <w:t>Option 1: Introduce known/unknown cells for EMR</w:t>
      </w:r>
    </w:p>
    <w:p w14:paraId="703DF93D" w14:textId="19673ADF" w:rsidR="0082076F" w:rsidRDefault="0082076F" w:rsidP="0082076F">
      <w:pPr>
        <w:numPr>
          <w:ilvl w:val="1"/>
          <w:numId w:val="27"/>
        </w:numPr>
        <w:ind w:right="-22"/>
        <w:rPr>
          <w:rFonts w:eastAsia="Calibri" w:cs="Times New Roman"/>
          <w:szCs w:val="20"/>
          <w:lang w:val="en-GB"/>
        </w:rPr>
      </w:pPr>
      <w:r w:rsidRPr="0082076F">
        <w:rPr>
          <w:rFonts w:eastAsia="Calibri" w:cs="Times New Roman"/>
          <w:szCs w:val="20"/>
          <w:lang w:val="en-GB"/>
        </w:rPr>
        <w:t>Option 2: Do not introduce known/unknown cells for EMR</w:t>
      </w:r>
    </w:p>
    <w:p w14:paraId="787623E9" w14:textId="77777777" w:rsidR="00A70064" w:rsidRDefault="00A70064" w:rsidP="00A70064">
      <w:pPr>
        <w:ind w:right="-22"/>
        <w:rPr>
          <w:rFonts w:eastAsia="Calibri" w:cs="Times New Roman"/>
          <w:szCs w:val="20"/>
          <w:lang w:val="en-GB"/>
        </w:rPr>
      </w:pPr>
      <w:r>
        <w:rPr>
          <w:rFonts w:eastAsia="Calibri" w:cs="Times New Roman"/>
          <w:szCs w:val="20"/>
          <w:lang w:val="en-GB"/>
        </w:rPr>
        <w:t>We do not see it necessary to introduce any known/unknown concept for EMR. Any cell that would be unknown would not be detected in idle mode and hence nor reported. Only detected and measured cells can be reported.</w:t>
      </w:r>
    </w:p>
    <w:p w14:paraId="284A3F8D" w14:textId="63D00F81" w:rsidR="0082076F" w:rsidRDefault="002E5970" w:rsidP="00A70064">
      <w:pPr>
        <w:pStyle w:val="RAN4proposal"/>
      </w:pPr>
      <w:r>
        <w:t>There is n</w:t>
      </w:r>
      <w:r w:rsidR="00A70064">
        <w:t xml:space="preserve">o need to introduce the concept of known and unknown cells for EMR. </w:t>
      </w:r>
    </w:p>
    <w:p w14:paraId="716D0C0A" w14:textId="77777777" w:rsidR="0082076F" w:rsidRPr="0082076F" w:rsidRDefault="0082076F" w:rsidP="00A70064">
      <w:pPr>
        <w:ind w:right="-22"/>
        <w:rPr>
          <w:rFonts w:eastAsia="Calibri" w:cs="Times New Roman"/>
          <w:szCs w:val="20"/>
          <w:lang w:val="en-GB"/>
        </w:rPr>
      </w:pPr>
    </w:p>
    <w:p w14:paraId="148F879C" w14:textId="77777777" w:rsidR="0082076F" w:rsidRPr="0082076F" w:rsidRDefault="0082076F" w:rsidP="0082076F">
      <w:pPr>
        <w:numPr>
          <w:ilvl w:val="0"/>
          <w:numId w:val="27"/>
        </w:numPr>
        <w:ind w:right="-22"/>
        <w:rPr>
          <w:rFonts w:eastAsia="Calibri" w:cs="Times New Roman"/>
          <w:szCs w:val="20"/>
          <w:lang w:val="en-GB"/>
        </w:rPr>
      </w:pPr>
      <w:r w:rsidRPr="0082076F">
        <w:rPr>
          <w:rFonts w:eastAsia="Calibri" w:cs="Times New Roman"/>
          <w:szCs w:val="20"/>
        </w:rPr>
        <w:t>Impact on early measurements after T331 stops and before reporting EMR</w:t>
      </w:r>
    </w:p>
    <w:p w14:paraId="61521541" w14:textId="77777777" w:rsidR="0082076F" w:rsidRPr="0082076F" w:rsidRDefault="0082076F" w:rsidP="0082076F">
      <w:pPr>
        <w:numPr>
          <w:ilvl w:val="1"/>
          <w:numId w:val="27"/>
        </w:numPr>
        <w:ind w:right="-22"/>
        <w:rPr>
          <w:rFonts w:eastAsia="Calibri" w:cs="Times New Roman"/>
          <w:szCs w:val="20"/>
          <w:lang w:val="en-GB"/>
        </w:rPr>
      </w:pPr>
      <w:r w:rsidRPr="0082076F">
        <w:rPr>
          <w:rFonts w:eastAsia="Calibri" w:cs="Times New Roman"/>
          <w:szCs w:val="20"/>
          <w:lang w:val="en-GB"/>
        </w:rPr>
        <w:t>FFS if RAN4 specifies applicable requirements for the early measurements performed and used for EMR after the expiry of the T331 timer (at least for overlapping carriers)</w:t>
      </w:r>
    </w:p>
    <w:p w14:paraId="2506578D" w14:textId="77777777" w:rsidR="0082076F" w:rsidRPr="0082076F" w:rsidRDefault="0082076F" w:rsidP="0082076F">
      <w:pPr>
        <w:numPr>
          <w:ilvl w:val="1"/>
          <w:numId w:val="27"/>
        </w:numPr>
        <w:ind w:right="-22"/>
        <w:rPr>
          <w:rFonts w:eastAsia="Calibri" w:cs="Times New Roman"/>
          <w:szCs w:val="20"/>
          <w:lang w:val="en-GB"/>
        </w:rPr>
      </w:pPr>
      <w:r w:rsidRPr="0082076F">
        <w:rPr>
          <w:rFonts w:eastAsia="Calibri" w:cs="Times New Roman"/>
          <w:szCs w:val="20"/>
          <w:lang w:val="en-GB"/>
        </w:rPr>
        <w:t>FFS if the UE shall be capable of reporting the results of the early measurements at least up to T0 after the expiry of T331</w:t>
      </w:r>
    </w:p>
    <w:p w14:paraId="1BD4D591" w14:textId="1356ACEC" w:rsidR="00004676" w:rsidRDefault="002E5970" w:rsidP="00D045E0">
      <w:pPr>
        <w:ind w:right="-22"/>
        <w:rPr>
          <w:rFonts w:eastAsia="Calibri" w:cs="Times New Roman"/>
          <w:szCs w:val="20"/>
          <w:lang w:val="en-GB"/>
        </w:rPr>
      </w:pPr>
      <w:r>
        <w:rPr>
          <w:rFonts w:eastAsia="Calibri" w:cs="Times New Roman"/>
          <w:szCs w:val="20"/>
          <w:lang w:val="en-GB"/>
        </w:rPr>
        <w:t>Related to this RAN2#107 agreed following:</w:t>
      </w:r>
    </w:p>
    <w:p w14:paraId="1F6A7329" w14:textId="77777777" w:rsidR="002E5970" w:rsidRDefault="002E5970" w:rsidP="002E5970">
      <w:pPr>
        <w:pStyle w:val="Doc-text2"/>
        <w:pBdr>
          <w:top w:val="single" w:sz="4" w:space="1" w:color="auto"/>
          <w:left w:val="single" w:sz="4" w:space="4" w:color="auto"/>
          <w:bottom w:val="single" w:sz="4" w:space="1" w:color="auto"/>
          <w:right w:val="single" w:sz="4" w:space="4" w:color="auto"/>
        </w:pBdr>
      </w:pPr>
      <w:r>
        <w:t>Agreements:</w:t>
      </w:r>
    </w:p>
    <w:p w14:paraId="51D0AF8E" w14:textId="77777777" w:rsidR="002E5970" w:rsidRDefault="002E5970" w:rsidP="002E5970">
      <w:pPr>
        <w:pStyle w:val="Doc-text2"/>
        <w:pBdr>
          <w:top w:val="single" w:sz="4" w:space="1" w:color="auto"/>
          <w:left w:val="single" w:sz="4" w:space="4" w:color="auto"/>
          <w:bottom w:val="single" w:sz="4" w:space="1" w:color="auto"/>
          <w:right w:val="single" w:sz="4" w:space="4" w:color="auto"/>
        </w:pBdr>
      </w:pPr>
      <w:r>
        <w:t>1</w:t>
      </w:r>
      <w:r>
        <w:tab/>
        <w:t xml:space="preserve">Upon the reception of the </w:t>
      </w:r>
      <w:proofErr w:type="spellStart"/>
      <w:r>
        <w:t>RRCSetup</w:t>
      </w:r>
      <w:proofErr w:type="spellEnd"/>
      <w:r>
        <w:t xml:space="preserve"> message in response to </w:t>
      </w:r>
      <w:proofErr w:type="spellStart"/>
      <w:r>
        <w:t>RRCSetupRequest</w:t>
      </w:r>
      <w:proofErr w:type="spellEnd"/>
      <w:r>
        <w:t xml:space="preserve"> or </w:t>
      </w:r>
      <w:proofErr w:type="spellStart"/>
      <w:r>
        <w:t>RRCResumeRequest</w:t>
      </w:r>
      <w:proofErr w:type="spellEnd"/>
      <w:r>
        <w:t xml:space="preserve"> (while T331 is running), the UE stops T331, and deletes the dedicated idle mode measurement configuration, if any.</w:t>
      </w:r>
    </w:p>
    <w:p w14:paraId="4DEBB540" w14:textId="77777777" w:rsidR="002E5970" w:rsidRDefault="002E5970" w:rsidP="002E5970">
      <w:pPr>
        <w:pStyle w:val="Doc-text2"/>
        <w:pBdr>
          <w:top w:val="single" w:sz="4" w:space="1" w:color="auto"/>
          <w:left w:val="single" w:sz="4" w:space="4" w:color="auto"/>
          <w:bottom w:val="single" w:sz="4" w:space="1" w:color="auto"/>
          <w:right w:val="single" w:sz="4" w:space="4" w:color="auto"/>
        </w:pBdr>
      </w:pPr>
      <w:r>
        <w:t>2:</w:t>
      </w:r>
      <w:r>
        <w:tab/>
        <w:t xml:space="preserve">Upon the reception of the </w:t>
      </w:r>
      <w:proofErr w:type="spellStart"/>
      <w:r>
        <w:t>RRCReject</w:t>
      </w:r>
      <w:proofErr w:type="spellEnd"/>
      <w:r>
        <w:t xml:space="preserve"> message in response to </w:t>
      </w:r>
      <w:proofErr w:type="spellStart"/>
      <w:r>
        <w:t>RRCSetupRequest</w:t>
      </w:r>
      <w:proofErr w:type="spellEnd"/>
      <w:r>
        <w:t xml:space="preserve"> or </w:t>
      </w:r>
      <w:proofErr w:type="spellStart"/>
      <w:r>
        <w:t>RRCResumeRequest</w:t>
      </w:r>
      <w:proofErr w:type="spellEnd"/>
      <w:r>
        <w:t xml:space="preserve"> (while T331 is running), the UE keeps performing the idle mode measurements.</w:t>
      </w:r>
    </w:p>
    <w:p w14:paraId="669529D8" w14:textId="77777777" w:rsidR="002E5970" w:rsidRDefault="002E5970" w:rsidP="002E5970">
      <w:pPr>
        <w:pStyle w:val="Doc-text2"/>
        <w:pBdr>
          <w:top w:val="single" w:sz="4" w:space="1" w:color="auto"/>
          <w:left w:val="single" w:sz="4" w:space="4" w:color="auto"/>
          <w:bottom w:val="single" w:sz="4" w:space="1" w:color="auto"/>
          <w:right w:val="single" w:sz="4" w:space="4" w:color="auto"/>
        </w:pBdr>
      </w:pPr>
      <w:r>
        <w:t xml:space="preserve">3: </w:t>
      </w:r>
      <w:r>
        <w:tab/>
        <w:t xml:space="preserve">During a 2-step resume (i.e. </w:t>
      </w:r>
      <w:proofErr w:type="spellStart"/>
      <w:r>
        <w:t>RRCRelease</w:t>
      </w:r>
      <w:proofErr w:type="spellEnd"/>
      <w:r>
        <w:t xml:space="preserve"> in response to </w:t>
      </w:r>
      <w:proofErr w:type="spellStart"/>
      <w:r>
        <w:t>RRCResumeRequest</w:t>
      </w:r>
      <w:proofErr w:type="spellEnd"/>
      <w:r>
        <w:t>), the network can release or reconfigure the idle mode measurements.</w:t>
      </w:r>
    </w:p>
    <w:p w14:paraId="03733C42" w14:textId="77777777" w:rsidR="002E5970" w:rsidRDefault="002E5970" w:rsidP="002E5970">
      <w:pPr>
        <w:pStyle w:val="Doc-text2"/>
        <w:pBdr>
          <w:top w:val="single" w:sz="4" w:space="1" w:color="auto"/>
          <w:left w:val="single" w:sz="4" w:space="4" w:color="auto"/>
          <w:bottom w:val="single" w:sz="4" w:space="1" w:color="auto"/>
          <w:right w:val="single" w:sz="4" w:space="4" w:color="auto"/>
        </w:pBdr>
      </w:pPr>
      <w:r>
        <w:t>FFS whether this is delta or complete replace</w:t>
      </w:r>
    </w:p>
    <w:p w14:paraId="76DB5BF5" w14:textId="77777777" w:rsidR="002E5970" w:rsidRDefault="002E5970" w:rsidP="002E5970">
      <w:pPr>
        <w:pStyle w:val="Doc-text2"/>
        <w:pBdr>
          <w:top w:val="single" w:sz="4" w:space="1" w:color="auto"/>
          <w:left w:val="single" w:sz="4" w:space="4" w:color="auto"/>
          <w:bottom w:val="single" w:sz="4" w:space="1" w:color="auto"/>
          <w:right w:val="single" w:sz="4" w:space="4" w:color="auto"/>
        </w:pBdr>
      </w:pPr>
      <w:r>
        <w:t>4:</w:t>
      </w:r>
      <w:r>
        <w:tab/>
        <w:t>Upon the expiry of T331 while in IDLE or INACTIVE mode, the UE deletes the dedicated idle mode measurement configuration, if any.</w:t>
      </w:r>
    </w:p>
    <w:p w14:paraId="5863B7BE" w14:textId="77777777" w:rsidR="002E5970" w:rsidRDefault="002E5970" w:rsidP="002E5970">
      <w:pPr>
        <w:pStyle w:val="Doc-text2"/>
        <w:pBdr>
          <w:top w:val="single" w:sz="4" w:space="1" w:color="auto"/>
          <w:left w:val="single" w:sz="4" w:space="4" w:color="auto"/>
          <w:bottom w:val="single" w:sz="4" w:space="1" w:color="auto"/>
          <w:right w:val="single" w:sz="4" w:space="4" w:color="auto"/>
        </w:pBdr>
      </w:pPr>
      <w:r>
        <w:lastRenderedPageBreak/>
        <w:t xml:space="preserve">5: The UE deletes the early measurement results after it has successfully reported them to the network (i.e. in </w:t>
      </w:r>
      <w:proofErr w:type="spellStart"/>
      <w:r>
        <w:t>UEInformationResponse</w:t>
      </w:r>
      <w:proofErr w:type="spellEnd"/>
      <w:r>
        <w:t xml:space="preserve"> or </w:t>
      </w:r>
      <w:proofErr w:type="spellStart"/>
      <w:r>
        <w:t>RRCResumeComplete</w:t>
      </w:r>
      <w:proofErr w:type="spellEnd"/>
      <w:r>
        <w:t>).</w:t>
      </w:r>
    </w:p>
    <w:p w14:paraId="3BC04A3E" w14:textId="77777777" w:rsidR="002E5970" w:rsidRDefault="002E5970" w:rsidP="00D045E0">
      <w:pPr>
        <w:ind w:right="-22"/>
        <w:rPr>
          <w:rFonts w:eastAsia="Calibri" w:cs="Times New Roman"/>
          <w:szCs w:val="20"/>
          <w:lang w:val="en-GB"/>
        </w:rPr>
      </w:pPr>
    </w:p>
    <w:p w14:paraId="7F3495F9" w14:textId="4F95AAA5" w:rsidR="002E5970" w:rsidRDefault="002E5970" w:rsidP="00D045E0">
      <w:pPr>
        <w:ind w:right="-22"/>
        <w:rPr>
          <w:rFonts w:eastAsia="Calibri" w:cs="Times New Roman"/>
          <w:szCs w:val="20"/>
          <w:lang w:val="en-GB"/>
        </w:rPr>
      </w:pPr>
      <w:r>
        <w:rPr>
          <w:rFonts w:eastAsia="Calibri" w:cs="Times New Roman"/>
          <w:szCs w:val="20"/>
          <w:lang w:val="en-GB"/>
        </w:rPr>
        <w:t>We see the RAN2 defined rather clear and see no immediate need for any special additional requirements in RAN4</w:t>
      </w:r>
    </w:p>
    <w:p w14:paraId="0C6D7931" w14:textId="4B609DDE" w:rsidR="0082076F" w:rsidRDefault="002E5970" w:rsidP="002E5970">
      <w:pPr>
        <w:pStyle w:val="RAN4proposal"/>
        <w:rPr>
          <w:lang w:val="en-GB"/>
        </w:rPr>
      </w:pPr>
      <w:r>
        <w:t>Upon the expiry of T331 while in IDLE or INACTIVE mode, the UE deletes the dedicated idle mode measurement configuration.</w:t>
      </w:r>
      <w:r>
        <w:rPr>
          <w:lang w:val="en-GB"/>
        </w:rPr>
        <w:t xml:space="preserve"> </w:t>
      </w:r>
    </w:p>
    <w:p w14:paraId="4516E34D" w14:textId="77777777" w:rsidR="0082076F" w:rsidRDefault="0082076F" w:rsidP="00D045E0">
      <w:pPr>
        <w:ind w:right="-22"/>
        <w:rPr>
          <w:rFonts w:eastAsia="Calibri" w:cs="Times New Roman"/>
          <w:szCs w:val="20"/>
          <w:lang w:val="en-GB"/>
        </w:rPr>
      </w:pPr>
    </w:p>
    <w:p w14:paraId="740A5335" w14:textId="587C635B" w:rsidR="00CA2754" w:rsidRDefault="00CA2754" w:rsidP="00CA2754">
      <w:pPr>
        <w:pStyle w:val="RAN4H2"/>
        <w:rPr>
          <w:rFonts w:eastAsia="Calibri"/>
          <w:lang w:val="en-GB"/>
        </w:rPr>
      </w:pPr>
      <w:r>
        <w:rPr>
          <w:rFonts w:eastAsia="Calibri"/>
          <w:lang w:val="en-GB"/>
        </w:rPr>
        <w:t>Detected cell state assumption</w:t>
      </w:r>
    </w:p>
    <w:p w14:paraId="35B41452" w14:textId="3F85FD0D" w:rsidR="00CA2754" w:rsidRPr="00D045E0" w:rsidRDefault="00715F1A" w:rsidP="00D045E0">
      <w:pPr>
        <w:ind w:right="-22"/>
        <w:rPr>
          <w:rFonts w:eastAsia="Calibri" w:cs="Times New Roman"/>
          <w:szCs w:val="20"/>
          <w:lang w:val="en-GB"/>
        </w:rPr>
      </w:pPr>
      <w:r>
        <w:rPr>
          <w:rFonts w:eastAsia="Calibri" w:cs="Times New Roman"/>
          <w:szCs w:val="20"/>
          <w:lang w:val="en-GB"/>
        </w:rPr>
        <w:t xml:space="preserve">In E-UTRAN RAN4 discussed and agreed on an important issue </w:t>
      </w:r>
      <w:r w:rsidR="00636113">
        <w:rPr>
          <w:rFonts w:eastAsia="Calibri" w:cs="Times New Roman"/>
          <w:szCs w:val="20"/>
          <w:lang w:val="en-GB"/>
        </w:rPr>
        <w:t xml:space="preserve">contributing </w:t>
      </w:r>
      <w:r>
        <w:rPr>
          <w:rFonts w:eastAsia="Calibri" w:cs="Times New Roman"/>
          <w:szCs w:val="20"/>
          <w:lang w:val="en-GB"/>
        </w:rPr>
        <w:t xml:space="preserve">to the significant </w:t>
      </w:r>
      <w:r w:rsidR="00636113">
        <w:rPr>
          <w:rFonts w:eastAsia="Calibri" w:cs="Times New Roman"/>
          <w:szCs w:val="20"/>
          <w:lang w:val="en-GB"/>
        </w:rPr>
        <w:t>benefits</w:t>
      </w:r>
      <w:r>
        <w:rPr>
          <w:rFonts w:eastAsia="Calibri" w:cs="Times New Roman"/>
          <w:szCs w:val="20"/>
          <w:lang w:val="en-GB"/>
        </w:rPr>
        <w:t xml:space="preserve"> </w:t>
      </w:r>
      <w:r w:rsidR="00636113">
        <w:rPr>
          <w:rFonts w:eastAsia="Calibri" w:cs="Times New Roman"/>
          <w:szCs w:val="20"/>
          <w:lang w:val="en-GB"/>
        </w:rPr>
        <w:t xml:space="preserve">achievable </w:t>
      </w:r>
      <w:r>
        <w:rPr>
          <w:rFonts w:eastAsia="Calibri" w:cs="Times New Roman"/>
          <w:szCs w:val="20"/>
          <w:lang w:val="en-GB"/>
        </w:rPr>
        <w:t>from EMR</w:t>
      </w:r>
      <w:r w:rsidR="00636113">
        <w:rPr>
          <w:rFonts w:eastAsia="Calibri" w:cs="Times New Roman"/>
          <w:szCs w:val="20"/>
          <w:lang w:val="en-GB"/>
        </w:rPr>
        <w:t>, namely the detected cell state during state transitions from connected mode to idle mode.</w:t>
      </w:r>
    </w:p>
    <w:p w14:paraId="6A51E0CB" w14:textId="655EA131" w:rsidR="00A37002" w:rsidRDefault="00636113" w:rsidP="00A37002">
      <w:r>
        <w:t>This requirement is also captured in 36.133 section 4.9.2.1. Here RAN4 has defined conditions for when a cell can be regarded to keep the detected cell state when UE transition to idle mode. For NR we believe RAN4 should define same or similar conditions and could use E-UTRAN requirements as starting point.</w:t>
      </w:r>
    </w:p>
    <w:p w14:paraId="5E55F7A7" w14:textId="2FC93CDC" w:rsidR="00636113" w:rsidRPr="00A37002" w:rsidRDefault="00636113" w:rsidP="00636113">
      <w:pPr>
        <w:pStyle w:val="RAN4proposal"/>
      </w:pPr>
      <w:r>
        <w:t>RAN4 defines conditions for detected cell state during UE state transitions.</w:t>
      </w:r>
    </w:p>
    <w:p w14:paraId="6229BBC3" w14:textId="77777777" w:rsidR="002C2D19" w:rsidRDefault="002C2D19" w:rsidP="003B659E">
      <w:pPr>
        <w:ind w:right="-22"/>
        <w:rPr>
          <w:rFonts w:cs="Times New Roman"/>
        </w:rPr>
      </w:pPr>
    </w:p>
    <w:p w14:paraId="761516E1" w14:textId="7C1EA5D6" w:rsidR="00CD7492" w:rsidRDefault="00CD7492" w:rsidP="00A37002">
      <w:pPr>
        <w:pStyle w:val="RAN4H1"/>
      </w:pPr>
      <w:r w:rsidRPr="00A37002">
        <w:t>Conclusion</w:t>
      </w:r>
    </w:p>
    <w:p w14:paraId="3ECD05CB" w14:textId="0C23CD12" w:rsidR="00ED5797" w:rsidRDefault="00ED5797" w:rsidP="00ED5797">
      <w:pPr>
        <w:rPr>
          <w:rFonts w:eastAsia="Calibri"/>
          <w:szCs w:val="20"/>
          <w:lang w:val="en-GB"/>
        </w:rPr>
      </w:pPr>
      <w:r>
        <w:rPr>
          <w:rFonts w:eastAsia="Calibri"/>
          <w:szCs w:val="20"/>
        </w:rPr>
        <w:t xml:space="preserve">In this paper we discuss </w:t>
      </w:r>
      <w:r w:rsidRPr="00DF38E1">
        <w:rPr>
          <w:rFonts w:eastAsia="Calibri"/>
          <w:szCs w:val="20"/>
          <w:lang w:val="en-GB"/>
        </w:rPr>
        <w:t>NR measurements for EMR while serving cell is in NR</w:t>
      </w:r>
      <w:r>
        <w:rPr>
          <w:rFonts w:eastAsia="Calibri"/>
          <w:szCs w:val="20"/>
          <w:lang w:val="en-GB"/>
        </w:rPr>
        <w:t>, based on the agreed WF [1]. We make following proposals:</w:t>
      </w:r>
    </w:p>
    <w:p w14:paraId="41CBBA81" w14:textId="77777777" w:rsidR="00ED5797" w:rsidRPr="00ED5797" w:rsidRDefault="00ED5797" w:rsidP="00ED5797">
      <w:pPr>
        <w:pStyle w:val="RAN4proposal"/>
        <w:numPr>
          <w:ilvl w:val="0"/>
          <w:numId w:val="33"/>
        </w:numPr>
        <w:rPr>
          <w:lang w:val="en-GB"/>
        </w:rPr>
      </w:pPr>
      <w:r w:rsidRPr="00ED5797">
        <w:rPr>
          <w:lang w:val="en-GB"/>
        </w:rPr>
        <w:t>Adopt the LTE definition of overlapping and non-overlapping EMR carriers</w:t>
      </w:r>
    </w:p>
    <w:p w14:paraId="3FBEB790" w14:textId="77777777" w:rsidR="00ED5797" w:rsidRPr="008A2B14" w:rsidRDefault="00ED5797" w:rsidP="00ED5797">
      <w:pPr>
        <w:pStyle w:val="RAN4proposal"/>
        <w:rPr>
          <w:lang w:val="en-GB"/>
        </w:rPr>
      </w:pPr>
      <w:r w:rsidRPr="008A2B14">
        <w:rPr>
          <w:lang w:val="en-GB"/>
        </w:rPr>
        <w:t>An overlapping carrier is defined as a carrier configured by higher layer for early measurement reporting and inter-frequency mobility measurements</w:t>
      </w:r>
      <w:r>
        <w:rPr>
          <w:lang w:val="en-GB"/>
        </w:rPr>
        <w:t>.</w:t>
      </w:r>
    </w:p>
    <w:p w14:paraId="1294DAD8" w14:textId="77777777" w:rsidR="00ED5797" w:rsidRPr="008A2B14" w:rsidRDefault="00ED5797" w:rsidP="00ED5797">
      <w:pPr>
        <w:pStyle w:val="RAN4proposal"/>
        <w:rPr>
          <w:lang w:val="en-GB"/>
        </w:rPr>
      </w:pPr>
      <w:r w:rsidRPr="008A2B14">
        <w:rPr>
          <w:lang w:val="en-GB"/>
        </w:rPr>
        <w:t>A non-overlapping carrier is defined as a carrier configured by higher layer for early measurement reporting while not configured for inter-frequency mobility measurements</w:t>
      </w:r>
      <w:r>
        <w:rPr>
          <w:lang w:val="en-GB"/>
        </w:rPr>
        <w:t>.</w:t>
      </w:r>
    </w:p>
    <w:p w14:paraId="159E29ED" w14:textId="77777777" w:rsidR="00ED5797" w:rsidRDefault="00ED5797" w:rsidP="00ED5797">
      <w:pPr>
        <w:pStyle w:val="RAN4proposal"/>
        <w:rPr>
          <w:lang w:val="en-GB"/>
        </w:rPr>
      </w:pPr>
      <w:r>
        <w:rPr>
          <w:lang w:val="en-GB"/>
        </w:rPr>
        <w:t xml:space="preserve">N: The total number EMR carriers, N </w:t>
      </w:r>
      <w:r>
        <w:rPr>
          <w:rFonts w:cs="Times New Roman"/>
          <w:lang w:val="en-GB"/>
        </w:rPr>
        <w:t>≤</w:t>
      </w:r>
      <w:r>
        <w:rPr>
          <w:lang w:val="en-GB"/>
        </w:rPr>
        <w:t xml:space="preserve"> 7; N = A + B.</w:t>
      </w:r>
    </w:p>
    <w:p w14:paraId="6FBB300D" w14:textId="77777777" w:rsidR="00ED5797" w:rsidRDefault="00ED5797" w:rsidP="00ED5797">
      <w:pPr>
        <w:pStyle w:val="RAN4proposal"/>
        <w:rPr>
          <w:lang w:val="en-GB"/>
        </w:rPr>
      </w:pPr>
      <w:r>
        <w:rPr>
          <w:lang w:val="en-GB"/>
        </w:rPr>
        <w:t>A: The number of overlapping carriers, A = [</w:t>
      </w:r>
      <w:proofErr w:type="gramStart"/>
      <w:r>
        <w:rPr>
          <w:lang w:val="en-GB"/>
        </w:rPr>
        <w:t>0;x</w:t>
      </w:r>
      <w:proofErr w:type="gramEnd"/>
      <w:r>
        <w:rPr>
          <w:lang w:val="en-GB"/>
        </w:rPr>
        <w:t>]</w:t>
      </w:r>
    </w:p>
    <w:p w14:paraId="7B2F6372" w14:textId="77777777" w:rsidR="00ED5797" w:rsidRDefault="00ED5797" w:rsidP="00ED5797">
      <w:pPr>
        <w:pStyle w:val="RAN4proposal"/>
        <w:rPr>
          <w:lang w:val="en-GB"/>
        </w:rPr>
      </w:pPr>
      <w:r>
        <w:rPr>
          <w:lang w:val="en-GB"/>
        </w:rPr>
        <w:t>B: The number of non-overlapping carriers, B = [</w:t>
      </w:r>
      <w:proofErr w:type="gramStart"/>
      <w:r>
        <w:rPr>
          <w:lang w:val="en-GB"/>
        </w:rPr>
        <w:t>0;y</w:t>
      </w:r>
      <w:proofErr w:type="gramEnd"/>
      <w:r>
        <w:rPr>
          <w:lang w:val="en-GB"/>
        </w:rPr>
        <w:t>]</w:t>
      </w:r>
    </w:p>
    <w:p w14:paraId="7DD7D701" w14:textId="77777777" w:rsidR="00ED5797" w:rsidRPr="006936F1" w:rsidRDefault="00ED5797" w:rsidP="00ED5797">
      <w:pPr>
        <w:pStyle w:val="RAN4proposal"/>
      </w:pPr>
      <w:r w:rsidRPr="00715F1A">
        <w:rPr>
          <w:rFonts w:eastAsia="Calibri" w:cs="Times New Roman"/>
          <w:szCs w:val="20"/>
        </w:rPr>
        <w:t>While T331 is running, the UE shall perform measurement</w:t>
      </w:r>
      <w:r w:rsidRPr="006936F1">
        <w:rPr>
          <w:rFonts w:eastAsia="Calibri" w:cs="Times New Roman"/>
          <w:szCs w:val="20"/>
        </w:rPr>
        <w:t xml:space="preserve">s and fulfil the </w:t>
      </w:r>
      <w:r>
        <w:rPr>
          <w:rFonts w:eastAsia="Calibri" w:cs="Times New Roman"/>
          <w:szCs w:val="20"/>
        </w:rPr>
        <w:t>‘</w:t>
      </w:r>
      <w:r w:rsidRPr="006936F1">
        <w:rPr>
          <w:rFonts w:eastAsia="Calibri" w:cs="Times New Roman"/>
          <w:szCs w:val="20"/>
        </w:rPr>
        <w:t>inter-frequency</w:t>
      </w:r>
      <w:r>
        <w:rPr>
          <w:rFonts w:eastAsia="Calibri" w:cs="Times New Roman"/>
          <w:szCs w:val="20"/>
        </w:rPr>
        <w:t>’</w:t>
      </w:r>
      <w:r w:rsidRPr="006936F1">
        <w:rPr>
          <w:rFonts w:eastAsia="Calibri" w:cs="Times New Roman"/>
          <w:szCs w:val="20"/>
        </w:rPr>
        <w:t xml:space="preserve"> measurement requirements</w:t>
      </w:r>
      <w:r w:rsidRPr="00715F1A">
        <w:rPr>
          <w:rFonts w:eastAsia="Calibri" w:cs="Times New Roman"/>
          <w:szCs w:val="20"/>
        </w:rPr>
        <w:t xml:space="preserve"> on the configured overlapping</w:t>
      </w:r>
      <w:r w:rsidRPr="006936F1">
        <w:rPr>
          <w:rFonts w:eastAsia="Calibri" w:cs="Times New Roman"/>
          <w:szCs w:val="20"/>
        </w:rPr>
        <w:t xml:space="preserve"> EMR carriers.</w:t>
      </w:r>
    </w:p>
    <w:p w14:paraId="72365B36" w14:textId="77777777" w:rsidR="00ED5797" w:rsidRDefault="00ED5797" w:rsidP="00ED5797">
      <w:pPr>
        <w:pStyle w:val="RAN4proposal"/>
        <w:rPr>
          <w:lang w:val="en-GB"/>
        </w:rPr>
      </w:pPr>
      <w:r>
        <w:rPr>
          <w:lang w:val="en-GB"/>
        </w:rPr>
        <w:t>Discuss tightening of the EMR measurements and accuracy for NR EMR carriers</w:t>
      </w:r>
    </w:p>
    <w:p w14:paraId="4680B396" w14:textId="77777777" w:rsidR="00ED5797" w:rsidRDefault="00ED5797" w:rsidP="00ED5797">
      <w:pPr>
        <w:pStyle w:val="RAN4proposal"/>
      </w:pPr>
      <w:r>
        <w:t>Introduce cell edge search threshold for NR EMR carriers.</w:t>
      </w:r>
    </w:p>
    <w:p w14:paraId="17B4A73C" w14:textId="77777777" w:rsidR="00ED5797" w:rsidRPr="0082076F" w:rsidRDefault="00ED5797" w:rsidP="00ED5797">
      <w:pPr>
        <w:pStyle w:val="RAN4proposal"/>
        <w:rPr>
          <w:lang w:val="en-GB"/>
        </w:rPr>
      </w:pPr>
      <w:r>
        <w:rPr>
          <w:lang w:val="en-GB"/>
        </w:rPr>
        <w:t>At cell change - follow the RAN2 agreements.</w:t>
      </w:r>
    </w:p>
    <w:p w14:paraId="7B98F1E1" w14:textId="77777777" w:rsidR="00ED5797" w:rsidRDefault="00ED5797" w:rsidP="00ED5797">
      <w:pPr>
        <w:pStyle w:val="RAN4proposal"/>
      </w:pPr>
      <w:r>
        <w:t>RAN2 has defined rules for EMR at cell changes and RAN4 should align the necessary accordingly.</w:t>
      </w:r>
    </w:p>
    <w:p w14:paraId="2D4A4F67" w14:textId="77777777" w:rsidR="00ED5797" w:rsidRDefault="00ED5797" w:rsidP="00ED5797">
      <w:pPr>
        <w:pStyle w:val="RAN4proposal"/>
      </w:pPr>
      <w:r>
        <w:t xml:space="preserve">There is no need to introduce the concept of known and unknown cells for EMR. </w:t>
      </w:r>
    </w:p>
    <w:p w14:paraId="00158D3C" w14:textId="77777777" w:rsidR="00ED5797" w:rsidRDefault="00ED5797" w:rsidP="00ED5797">
      <w:pPr>
        <w:pStyle w:val="RAN4proposal"/>
        <w:rPr>
          <w:lang w:val="en-GB"/>
        </w:rPr>
      </w:pPr>
      <w:r>
        <w:t>Upon the expiry of T331 while in IDLE or INACTIVE mode, the UE deletes the dedicated idle mode measurement configuration.</w:t>
      </w:r>
      <w:r>
        <w:rPr>
          <w:lang w:val="en-GB"/>
        </w:rPr>
        <w:t xml:space="preserve"> </w:t>
      </w:r>
    </w:p>
    <w:p w14:paraId="585A248F" w14:textId="153958DE" w:rsidR="00ED5797" w:rsidRDefault="00ED5797" w:rsidP="00ED5797">
      <w:pPr>
        <w:pStyle w:val="RAN4proposal"/>
      </w:pPr>
      <w:r>
        <w:t>RAN4 defines conditions for detected cell state during UE state transitions.</w:t>
      </w:r>
    </w:p>
    <w:p w14:paraId="54130B19" w14:textId="77777777" w:rsidR="00ED5797" w:rsidRPr="00ED5797" w:rsidRDefault="00ED5797" w:rsidP="00ED5797"/>
    <w:p w14:paraId="3DAFBD41" w14:textId="77777777" w:rsidR="003B659E" w:rsidRPr="0095295C" w:rsidRDefault="003B659E" w:rsidP="0008612A">
      <w:pPr>
        <w:pStyle w:val="RAN4H1"/>
      </w:pPr>
      <w:r w:rsidRPr="0095295C">
        <w:lastRenderedPageBreak/>
        <w:t>References</w:t>
      </w:r>
    </w:p>
    <w:p w14:paraId="19FC2F12" w14:textId="5B0EA51B" w:rsidR="003B659E" w:rsidRDefault="00ED579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ED5797">
        <w:rPr>
          <w:rFonts w:eastAsia="Times New Roman" w:cs="Times New Roman"/>
          <w:szCs w:val="20"/>
        </w:rPr>
        <w:t>R4-1915842</w:t>
      </w:r>
      <w:r w:rsidR="003B659E" w:rsidRPr="00ED5797">
        <w:rPr>
          <w:rFonts w:eastAsia="Times New Roman" w:cs="Times New Roman"/>
          <w:szCs w:val="20"/>
          <w:lang w:val="en-GB"/>
        </w:rPr>
        <w:t xml:space="preserve">, </w:t>
      </w:r>
      <w:r w:rsidRPr="00ED5797">
        <w:rPr>
          <w:rFonts w:eastAsia="Times New Roman" w:cs="Times New Roman"/>
          <w:szCs w:val="20"/>
          <w:lang w:val="en-GB"/>
        </w:rPr>
        <w:t>WF on MR-DC Early measurement reporting</w:t>
      </w:r>
      <w:r w:rsidR="003B659E" w:rsidRPr="00ED5797">
        <w:rPr>
          <w:rFonts w:eastAsia="Times New Roman" w:cs="Times New Roman"/>
          <w:szCs w:val="20"/>
          <w:lang w:val="en-GB"/>
        </w:rPr>
        <w:t xml:space="preserve">, Nokia, </w:t>
      </w:r>
      <w:r w:rsidRPr="00ED5797">
        <w:rPr>
          <w:rFonts w:eastAsia="Times New Roman" w:cs="Times New Roman"/>
          <w:szCs w:val="20"/>
          <w:lang w:val="en-GB"/>
        </w:rPr>
        <w:t>Nokia</w:t>
      </w:r>
      <w:r w:rsidR="003B659E" w:rsidRPr="00ED5797">
        <w:rPr>
          <w:rFonts w:eastAsia="Times New Roman" w:cs="Times New Roman"/>
          <w:szCs w:val="20"/>
          <w:lang w:val="en-GB"/>
        </w:rPr>
        <w:t xml:space="preserve"> Shanghai Bell</w:t>
      </w:r>
      <w:r w:rsidR="003B659E" w:rsidRPr="00ED5797" w:rsidDel="00C651B9">
        <w:rPr>
          <w:rFonts w:eastAsia="Times New Roman" w:cs="Times New Roman"/>
          <w:szCs w:val="20"/>
          <w:lang w:val="en-GB"/>
        </w:rPr>
        <w:t xml:space="preserve"> </w:t>
      </w:r>
      <w:bookmarkEnd w:id="4"/>
    </w:p>
    <w:p w14:paraId="5BE0E1A9" w14:textId="7EE5009D" w:rsidR="00ED5797" w:rsidRPr="00ED5797" w:rsidRDefault="00ED579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ED5797">
        <w:rPr>
          <w:rFonts w:eastAsia="Times New Roman" w:cs="Times New Roman" w:hint="eastAsia"/>
          <w:szCs w:val="20"/>
          <w:lang w:val="en-GB"/>
        </w:rPr>
        <w:t>R</w:t>
      </w:r>
      <w:r w:rsidRPr="00ED5797">
        <w:rPr>
          <w:rFonts w:eastAsia="Times New Roman" w:cs="Times New Roman"/>
          <w:szCs w:val="20"/>
          <w:lang w:val="en-GB"/>
        </w:rPr>
        <w:t>4</w:t>
      </w:r>
      <w:r w:rsidRPr="00ED5797">
        <w:rPr>
          <w:rFonts w:eastAsia="Times New Roman" w:cs="Times New Roman" w:hint="eastAsia"/>
          <w:szCs w:val="20"/>
          <w:lang w:val="en-GB"/>
        </w:rPr>
        <w:t>-</w:t>
      </w:r>
      <w:r w:rsidRPr="00ED5797">
        <w:rPr>
          <w:rFonts w:eastAsia="Times New Roman" w:cs="Times New Roman"/>
          <w:szCs w:val="20"/>
          <w:lang w:val="en-GB"/>
        </w:rPr>
        <w:t>1914480</w:t>
      </w:r>
      <w:r w:rsidRPr="00ED5797">
        <w:rPr>
          <w:rFonts w:eastAsia="Times New Roman" w:cs="Times New Roman"/>
          <w:szCs w:val="20"/>
          <w:lang w:val="en-GB"/>
        </w:rPr>
        <w:t xml:space="preserve">, </w:t>
      </w:r>
      <w:r w:rsidRPr="00ED5797">
        <w:rPr>
          <w:rFonts w:eastAsia="Times New Roman" w:cs="Times New Roman"/>
          <w:szCs w:val="20"/>
          <w:lang w:val="en-GB"/>
        </w:rPr>
        <w:t>Discussion on principles for Early Measurements and reporting in NR</w:t>
      </w:r>
      <w:r w:rsidRPr="00ED5797">
        <w:rPr>
          <w:rFonts w:eastAsia="Times New Roman" w:cs="Times New Roman"/>
          <w:szCs w:val="20"/>
          <w:lang w:val="en-GB"/>
        </w:rPr>
        <w:t xml:space="preserve">, </w:t>
      </w:r>
      <w:r w:rsidRPr="00ED5797">
        <w:rPr>
          <w:rFonts w:eastAsia="Times New Roman" w:cs="Times New Roman"/>
          <w:szCs w:val="20"/>
          <w:lang w:val="en-GB"/>
        </w:rPr>
        <w:t>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896C6" w14:textId="77777777" w:rsidR="00530F34" w:rsidRDefault="00530F34" w:rsidP="00001C9B">
      <w:pPr>
        <w:spacing w:after="0" w:line="240" w:lineRule="auto"/>
      </w:pPr>
      <w:r>
        <w:separator/>
      </w:r>
    </w:p>
  </w:endnote>
  <w:endnote w:type="continuationSeparator" w:id="0">
    <w:p w14:paraId="04FAB925" w14:textId="77777777" w:rsidR="00530F34" w:rsidRDefault="00530F3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3370B" w14:textId="77777777" w:rsidR="00530F34" w:rsidRDefault="00530F34" w:rsidP="00001C9B">
      <w:pPr>
        <w:spacing w:after="0" w:line="240" w:lineRule="auto"/>
      </w:pPr>
      <w:r>
        <w:separator/>
      </w:r>
    </w:p>
  </w:footnote>
  <w:footnote w:type="continuationSeparator" w:id="0">
    <w:p w14:paraId="4746CACB" w14:textId="77777777" w:rsidR="00530F34" w:rsidRDefault="00530F3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CA3200"/>
    <w:multiLevelType w:val="hybridMultilevel"/>
    <w:tmpl w:val="D6146664"/>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D6366"/>
    <w:multiLevelType w:val="hybridMultilevel"/>
    <w:tmpl w:val="F98AB51E"/>
    <w:lvl w:ilvl="0" w:tplc="C606877A">
      <w:start w:val="1"/>
      <w:numFmt w:val="bullet"/>
      <w:lvlText w:val="•"/>
      <w:lvlJc w:val="left"/>
      <w:pPr>
        <w:tabs>
          <w:tab w:val="num" w:pos="360"/>
        </w:tabs>
        <w:ind w:left="360" w:hanging="360"/>
      </w:pPr>
      <w:rPr>
        <w:rFonts w:ascii="Arial" w:hAnsi="Arial" w:hint="default"/>
      </w:rPr>
    </w:lvl>
    <w:lvl w:ilvl="1" w:tplc="E3AAB74C">
      <w:start w:val="1"/>
      <w:numFmt w:val="bullet"/>
      <w:lvlText w:val="•"/>
      <w:lvlJc w:val="left"/>
      <w:pPr>
        <w:tabs>
          <w:tab w:val="num" w:pos="1080"/>
        </w:tabs>
        <w:ind w:left="1080" w:hanging="360"/>
      </w:pPr>
      <w:rPr>
        <w:rFonts w:ascii="Arial" w:hAnsi="Arial" w:hint="default"/>
      </w:rPr>
    </w:lvl>
    <w:lvl w:ilvl="2" w:tplc="591E5692">
      <w:start w:val="302"/>
      <w:numFmt w:val="bullet"/>
      <w:lvlText w:val="•"/>
      <w:lvlJc w:val="left"/>
      <w:pPr>
        <w:tabs>
          <w:tab w:val="num" w:pos="1800"/>
        </w:tabs>
        <w:ind w:left="1800" w:hanging="360"/>
      </w:pPr>
      <w:rPr>
        <w:rFonts w:ascii="Arial" w:hAnsi="Arial" w:hint="default"/>
      </w:rPr>
    </w:lvl>
    <w:lvl w:ilvl="3" w:tplc="A7A26D26">
      <w:start w:val="302"/>
      <w:numFmt w:val="bullet"/>
      <w:lvlText w:val="•"/>
      <w:lvlJc w:val="left"/>
      <w:pPr>
        <w:tabs>
          <w:tab w:val="num" w:pos="2520"/>
        </w:tabs>
        <w:ind w:left="2520" w:hanging="360"/>
      </w:pPr>
      <w:rPr>
        <w:rFonts w:ascii="Arial" w:hAnsi="Arial" w:hint="default"/>
      </w:rPr>
    </w:lvl>
    <w:lvl w:ilvl="4" w:tplc="CF48866E" w:tentative="1">
      <w:start w:val="1"/>
      <w:numFmt w:val="bullet"/>
      <w:lvlText w:val="•"/>
      <w:lvlJc w:val="left"/>
      <w:pPr>
        <w:tabs>
          <w:tab w:val="num" w:pos="3240"/>
        </w:tabs>
        <w:ind w:left="3240" w:hanging="360"/>
      </w:pPr>
      <w:rPr>
        <w:rFonts w:ascii="Arial" w:hAnsi="Arial" w:hint="default"/>
      </w:rPr>
    </w:lvl>
    <w:lvl w:ilvl="5" w:tplc="B122E5B4" w:tentative="1">
      <w:start w:val="1"/>
      <w:numFmt w:val="bullet"/>
      <w:lvlText w:val="•"/>
      <w:lvlJc w:val="left"/>
      <w:pPr>
        <w:tabs>
          <w:tab w:val="num" w:pos="3960"/>
        </w:tabs>
        <w:ind w:left="3960" w:hanging="360"/>
      </w:pPr>
      <w:rPr>
        <w:rFonts w:ascii="Arial" w:hAnsi="Arial" w:hint="default"/>
      </w:rPr>
    </w:lvl>
    <w:lvl w:ilvl="6" w:tplc="D690D300" w:tentative="1">
      <w:start w:val="1"/>
      <w:numFmt w:val="bullet"/>
      <w:lvlText w:val="•"/>
      <w:lvlJc w:val="left"/>
      <w:pPr>
        <w:tabs>
          <w:tab w:val="num" w:pos="4680"/>
        </w:tabs>
        <w:ind w:left="4680" w:hanging="360"/>
      </w:pPr>
      <w:rPr>
        <w:rFonts w:ascii="Arial" w:hAnsi="Arial" w:hint="default"/>
      </w:rPr>
    </w:lvl>
    <w:lvl w:ilvl="7" w:tplc="275E9344" w:tentative="1">
      <w:start w:val="1"/>
      <w:numFmt w:val="bullet"/>
      <w:lvlText w:val="•"/>
      <w:lvlJc w:val="left"/>
      <w:pPr>
        <w:tabs>
          <w:tab w:val="num" w:pos="5400"/>
        </w:tabs>
        <w:ind w:left="5400" w:hanging="360"/>
      </w:pPr>
      <w:rPr>
        <w:rFonts w:ascii="Arial" w:hAnsi="Arial" w:hint="default"/>
      </w:rPr>
    </w:lvl>
    <w:lvl w:ilvl="8" w:tplc="014ADCA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B9445D"/>
    <w:multiLevelType w:val="hybridMultilevel"/>
    <w:tmpl w:val="AF1AE69E"/>
    <w:lvl w:ilvl="0" w:tplc="D960D24A">
      <w:start w:val="1"/>
      <w:numFmt w:val="bullet"/>
      <w:lvlText w:val="•"/>
      <w:lvlJc w:val="left"/>
      <w:pPr>
        <w:tabs>
          <w:tab w:val="num" w:pos="360"/>
        </w:tabs>
        <w:ind w:left="360" w:hanging="360"/>
      </w:pPr>
      <w:rPr>
        <w:rFonts w:ascii="Arial" w:hAnsi="Arial" w:hint="default"/>
      </w:rPr>
    </w:lvl>
    <w:lvl w:ilvl="1" w:tplc="156A057E">
      <w:start w:val="1"/>
      <w:numFmt w:val="bullet"/>
      <w:lvlText w:val="•"/>
      <w:lvlJc w:val="left"/>
      <w:pPr>
        <w:tabs>
          <w:tab w:val="num" w:pos="1080"/>
        </w:tabs>
        <w:ind w:left="1080" w:hanging="360"/>
      </w:pPr>
      <w:rPr>
        <w:rFonts w:ascii="Arial" w:hAnsi="Arial" w:hint="default"/>
      </w:rPr>
    </w:lvl>
    <w:lvl w:ilvl="2" w:tplc="18B6863E">
      <w:start w:val="302"/>
      <w:numFmt w:val="bullet"/>
      <w:lvlText w:val="•"/>
      <w:lvlJc w:val="left"/>
      <w:pPr>
        <w:tabs>
          <w:tab w:val="num" w:pos="1800"/>
        </w:tabs>
        <w:ind w:left="1800" w:hanging="360"/>
      </w:pPr>
      <w:rPr>
        <w:rFonts w:ascii="Arial" w:hAnsi="Arial" w:hint="default"/>
      </w:rPr>
    </w:lvl>
    <w:lvl w:ilvl="3" w:tplc="6808826E" w:tentative="1">
      <w:start w:val="1"/>
      <w:numFmt w:val="bullet"/>
      <w:lvlText w:val="•"/>
      <w:lvlJc w:val="left"/>
      <w:pPr>
        <w:tabs>
          <w:tab w:val="num" w:pos="2520"/>
        </w:tabs>
        <w:ind w:left="2520" w:hanging="360"/>
      </w:pPr>
      <w:rPr>
        <w:rFonts w:ascii="Arial" w:hAnsi="Arial" w:hint="default"/>
      </w:rPr>
    </w:lvl>
    <w:lvl w:ilvl="4" w:tplc="5A0039EC" w:tentative="1">
      <w:start w:val="1"/>
      <w:numFmt w:val="bullet"/>
      <w:lvlText w:val="•"/>
      <w:lvlJc w:val="left"/>
      <w:pPr>
        <w:tabs>
          <w:tab w:val="num" w:pos="3240"/>
        </w:tabs>
        <w:ind w:left="3240" w:hanging="360"/>
      </w:pPr>
      <w:rPr>
        <w:rFonts w:ascii="Arial" w:hAnsi="Arial" w:hint="default"/>
      </w:rPr>
    </w:lvl>
    <w:lvl w:ilvl="5" w:tplc="6AAEF1DC" w:tentative="1">
      <w:start w:val="1"/>
      <w:numFmt w:val="bullet"/>
      <w:lvlText w:val="•"/>
      <w:lvlJc w:val="left"/>
      <w:pPr>
        <w:tabs>
          <w:tab w:val="num" w:pos="3960"/>
        </w:tabs>
        <w:ind w:left="3960" w:hanging="360"/>
      </w:pPr>
      <w:rPr>
        <w:rFonts w:ascii="Arial" w:hAnsi="Arial" w:hint="default"/>
      </w:rPr>
    </w:lvl>
    <w:lvl w:ilvl="6" w:tplc="2346B3EC" w:tentative="1">
      <w:start w:val="1"/>
      <w:numFmt w:val="bullet"/>
      <w:lvlText w:val="•"/>
      <w:lvlJc w:val="left"/>
      <w:pPr>
        <w:tabs>
          <w:tab w:val="num" w:pos="4680"/>
        </w:tabs>
        <w:ind w:left="4680" w:hanging="360"/>
      </w:pPr>
      <w:rPr>
        <w:rFonts w:ascii="Arial" w:hAnsi="Arial" w:hint="default"/>
      </w:rPr>
    </w:lvl>
    <w:lvl w:ilvl="7" w:tplc="19D423C4" w:tentative="1">
      <w:start w:val="1"/>
      <w:numFmt w:val="bullet"/>
      <w:lvlText w:val="•"/>
      <w:lvlJc w:val="left"/>
      <w:pPr>
        <w:tabs>
          <w:tab w:val="num" w:pos="5400"/>
        </w:tabs>
        <w:ind w:left="5400" w:hanging="360"/>
      </w:pPr>
      <w:rPr>
        <w:rFonts w:ascii="Arial" w:hAnsi="Arial" w:hint="default"/>
      </w:rPr>
    </w:lvl>
    <w:lvl w:ilvl="8" w:tplc="5EDECC3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99F5B44"/>
    <w:multiLevelType w:val="hybridMultilevel"/>
    <w:tmpl w:val="076889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920450"/>
    <w:multiLevelType w:val="hybridMultilevel"/>
    <w:tmpl w:val="304C5BC2"/>
    <w:lvl w:ilvl="0" w:tplc="BF2EE7A2">
      <w:start w:val="1"/>
      <w:numFmt w:val="bullet"/>
      <w:lvlText w:val="•"/>
      <w:lvlJc w:val="left"/>
      <w:pPr>
        <w:tabs>
          <w:tab w:val="num" w:pos="720"/>
        </w:tabs>
        <w:ind w:left="720" w:hanging="360"/>
      </w:pPr>
      <w:rPr>
        <w:rFonts w:ascii="Arial" w:hAnsi="Arial" w:hint="default"/>
      </w:rPr>
    </w:lvl>
    <w:lvl w:ilvl="1" w:tplc="AF8E8EEC">
      <w:start w:val="1"/>
      <w:numFmt w:val="bullet"/>
      <w:lvlText w:val="•"/>
      <w:lvlJc w:val="left"/>
      <w:pPr>
        <w:tabs>
          <w:tab w:val="num" w:pos="1440"/>
        </w:tabs>
        <w:ind w:left="1440" w:hanging="360"/>
      </w:pPr>
      <w:rPr>
        <w:rFonts w:ascii="Arial" w:hAnsi="Arial" w:hint="default"/>
      </w:rPr>
    </w:lvl>
    <w:lvl w:ilvl="2" w:tplc="6EF42A1C" w:tentative="1">
      <w:start w:val="1"/>
      <w:numFmt w:val="bullet"/>
      <w:lvlText w:val="•"/>
      <w:lvlJc w:val="left"/>
      <w:pPr>
        <w:tabs>
          <w:tab w:val="num" w:pos="2160"/>
        </w:tabs>
        <w:ind w:left="2160" w:hanging="360"/>
      </w:pPr>
      <w:rPr>
        <w:rFonts w:ascii="Arial" w:hAnsi="Arial" w:hint="default"/>
      </w:rPr>
    </w:lvl>
    <w:lvl w:ilvl="3" w:tplc="EF14839C" w:tentative="1">
      <w:start w:val="1"/>
      <w:numFmt w:val="bullet"/>
      <w:lvlText w:val="•"/>
      <w:lvlJc w:val="left"/>
      <w:pPr>
        <w:tabs>
          <w:tab w:val="num" w:pos="2880"/>
        </w:tabs>
        <w:ind w:left="2880" w:hanging="360"/>
      </w:pPr>
      <w:rPr>
        <w:rFonts w:ascii="Arial" w:hAnsi="Arial" w:hint="default"/>
      </w:rPr>
    </w:lvl>
    <w:lvl w:ilvl="4" w:tplc="973A1B88" w:tentative="1">
      <w:start w:val="1"/>
      <w:numFmt w:val="bullet"/>
      <w:lvlText w:val="•"/>
      <w:lvlJc w:val="left"/>
      <w:pPr>
        <w:tabs>
          <w:tab w:val="num" w:pos="3600"/>
        </w:tabs>
        <w:ind w:left="3600" w:hanging="360"/>
      </w:pPr>
      <w:rPr>
        <w:rFonts w:ascii="Arial" w:hAnsi="Arial" w:hint="default"/>
      </w:rPr>
    </w:lvl>
    <w:lvl w:ilvl="5" w:tplc="6F8CD858" w:tentative="1">
      <w:start w:val="1"/>
      <w:numFmt w:val="bullet"/>
      <w:lvlText w:val="•"/>
      <w:lvlJc w:val="left"/>
      <w:pPr>
        <w:tabs>
          <w:tab w:val="num" w:pos="4320"/>
        </w:tabs>
        <w:ind w:left="4320" w:hanging="360"/>
      </w:pPr>
      <w:rPr>
        <w:rFonts w:ascii="Arial" w:hAnsi="Arial" w:hint="default"/>
      </w:rPr>
    </w:lvl>
    <w:lvl w:ilvl="6" w:tplc="5038F2E8" w:tentative="1">
      <w:start w:val="1"/>
      <w:numFmt w:val="bullet"/>
      <w:lvlText w:val="•"/>
      <w:lvlJc w:val="left"/>
      <w:pPr>
        <w:tabs>
          <w:tab w:val="num" w:pos="5040"/>
        </w:tabs>
        <w:ind w:left="5040" w:hanging="360"/>
      </w:pPr>
      <w:rPr>
        <w:rFonts w:ascii="Arial" w:hAnsi="Arial" w:hint="default"/>
      </w:rPr>
    </w:lvl>
    <w:lvl w:ilvl="7" w:tplc="2E746854" w:tentative="1">
      <w:start w:val="1"/>
      <w:numFmt w:val="bullet"/>
      <w:lvlText w:val="•"/>
      <w:lvlJc w:val="left"/>
      <w:pPr>
        <w:tabs>
          <w:tab w:val="num" w:pos="5760"/>
        </w:tabs>
        <w:ind w:left="5760" w:hanging="360"/>
      </w:pPr>
      <w:rPr>
        <w:rFonts w:ascii="Arial" w:hAnsi="Arial" w:hint="default"/>
      </w:rPr>
    </w:lvl>
    <w:lvl w:ilvl="8" w:tplc="BA34EC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E142FC"/>
    <w:multiLevelType w:val="hybridMultilevel"/>
    <w:tmpl w:val="6958F2B2"/>
    <w:lvl w:ilvl="0" w:tplc="54468C28">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734D0"/>
    <w:multiLevelType w:val="hybridMultilevel"/>
    <w:tmpl w:val="63842904"/>
    <w:lvl w:ilvl="0" w:tplc="29B2FAB4">
      <w:start w:val="16"/>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8826C1"/>
    <w:multiLevelType w:val="hybridMultilevel"/>
    <w:tmpl w:val="C33EC38C"/>
    <w:lvl w:ilvl="0" w:tplc="66C85FB4">
      <w:start w:val="1"/>
      <w:numFmt w:val="bullet"/>
      <w:lvlText w:val="•"/>
      <w:lvlJc w:val="left"/>
      <w:pPr>
        <w:tabs>
          <w:tab w:val="num" w:pos="720"/>
        </w:tabs>
        <w:ind w:left="720" w:hanging="360"/>
      </w:pPr>
      <w:rPr>
        <w:rFonts w:ascii="Arial" w:hAnsi="Arial" w:hint="default"/>
      </w:rPr>
    </w:lvl>
    <w:lvl w:ilvl="1" w:tplc="D2D49C0E">
      <w:start w:val="1"/>
      <w:numFmt w:val="bullet"/>
      <w:lvlText w:val="•"/>
      <w:lvlJc w:val="left"/>
      <w:pPr>
        <w:tabs>
          <w:tab w:val="num" w:pos="1440"/>
        </w:tabs>
        <w:ind w:left="1440" w:hanging="360"/>
      </w:pPr>
      <w:rPr>
        <w:rFonts w:ascii="Arial" w:hAnsi="Arial" w:hint="default"/>
      </w:rPr>
    </w:lvl>
    <w:lvl w:ilvl="2" w:tplc="6F3813F0" w:tentative="1">
      <w:start w:val="1"/>
      <w:numFmt w:val="bullet"/>
      <w:lvlText w:val="•"/>
      <w:lvlJc w:val="left"/>
      <w:pPr>
        <w:tabs>
          <w:tab w:val="num" w:pos="2160"/>
        </w:tabs>
        <w:ind w:left="2160" w:hanging="360"/>
      </w:pPr>
      <w:rPr>
        <w:rFonts w:ascii="Arial" w:hAnsi="Arial" w:hint="default"/>
      </w:rPr>
    </w:lvl>
    <w:lvl w:ilvl="3" w:tplc="4EF0A502" w:tentative="1">
      <w:start w:val="1"/>
      <w:numFmt w:val="bullet"/>
      <w:lvlText w:val="•"/>
      <w:lvlJc w:val="left"/>
      <w:pPr>
        <w:tabs>
          <w:tab w:val="num" w:pos="2880"/>
        </w:tabs>
        <w:ind w:left="2880" w:hanging="360"/>
      </w:pPr>
      <w:rPr>
        <w:rFonts w:ascii="Arial" w:hAnsi="Arial" w:hint="default"/>
      </w:rPr>
    </w:lvl>
    <w:lvl w:ilvl="4" w:tplc="C4F20F3C" w:tentative="1">
      <w:start w:val="1"/>
      <w:numFmt w:val="bullet"/>
      <w:lvlText w:val="•"/>
      <w:lvlJc w:val="left"/>
      <w:pPr>
        <w:tabs>
          <w:tab w:val="num" w:pos="3600"/>
        </w:tabs>
        <w:ind w:left="3600" w:hanging="360"/>
      </w:pPr>
      <w:rPr>
        <w:rFonts w:ascii="Arial" w:hAnsi="Arial" w:hint="default"/>
      </w:rPr>
    </w:lvl>
    <w:lvl w:ilvl="5" w:tplc="C6D8E130" w:tentative="1">
      <w:start w:val="1"/>
      <w:numFmt w:val="bullet"/>
      <w:lvlText w:val="•"/>
      <w:lvlJc w:val="left"/>
      <w:pPr>
        <w:tabs>
          <w:tab w:val="num" w:pos="4320"/>
        </w:tabs>
        <w:ind w:left="4320" w:hanging="360"/>
      </w:pPr>
      <w:rPr>
        <w:rFonts w:ascii="Arial" w:hAnsi="Arial" w:hint="default"/>
      </w:rPr>
    </w:lvl>
    <w:lvl w:ilvl="6" w:tplc="A24E3D6E" w:tentative="1">
      <w:start w:val="1"/>
      <w:numFmt w:val="bullet"/>
      <w:lvlText w:val="•"/>
      <w:lvlJc w:val="left"/>
      <w:pPr>
        <w:tabs>
          <w:tab w:val="num" w:pos="5040"/>
        </w:tabs>
        <w:ind w:left="5040" w:hanging="360"/>
      </w:pPr>
      <w:rPr>
        <w:rFonts w:ascii="Arial" w:hAnsi="Arial" w:hint="default"/>
      </w:rPr>
    </w:lvl>
    <w:lvl w:ilvl="7" w:tplc="3954981C" w:tentative="1">
      <w:start w:val="1"/>
      <w:numFmt w:val="bullet"/>
      <w:lvlText w:val="•"/>
      <w:lvlJc w:val="left"/>
      <w:pPr>
        <w:tabs>
          <w:tab w:val="num" w:pos="5760"/>
        </w:tabs>
        <w:ind w:left="5760" w:hanging="360"/>
      </w:pPr>
      <w:rPr>
        <w:rFonts w:ascii="Arial" w:hAnsi="Arial" w:hint="default"/>
      </w:rPr>
    </w:lvl>
    <w:lvl w:ilvl="8" w:tplc="E33062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377050"/>
    <w:multiLevelType w:val="hybridMultilevel"/>
    <w:tmpl w:val="C4ACA5B6"/>
    <w:lvl w:ilvl="0" w:tplc="E4AAFF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893BFC"/>
    <w:multiLevelType w:val="hybridMultilevel"/>
    <w:tmpl w:val="01CC5FB0"/>
    <w:lvl w:ilvl="0" w:tplc="EE526B1E">
      <w:start w:val="1"/>
      <w:numFmt w:val="upperLetter"/>
      <w:lvlText w:val="%1."/>
      <w:lvlJc w:val="left"/>
      <w:pPr>
        <w:ind w:left="1069"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4"/>
  </w:num>
  <w:num w:numId="4">
    <w:abstractNumId w:val="4"/>
  </w:num>
  <w:num w:numId="5">
    <w:abstractNumId w:val="18"/>
  </w:num>
  <w:num w:numId="6">
    <w:abstractNumId w:val="11"/>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1"/>
    <w:lvlOverride w:ilvl="0">
      <w:startOverride w:val="1"/>
    </w:lvlOverride>
  </w:num>
  <w:num w:numId="12">
    <w:abstractNumId w:val="13"/>
    <w:lvlOverride w:ilvl="0">
      <w:startOverride w:val="1"/>
    </w:lvlOverride>
  </w:num>
  <w:num w:numId="13">
    <w:abstractNumId w:val="11"/>
    <w:lvlOverride w:ilvl="0">
      <w:startOverride w:val="1"/>
    </w:lvlOverride>
  </w:num>
  <w:num w:numId="14">
    <w:abstractNumId w:val="13"/>
    <w:lvlOverride w:ilvl="0">
      <w:startOverride w:val="1"/>
    </w:lvlOverride>
  </w:num>
  <w:num w:numId="15">
    <w:abstractNumId w:val="22"/>
  </w:num>
  <w:num w:numId="16">
    <w:abstractNumId w:val="2"/>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19"/>
  </w:num>
  <w:num w:numId="23">
    <w:abstractNumId w:val="12"/>
  </w:num>
  <w:num w:numId="24">
    <w:abstractNumId w:val="16"/>
  </w:num>
  <w:num w:numId="25">
    <w:abstractNumId w:val="9"/>
  </w:num>
  <w:num w:numId="26">
    <w:abstractNumId w:val="6"/>
  </w:num>
  <w:num w:numId="27">
    <w:abstractNumId w:val="7"/>
  </w:num>
  <w:num w:numId="28">
    <w:abstractNumId w:val="20"/>
  </w:num>
  <w:num w:numId="29">
    <w:abstractNumId w:val="21"/>
  </w:num>
  <w:num w:numId="30">
    <w:abstractNumId w:val="3"/>
  </w:num>
  <w:num w:numId="31">
    <w:abstractNumId w:val="8"/>
  </w:num>
  <w:num w:numId="32">
    <w:abstractNumId w:val="1"/>
  </w:num>
  <w:num w:numId="33">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676"/>
    <w:rsid w:val="0008612A"/>
    <w:rsid w:val="000B0056"/>
    <w:rsid w:val="00104DCB"/>
    <w:rsid w:val="001745F8"/>
    <w:rsid w:val="00176671"/>
    <w:rsid w:val="001838CF"/>
    <w:rsid w:val="001C2F6D"/>
    <w:rsid w:val="001D117A"/>
    <w:rsid w:val="001E30F6"/>
    <w:rsid w:val="00223F6A"/>
    <w:rsid w:val="0023074D"/>
    <w:rsid w:val="00235F5C"/>
    <w:rsid w:val="002B4922"/>
    <w:rsid w:val="002C2D19"/>
    <w:rsid w:val="002D10FA"/>
    <w:rsid w:val="002D4C55"/>
    <w:rsid w:val="002E47BB"/>
    <w:rsid w:val="002E5970"/>
    <w:rsid w:val="00363CF1"/>
    <w:rsid w:val="003B659E"/>
    <w:rsid w:val="003C50FF"/>
    <w:rsid w:val="00415FEE"/>
    <w:rsid w:val="00417AA0"/>
    <w:rsid w:val="0043750A"/>
    <w:rsid w:val="004B7B4A"/>
    <w:rsid w:val="004E5E66"/>
    <w:rsid w:val="00503B4D"/>
    <w:rsid w:val="00504EE9"/>
    <w:rsid w:val="00510F79"/>
    <w:rsid w:val="00530806"/>
    <w:rsid w:val="00530F34"/>
    <w:rsid w:val="005435B1"/>
    <w:rsid w:val="0054442C"/>
    <w:rsid w:val="00550285"/>
    <w:rsid w:val="005836F8"/>
    <w:rsid w:val="00583C38"/>
    <w:rsid w:val="005918FA"/>
    <w:rsid w:val="005D6263"/>
    <w:rsid w:val="005D7DA7"/>
    <w:rsid w:val="005E3125"/>
    <w:rsid w:val="005E61A8"/>
    <w:rsid w:val="005F03EA"/>
    <w:rsid w:val="005F6419"/>
    <w:rsid w:val="00617400"/>
    <w:rsid w:val="00636113"/>
    <w:rsid w:val="00664950"/>
    <w:rsid w:val="00683220"/>
    <w:rsid w:val="00687FA0"/>
    <w:rsid w:val="006936F1"/>
    <w:rsid w:val="006B7010"/>
    <w:rsid w:val="007145FF"/>
    <w:rsid w:val="0071509B"/>
    <w:rsid w:val="00715F1A"/>
    <w:rsid w:val="00751515"/>
    <w:rsid w:val="00785232"/>
    <w:rsid w:val="007B5C0F"/>
    <w:rsid w:val="007C3ED0"/>
    <w:rsid w:val="00803123"/>
    <w:rsid w:val="00806A76"/>
    <w:rsid w:val="00811C9D"/>
    <w:rsid w:val="00816C80"/>
    <w:rsid w:val="0082076F"/>
    <w:rsid w:val="00841BCD"/>
    <w:rsid w:val="008730F8"/>
    <w:rsid w:val="008826C1"/>
    <w:rsid w:val="008A2B14"/>
    <w:rsid w:val="009042BD"/>
    <w:rsid w:val="00977E1D"/>
    <w:rsid w:val="009C003D"/>
    <w:rsid w:val="00A22B78"/>
    <w:rsid w:val="00A25AE5"/>
    <w:rsid w:val="00A30049"/>
    <w:rsid w:val="00A37002"/>
    <w:rsid w:val="00A70064"/>
    <w:rsid w:val="00AA1B0E"/>
    <w:rsid w:val="00AC5CA7"/>
    <w:rsid w:val="00AD1DD0"/>
    <w:rsid w:val="00AE56B1"/>
    <w:rsid w:val="00B73862"/>
    <w:rsid w:val="00BA6900"/>
    <w:rsid w:val="00BA6E48"/>
    <w:rsid w:val="00BA724E"/>
    <w:rsid w:val="00BF2218"/>
    <w:rsid w:val="00BF3549"/>
    <w:rsid w:val="00C94120"/>
    <w:rsid w:val="00CA2754"/>
    <w:rsid w:val="00CD7492"/>
    <w:rsid w:val="00CE25E1"/>
    <w:rsid w:val="00CE3A6B"/>
    <w:rsid w:val="00D00211"/>
    <w:rsid w:val="00D02028"/>
    <w:rsid w:val="00D045E0"/>
    <w:rsid w:val="00D06309"/>
    <w:rsid w:val="00D27872"/>
    <w:rsid w:val="00D351EA"/>
    <w:rsid w:val="00D43403"/>
    <w:rsid w:val="00D62E71"/>
    <w:rsid w:val="00D740CA"/>
    <w:rsid w:val="00D85728"/>
    <w:rsid w:val="00DA2EF9"/>
    <w:rsid w:val="00DD555A"/>
    <w:rsid w:val="00DE27B7"/>
    <w:rsid w:val="00DF2997"/>
    <w:rsid w:val="00DF38E1"/>
    <w:rsid w:val="00E51DDD"/>
    <w:rsid w:val="00E5570A"/>
    <w:rsid w:val="00EA17AC"/>
    <w:rsid w:val="00EB127E"/>
    <w:rsid w:val="00EB7009"/>
    <w:rsid w:val="00EC0BD9"/>
    <w:rsid w:val="00EC7BC3"/>
    <w:rsid w:val="00ED2B07"/>
    <w:rsid w:val="00ED5797"/>
    <w:rsid w:val="00ED7600"/>
    <w:rsid w:val="00EF2A70"/>
    <w:rsid w:val="00F1362C"/>
    <w:rsid w:val="00F824F5"/>
    <w:rsid w:val="00F82CB8"/>
    <w:rsid w:val="00FC29B9"/>
    <w:rsid w:val="00FC6FD3"/>
    <w:rsid w:val="00FE4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リスト段落,Lista1,?? ??,?????,????,中等深浅网格 1 - 着色 21,列表段落,목록 단락,列出段落,列出段落1,¥¡¡¡¡ì¬º¥¹¥È¶ÎÂä,ÁÐ³ö¶ÎÂä,列表段落1,—ño’i—Ž,¥ê¥¹¥È¶ÎÂä,1st level - Bullet List Paragraph,Lettre d'introduction,Paragrafo elenco,Normal bullet 2,Bullet list,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リスト段落 Char,Lista1 Char,?? ?? Char,????? Char,???? Char,中等深浅网格 1 - 着色 21 Char,列表段落 Char,목록 단락 Char,列出段落 Char,列出段落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NormalWeb">
    <w:name w:val="Normal (Web)"/>
    <w:basedOn w:val="Normal"/>
    <w:uiPriority w:val="99"/>
    <w:semiHidden/>
    <w:unhideWhenUsed/>
    <w:rsid w:val="00DF38E1"/>
    <w:pPr>
      <w:spacing w:before="100" w:beforeAutospacing="1" w:after="100" w:afterAutospacing="1" w:line="240" w:lineRule="auto"/>
    </w:pPr>
    <w:rPr>
      <w:rFonts w:eastAsia="Times New Roman" w:cs="Times New Roman"/>
      <w:sz w:val="24"/>
      <w:szCs w:val="24"/>
      <w:lang w:val="en-GB" w:eastAsia="en-GB"/>
    </w:rPr>
  </w:style>
  <w:style w:type="paragraph" w:customStyle="1" w:styleId="Doc-text2">
    <w:name w:val="Doc-text2"/>
    <w:basedOn w:val="Normal"/>
    <w:link w:val="Doc-text2Char"/>
    <w:qFormat/>
    <w:rsid w:val="00004676"/>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004676"/>
    <w:rPr>
      <w:rFonts w:ascii="Arial" w:eastAsia="MS Mincho" w:hAnsi="Arial" w:cs="Times New Roman"/>
      <w:sz w:val="20"/>
      <w:szCs w:val="24"/>
      <w:lang w:val="en-GB" w:eastAsia="en-GB"/>
    </w:rPr>
  </w:style>
  <w:style w:type="character" w:styleId="CommentReference">
    <w:name w:val="annotation reference"/>
    <w:uiPriority w:val="99"/>
    <w:semiHidden/>
    <w:rsid w:val="00004676"/>
    <w:rPr>
      <w:sz w:val="16"/>
      <w:szCs w:val="16"/>
    </w:rPr>
  </w:style>
  <w:style w:type="paragraph" w:styleId="CommentText">
    <w:name w:val="annotation text"/>
    <w:basedOn w:val="Normal"/>
    <w:link w:val="CommentTextChar"/>
    <w:uiPriority w:val="99"/>
    <w:rsid w:val="00004676"/>
    <w:pPr>
      <w:spacing w:before="40" w:after="0" w:line="240" w:lineRule="auto"/>
    </w:pPr>
    <w:rPr>
      <w:rFonts w:ascii="Arial" w:eastAsia="MS Mincho" w:hAnsi="Arial" w:cs="Times New Roman"/>
      <w:szCs w:val="20"/>
      <w:lang w:val="en-GB" w:eastAsia="en-GB"/>
    </w:rPr>
  </w:style>
  <w:style w:type="character" w:customStyle="1" w:styleId="CommentTextChar">
    <w:name w:val="Comment Text Char"/>
    <w:basedOn w:val="DefaultParagraphFont"/>
    <w:link w:val="CommentText"/>
    <w:uiPriority w:val="99"/>
    <w:qFormat/>
    <w:rsid w:val="00004676"/>
    <w:rPr>
      <w:rFonts w:ascii="Arial" w:eastAsia="MS Mincho" w:hAnsi="Arial" w:cs="Times New Roman"/>
      <w:sz w:val="20"/>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004676"/>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676"/>
    <w:rPr>
      <w:rFonts w:ascii="Arial" w:eastAsia="MS Mincho" w:hAnsi="Arial" w:cs="Times New Roman"/>
      <w:b/>
      <w:sz w:val="24"/>
      <w:szCs w:val="24"/>
      <w:lang w:val="de-DE" w:eastAsia="x-none"/>
    </w:rPr>
  </w:style>
  <w:style w:type="paragraph" w:customStyle="1" w:styleId="Agreement">
    <w:name w:val="Agreement"/>
    <w:basedOn w:val="Normal"/>
    <w:next w:val="Doc-text2"/>
    <w:qFormat/>
    <w:rsid w:val="00004676"/>
    <w:pPr>
      <w:numPr>
        <w:numId w:val="28"/>
      </w:numPr>
      <w:spacing w:before="60" w:after="0" w:line="240" w:lineRule="auto"/>
    </w:pPr>
    <w:rPr>
      <w:rFonts w:ascii="Arial" w:eastAsia="MS Mincho" w:hAnsi="Arial" w:cs="Times New Roman"/>
      <w:b/>
      <w:szCs w:val="24"/>
      <w:lang w:val="en-GB" w:eastAsia="en-GB"/>
    </w:rPr>
  </w:style>
  <w:style w:type="paragraph" w:customStyle="1" w:styleId="Confirmation">
    <w:name w:val="Confirmation"/>
    <w:basedOn w:val="Normal"/>
    <w:qFormat/>
    <w:rsid w:val="00004676"/>
    <w:pPr>
      <w:numPr>
        <w:numId w:val="32"/>
      </w:numPr>
      <w:spacing w:after="180" w:line="0" w:lineRule="atLeast"/>
      <w:ind w:left="1701" w:hanging="1701"/>
      <w:jc w:val="both"/>
    </w:pPr>
    <w:rPr>
      <w:rFonts w:ascii="Arial" w:eastAsia="MS Mincho" w:hAnsi="Arial" w:cs="Times New Roman"/>
      <w:b/>
      <w:bCs/>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865938">
      <w:bodyDiv w:val="1"/>
      <w:marLeft w:val="0"/>
      <w:marRight w:val="0"/>
      <w:marTop w:val="0"/>
      <w:marBottom w:val="0"/>
      <w:divBdr>
        <w:top w:val="none" w:sz="0" w:space="0" w:color="auto"/>
        <w:left w:val="none" w:sz="0" w:space="0" w:color="auto"/>
        <w:bottom w:val="none" w:sz="0" w:space="0" w:color="auto"/>
        <w:right w:val="none" w:sz="0" w:space="0" w:color="auto"/>
      </w:divBdr>
      <w:divsChild>
        <w:div w:id="570971884">
          <w:marLeft w:val="1080"/>
          <w:marRight w:val="0"/>
          <w:marTop w:val="100"/>
          <w:marBottom w:val="0"/>
          <w:divBdr>
            <w:top w:val="none" w:sz="0" w:space="0" w:color="auto"/>
            <w:left w:val="none" w:sz="0" w:space="0" w:color="auto"/>
            <w:bottom w:val="none" w:sz="0" w:space="0" w:color="auto"/>
            <w:right w:val="none" w:sz="0" w:space="0" w:color="auto"/>
          </w:divBdr>
        </w:div>
        <w:div w:id="2043939628">
          <w:marLeft w:val="1800"/>
          <w:marRight w:val="0"/>
          <w:marTop w:val="100"/>
          <w:marBottom w:val="0"/>
          <w:divBdr>
            <w:top w:val="none" w:sz="0" w:space="0" w:color="auto"/>
            <w:left w:val="none" w:sz="0" w:space="0" w:color="auto"/>
            <w:bottom w:val="none" w:sz="0" w:space="0" w:color="auto"/>
            <w:right w:val="none" w:sz="0" w:space="0" w:color="auto"/>
          </w:divBdr>
        </w:div>
        <w:div w:id="1703285116">
          <w:marLeft w:val="2520"/>
          <w:marRight w:val="0"/>
          <w:marTop w:val="100"/>
          <w:marBottom w:val="0"/>
          <w:divBdr>
            <w:top w:val="none" w:sz="0" w:space="0" w:color="auto"/>
            <w:left w:val="none" w:sz="0" w:space="0" w:color="auto"/>
            <w:bottom w:val="none" w:sz="0" w:space="0" w:color="auto"/>
            <w:right w:val="none" w:sz="0" w:space="0" w:color="auto"/>
          </w:divBdr>
        </w:div>
        <w:div w:id="1935898628">
          <w:marLeft w:val="1800"/>
          <w:marRight w:val="0"/>
          <w:marTop w:val="100"/>
          <w:marBottom w:val="0"/>
          <w:divBdr>
            <w:top w:val="none" w:sz="0" w:space="0" w:color="auto"/>
            <w:left w:val="none" w:sz="0" w:space="0" w:color="auto"/>
            <w:bottom w:val="none" w:sz="0" w:space="0" w:color="auto"/>
            <w:right w:val="none" w:sz="0" w:space="0" w:color="auto"/>
          </w:divBdr>
        </w:div>
        <w:div w:id="427307914">
          <w:marLeft w:val="2520"/>
          <w:marRight w:val="0"/>
          <w:marTop w:val="100"/>
          <w:marBottom w:val="0"/>
          <w:divBdr>
            <w:top w:val="none" w:sz="0" w:space="0" w:color="auto"/>
            <w:left w:val="none" w:sz="0" w:space="0" w:color="auto"/>
            <w:bottom w:val="none" w:sz="0" w:space="0" w:color="auto"/>
            <w:right w:val="none" w:sz="0" w:space="0" w:color="auto"/>
          </w:divBdr>
        </w:div>
        <w:div w:id="32389815">
          <w:marLeft w:val="1800"/>
          <w:marRight w:val="0"/>
          <w:marTop w:val="100"/>
          <w:marBottom w:val="0"/>
          <w:divBdr>
            <w:top w:val="none" w:sz="0" w:space="0" w:color="auto"/>
            <w:left w:val="none" w:sz="0" w:space="0" w:color="auto"/>
            <w:bottom w:val="none" w:sz="0" w:space="0" w:color="auto"/>
            <w:right w:val="none" w:sz="0" w:space="0" w:color="auto"/>
          </w:divBdr>
        </w:div>
        <w:div w:id="1610772022">
          <w:marLeft w:val="1080"/>
          <w:marRight w:val="0"/>
          <w:marTop w:val="100"/>
          <w:marBottom w:val="0"/>
          <w:divBdr>
            <w:top w:val="none" w:sz="0" w:space="0" w:color="auto"/>
            <w:left w:val="none" w:sz="0" w:space="0" w:color="auto"/>
            <w:bottom w:val="none" w:sz="0" w:space="0" w:color="auto"/>
            <w:right w:val="none" w:sz="0" w:space="0" w:color="auto"/>
          </w:divBdr>
        </w:div>
      </w:divsChild>
    </w:div>
    <w:div w:id="1058892341">
      <w:bodyDiv w:val="1"/>
      <w:marLeft w:val="0"/>
      <w:marRight w:val="0"/>
      <w:marTop w:val="0"/>
      <w:marBottom w:val="0"/>
      <w:divBdr>
        <w:top w:val="none" w:sz="0" w:space="0" w:color="auto"/>
        <w:left w:val="none" w:sz="0" w:space="0" w:color="auto"/>
        <w:bottom w:val="none" w:sz="0" w:space="0" w:color="auto"/>
        <w:right w:val="none" w:sz="0" w:space="0" w:color="auto"/>
      </w:divBdr>
      <w:divsChild>
        <w:div w:id="697707841">
          <w:marLeft w:val="1080"/>
          <w:marRight w:val="0"/>
          <w:marTop w:val="100"/>
          <w:marBottom w:val="0"/>
          <w:divBdr>
            <w:top w:val="none" w:sz="0" w:space="0" w:color="auto"/>
            <w:left w:val="none" w:sz="0" w:space="0" w:color="auto"/>
            <w:bottom w:val="none" w:sz="0" w:space="0" w:color="auto"/>
            <w:right w:val="none" w:sz="0" w:space="0" w:color="auto"/>
          </w:divBdr>
        </w:div>
      </w:divsChild>
    </w:div>
    <w:div w:id="1362977690">
      <w:bodyDiv w:val="1"/>
      <w:marLeft w:val="0"/>
      <w:marRight w:val="0"/>
      <w:marTop w:val="0"/>
      <w:marBottom w:val="0"/>
      <w:divBdr>
        <w:top w:val="none" w:sz="0" w:space="0" w:color="auto"/>
        <w:left w:val="none" w:sz="0" w:space="0" w:color="auto"/>
        <w:bottom w:val="none" w:sz="0" w:space="0" w:color="auto"/>
        <w:right w:val="none" w:sz="0" w:space="0" w:color="auto"/>
      </w:divBdr>
      <w:divsChild>
        <w:div w:id="1814835440">
          <w:marLeft w:val="1080"/>
          <w:marRight w:val="0"/>
          <w:marTop w:val="100"/>
          <w:marBottom w:val="0"/>
          <w:divBdr>
            <w:top w:val="none" w:sz="0" w:space="0" w:color="auto"/>
            <w:left w:val="none" w:sz="0" w:space="0" w:color="auto"/>
            <w:bottom w:val="none" w:sz="0" w:space="0" w:color="auto"/>
            <w:right w:val="none" w:sz="0" w:space="0" w:color="auto"/>
          </w:divBdr>
        </w:div>
        <w:div w:id="2144077129">
          <w:marLeft w:val="1800"/>
          <w:marRight w:val="0"/>
          <w:marTop w:val="100"/>
          <w:marBottom w:val="0"/>
          <w:divBdr>
            <w:top w:val="none" w:sz="0" w:space="0" w:color="auto"/>
            <w:left w:val="none" w:sz="0" w:space="0" w:color="auto"/>
            <w:bottom w:val="none" w:sz="0" w:space="0" w:color="auto"/>
            <w:right w:val="none" w:sz="0" w:space="0" w:color="auto"/>
          </w:divBdr>
        </w:div>
        <w:div w:id="1283415019">
          <w:marLeft w:val="1800"/>
          <w:marRight w:val="0"/>
          <w:marTop w:val="100"/>
          <w:marBottom w:val="0"/>
          <w:divBdr>
            <w:top w:val="none" w:sz="0" w:space="0" w:color="auto"/>
            <w:left w:val="none" w:sz="0" w:space="0" w:color="auto"/>
            <w:bottom w:val="none" w:sz="0" w:space="0" w:color="auto"/>
            <w:right w:val="none" w:sz="0" w:space="0" w:color="auto"/>
          </w:divBdr>
        </w:div>
        <w:div w:id="1424909205">
          <w:marLeft w:val="1080"/>
          <w:marRight w:val="0"/>
          <w:marTop w:val="100"/>
          <w:marBottom w:val="0"/>
          <w:divBdr>
            <w:top w:val="none" w:sz="0" w:space="0" w:color="auto"/>
            <w:left w:val="none" w:sz="0" w:space="0" w:color="auto"/>
            <w:bottom w:val="none" w:sz="0" w:space="0" w:color="auto"/>
            <w:right w:val="none" w:sz="0" w:space="0" w:color="auto"/>
          </w:divBdr>
        </w:div>
        <w:div w:id="573659138">
          <w:marLeft w:val="1800"/>
          <w:marRight w:val="0"/>
          <w:marTop w:val="100"/>
          <w:marBottom w:val="0"/>
          <w:divBdr>
            <w:top w:val="none" w:sz="0" w:space="0" w:color="auto"/>
            <w:left w:val="none" w:sz="0" w:space="0" w:color="auto"/>
            <w:bottom w:val="none" w:sz="0" w:space="0" w:color="auto"/>
            <w:right w:val="none" w:sz="0" w:space="0" w:color="auto"/>
          </w:divBdr>
        </w:div>
        <w:div w:id="1177578698">
          <w:marLeft w:val="1800"/>
          <w:marRight w:val="0"/>
          <w:marTop w:val="100"/>
          <w:marBottom w:val="0"/>
          <w:divBdr>
            <w:top w:val="none" w:sz="0" w:space="0" w:color="auto"/>
            <w:left w:val="none" w:sz="0" w:space="0" w:color="auto"/>
            <w:bottom w:val="none" w:sz="0" w:space="0" w:color="auto"/>
            <w:right w:val="none" w:sz="0" w:space="0" w:color="auto"/>
          </w:divBdr>
        </w:div>
        <w:div w:id="788857288">
          <w:marLeft w:val="1080"/>
          <w:marRight w:val="0"/>
          <w:marTop w:val="100"/>
          <w:marBottom w:val="0"/>
          <w:divBdr>
            <w:top w:val="none" w:sz="0" w:space="0" w:color="auto"/>
            <w:left w:val="none" w:sz="0" w:space="0" w:color="auto"/>
            <w:bottom w:val="none" w:sz="0" w:space="0" w:color="auto"/>
            <w:right w:val="none" w:sz="0" w:space="0" w:color="auto"/>
          </w:divBdr>
        </w:div>
        <w:div w:id="1393844359">
          <w:marLeft w:val="1800"/>
          <w:marRight w:val="0"/>
          <w:marTop w:val="100"/>
          <w:marBottom w:val="0"/>
          <w:divBdr>
            <w:top w:val="none" w:sz="0" w:space="0" w:color="auto"/>
            <w:left w:val="none" w:sz="0" w:space="0" w:color="auto"/>
            <w:bottom w:val="none" w:sz="0" w:space="0" w:color="auto"/>
            <w:right w:val="none" w:sz="0" w:space="0" w:color="auto"/>
          </w:divBdr>
        </w:div>
        <w:div w:id="641498777">
          <w:marLeft w:val="1800"/>
          <w:marRight w:val="0"/>
          <w:marTop w:val="100"/>
          <w:marBottom w:val="0"/>
          <w:divBdr>
            <w:top w:val="none" w:sz="0" w:space="0" w:color="auto"/>
            <w:left w:val="none" w:sz="0" w:space="0" w:color="auto"/>
            <w:bottom w:val="none" w:sz="0" w:space="0" w:color="auto"/>
            <w:right w:val="none" w:sz="0" w:space="0" w:color="auto"/>
          </w:divBdr>
        </w:div>
      </w:divsChild>
    </w:div>
    <w:div w:id="1378894784">
      <w:bodyDiv w:val="1"/>
      <w:marLeft w:val="0"/>
      <w:marRight w:val="0"/>
      <w:marTop w:val="0"/>
      <w:marBottom w:val="0"/>
      <w:divBdr>
        <w:top w:val="none" w:sz="0" w:space="0" w:color="auto"/>
        <w:left w:val="none" w:sz="0" w:space="0" w:color="auto"/>
        <w:bottom w:val="none" w:sz="0" w:space="0" w:color="auto"/>
        <w:right w:val="none" w:sz="0" w:space="0" w:color="auto"/>
      </w:divBdr>
      <w:divsChild>
        <w:div w:id="2060010209">
          <w:marLeft w:val="1080"/>
          <w:marRight w:val="0"/>
          <w:marTop w:val="100"/>
          <w:marBottom w:val="0"/>
          <w:divBdr>
            <w:top w:val="none" w:sz="0" w:space="0" w:color="auto"/>
            <w:left w:val="none" w:sz="0" w:space="0" w:color="auto"/>
            <w:bottom w:val="none" w:sz="0" w:space="0" w:color="auto"/>
            <w:right w:val="none" w:sz="0" w:space="0" w:color="auto"/>
          </w:divBdr>
        </w:div>
      </w:divsChild>
    </w:div>
    <w:div w:id="1400637318">
      <w:bodyDiv w:val="1"/>
      <w:marLeft w:val="0"/>
      <w:marRight w:val="0"/>
      <w:marTop w:val="0"/>
      <w:marBottom w:val="0"/>
      <w:divBdr>
        <w:top w:val="none" w:sz="0" w:space="0" w:color="auto"/>
        <w:left w:val="none" w:sz="0" w:space="0" w:color="auto"/>
        <w:bottom w:val="none" w:sz="0" w:space="0" w:color="auto"/>
        <w:right w:val="none" w:sz="0" w:space="0" w:color="auto"/>
      </w:divBdr>
    </w:div>
    <w:div w:id="214450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8BA24-B629-45CD-849A-48512B0A5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F1090-687D-4E88-96E5-7C588786511D}">
  <ds:schemaRefs>
    <ds:schemaRef ds:uri="Microsoft.SharePoint.Taxonomy.ContentTypeSync"/>
  </ds:schemaRefs>
</ds:datastoreItem>
</file>

<file path=customXml/itemProps3.xml><?xml version="1.0" encoding="utf-8"?>
<ds:datastoreItem xmlns:ds="http://schemas.openxmlformats.org/officeDocument/2006/customXml" ds:itemID="{83BE08A8-3310-45FC-9B8C-1C653AEB2124}">
  <ds:schemaRefs>
    <ds:schemaRef ds:uri="http://schemas.microsoft.com/sharepoint/events"/>
  </ds:schemaRefs>
</ds:datastoreItem>
</file>

<file path=customXml/itemProps4.xml><?xml version="1.0" encoding="utf-8"?>
<ds:datastoreItem xmlns:ds="http://schemas.openxmlformats.org/officeDocument/2006/customXml" ds:itemID="{70F91131-403C-475F-83FA-7F7D54149A9F}">
  <ds:schemaRefs>
    <ds:schemaRef ds:uri="http://schemas.microsoft.com/sharepoint/v3/contenttype/forms"/>
  </ds:schemaRefs>
</ds:datastoreItem>
</file>

<file path=customXml/itemProps5.xml><?xml version="1.0" encoding="utf-8"?>
<ds:datastoreItem xmlns:ds="http://schemas.openxmlformats.org/officeDocument/2006/customXml" ds:itemID="{E831B591-D2E9-4D7E-AED8-E354DEC4D49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5EDEFC6-76F7-4B2B-A309-B7775EC00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3067</Words>
  <Characters>17484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 Oy</cp:lastModifiedBy>
  <cp:revision>3</cp:revision>
  <dcterms:created xsi:type="dcterms:W3CDTF">2020-02-14T18:47:00Z</dcterms:created>
  <dcterms:modified xsi:type="dcterms:W3CDTF">2020-02-14T18:47:00Z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