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922" w:rsidRPr="00E61854" w:rsidRDefault="00693922" w:rsidP="0069392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RAN4#9</w:t>
      </w:r>
      <w:r>
        <w:rPr>
          <w:rFonts w:ascii="Arial" w:hAnsi="Arial" w:cs="Arial"/>
          <w:b/>
          <w:noProof/>
          <w:sz w:val="24"/>
          <w:szCs w:val="24"/>
          <w:lang w:val="en-US"/>
        </w:rPr>
        <w:t>3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52750">
        <w:rPr>
          <w:b/>
          <w:sz w:val="24"/>
          <w:szCs w:val="24"/>
        </w:rPr>
        <w:t>R4-191</w:t>
      </w:r>
      <w:r>
        <w:rPr>
          <w:b/>
          <w:sz w:val="24"/>
          <w:szCs w:val="24"/>
        </w:rPr>
        <w:t>4986</w:t>
      </w:r>
    </w:p>
    <w:p w:rsidR="00693922" w:rsidRDefault="00693922" w:rsidP="00693922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Nevada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November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18</w:t>
      </w:r>
      <w:r w:rsidRPr="00717A9D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22</w:t>
      </w:r>
      <w:r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nd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9</w:t>
      </w:r>
    </w:p>
    <w:p w:rsidR="00693922" w:rsidRPr="00FB0094" w:rsidRDefault="00693922" w:rsidP="00693922">
      <w:pPr>
        <w:pStyle w:val="Footer"/>
        <w:jc w:val="both"/>
        <w:rPr>
          <w:noProof w:val="0"/>
        </w:rPr>
      </w:pPr>
    </w:p>
    <w:p w:rsidR="00693922" w:rsidRPr="000A64D8" w:rsidRDefault="00693922" w:rsidP="00693922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9.5.5.4</w:t>
      </w:r>
    </w:p>
    <w:p w:rsidR="00693922" w:rsidRPr="000A64D8" w:rsidRDefault="00693922" w:rsidP="0069392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</w:t>
      </w:r>
    </w:p>
    <w:p w:rsidR="00693922" w:rsidRPr="000A64D8" w:rsidRDefault="00693922" w:rsidP="00693922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Additional</w:t>
      </w:r>
      <w:r>
        <w:rPr>
          <w:rFonts w:ascii="Arial" w:hAnsi="Arial"/>
          <w:sz w:val="22"/>
        </w:rPr>
        <w:t xml:space="preserve"> RRM requirements for IAB nodes</w:t>
      </w:r>
    </w:p>
    <w:p w:rsidR="00693922" w:rsidRDefault="00693922" w:rsidP="0069392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693922" w:rsidRDefault="00693922" w:rsidP="00693922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7E418E" w:rsidRDefault="007E418E" w:rsidP="007E418E">
      <w:r>
        <w:t>During the last meeting</w:t>
      </w:r>
      <w:r w:rsidRPr="00E76BC6">
        <w:t>, RAN4 RRM session made the following agreement</w:t>
      </w:r>
      <w:r>
        <w:t xml:space="preserve"> [1]</w:t>
      </w:r>
    </w:p>
    <w:p w:rsidR="005E671F" w:rsidRDefault="005E671F" w:rsidP="005E67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E671F" w:rsidRPr="00CC1587" w:rsidTr="006B12DC">
        <w:tc>
          <w:tcPr>
            <w:tcW w:w="9350" w:type="dxa"/>
          </w:tcPr>
          <w:p w:rsidR="005E671F" w:rsidRDefault="005E671F" w:rsidP="006B12DC">
            <w:pPr>
              <w:spacing w:before="60" w:after="60"/>
            </w:pPr>
            <w:r w:rsidRPr="00E76BC6">
              <w:t>RAN4 agrees to define IAB RRM requirements based on the following table</w:t>
            </w:r>
            <w:r>
              <w:t>.</w:t>
            </w:r>
          </w:p>
          <w:p w:rsidR="005E671F" w:rsidRDefault="005E671F" w:rsidP="006B12DC">
            <w:pPr>
              <w:spacing w:before="60" w:after="60"/>
            </w:pPr>
          </w:p>
          <w:tbl>
            <w:tblPr>
              <w:tblW w:w="94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5"/>
              <w:gridCol w:w="3687"/>
              <w:gridCol w:w="2790"/>
            </w:tblGrid>
            <w:tr w:rsidR="005E671F" w:rsidRPr="00E76BC6" w:rsidTr="006B12DC">
              <w:trPr>
                <w:trHeight w:val="580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Requirements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Comments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 xml:space="preserve">Is requirement needed? </w:t>
                  </w:r>
                </w:p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> </w:t>
                  </w:r>
                </w:p>
              </w:tc>
            </w:tr>
            <w:tr w:rsidR="005E671F" w:rsidRPr="00E76BC6" w:rsidTr="006B12DC">
              <w:trPr>
                <w:trHeight w:val="671"/>
              </w:trPr>
              <w:tc>
                <w:tcPr>
                  <w:tcW w:w="293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Cell reselection</w:t>
                  </w:r>
                </w:p>
              </w:tc>
              <w:tc>
                <w:tcPr>
                  <w:tcW w:w="3687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5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t>Intra-frequency</w:t>
                  </w:r>
                </w:p>
                <w:p w:rsidR="005E671F" w:rsidRPr="00E76BC6" w:rsidRDefault="005E671F" w:rsidP="005E671F">
                  <w:pPr>
                    <w:numPr>
                      <w:ilvl w:val="0"/>
                      <w:numId w:val="15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t>Inter-frequency</w:t>
                  </w:r>
                </w:p>
              </w:tc>
              <w:tc>
                <w:tcPr>
                  <w:tcW w:w="279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No</w:t>
                  </w:r>
                </w:p>
              </w:tc>
            </w:tr>
            <w:tr w:rsidR="005E671F" w:rsidRPr="00E76BC6" w:rsidTr="006B12DC">
              <w:trPr>
                <w:trHeight w:val="417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Handover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u w:val="single"/>
                    </w:rPr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5E671F" w:rsidRPr="00E76BC6" w:rsidTr="006B12DC">
              <w:trPr>
                <w:trHeight w:val="1275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RRC Connection Mobility Control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6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RRC re-establishment</w:t>
                  </w:r>
                </w:p>
                <w:p w:rsidR="005E671F" w:rsidRPr="00E76BC6" w:rsidRDefault="005E671F" w:rsidP="005E671F">
                  <w:pPr>
                    <w:numPr>
                      <w:ilvl w:val="0"/>
                      <w:numId w:val="16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Random access</w:t>
                  </w:r>
                </w:p>
                <w:p w:rsidR="005E671F" w:rsidRPr="00E76BC6" w:rsidRDefault="005E671F" w:rsidP="005E671F">
                  <w:pPr>
                    <w:numPr>
                      <w:ilvl w:val="0"/>
                      <w:numId w:val="16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RRC release with redirection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Yes </w:t>
                  </w:r>
                </w:p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</w:tr>
            <w:tr w:rsidR="005E671F" w:rsidRPr="00E76BC6" w:rsidTr="006B12DC">
              <w:trPr>
                <w:trHeight w:val="60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b/>
                      <w:bCs/>
                    </w:rPr>
                    <w:t>SCell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activation/deactivation delays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5E671F" w:rsidRPr="00E76BC6" w:rsidTr="006B12DC">
              <w:trPr>
                <w:trHeight w:val="144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 xml:space="preserve">Interruptions related to </w:t>
                  </w:r>
                  <w:proofErr w:type="spellStart"/>
                  <w:r w:rsidRPr="00E76BC6">
                    <w:rPr>
                      <w:b/>
                      <w:bCs/>
                    </w:rPr>
                    <w:t>SCells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addition, release, activation, deactivation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Interruptions on serving cells due to any of the addition, release, activation, or deactivation procedures </w:t>
                  </w:r>
                </w:p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5E671F" w:rsidRPr="00E76BC6" w:rsidTr="006B12DC">
              <w:trPr>
                <w:trHeight w:val="60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b/>
                      <w:bCs/>
                    </w:rPr>
                    <w:t>PSCell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addition/release delays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5E671F" w:rsidRPr="00E76BC6" w:rsidTr="006B12DC">
              <w:trPr>
                <w:trHeight w:val="1292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Active BWP switching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7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Interruptions at active BWP switching</w:t>
                  </w:r>
                </w:p>
                <w:p w:rsidR="005E671F" w:rsidRPr="00E76BC6" w:rsidRDefault="005E671F" w:rsidP="005E671F">
                  <w:pPr>
                    <w:numPr>
                      <w:ilvl w:val="0"/>
                      <w:numId w:val="17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Active BWP switching delay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</w:tr>
            <w:tr w:rsidR="005E671F" w:rsidRPr="00E76BC6" w:rsidTr="006B12DC">
              <w:trPr>
                <w:trHeight w:val="308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TCI switching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TCI switching delay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</w:tbl>
          <w:p w:rsidR="005E671F" w:rsidRDefault="005E671F" w:rsidP="006B12DC">
            <w:pPr>
              <w:spacing w:before="60" w:after="60"/>
            </w:pPr>
          </w:p>
          <w:p w:rsidR="005E671F" w:rsidRDefault="005E671F" w:rsidP="006B12DC">
            <w:pPr>
              <w:spacing w:before="60" w:after="60"/>
            </w:pPr>
          </w:p>
          <w:tbl>
            <w:tblPr>
              <w:tblW w:w="94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40"/>
              <w:gridCol w:w="3600"/>
              <w:gridCol w:w="2940"/>
            </w:tblGrid>
            <w:tr w:rsidR="005E671F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Comments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 xml:space="preserve">Is requirement needed? </w:t>
                  </w:r>
                </w:p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> </w:t>
                  </w:r>
                </w:p>
              </w:tc>
            </w:tr>
            <w:tr w:rsidR="005E671F" w:rsidRPr="00E76BC6" w:rsidTr="006B12DC">
              <w:trPr>
                <w:trHeight w:val="409"/>
              </w:trPr>
              <w:tc>
                <w:tcPr>
                  <w:tcW w:w="29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lastRenderedPageBreak/>
                    <w:t>RLM</w:t>
                  </w:r>
                </w:p>
              </w:tc>
              <w:tc>
                <w:tcPr>
                  <w:tcW w:w="36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Requirements for RLM, e.g., based on SSB, CSI-RS or both </w:t>
                  </w:r>
                </w:p>
              </w:tc>
              <w:tc>
                <w:tcPr>
                  <w:tcW w:w="29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  <w:tr w:rsidR="005E671F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Link recovery procedures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Requirements for SSB-based and CSI-RS based BFD and CBD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  <w:tr w:rsidR="005E671F" w:rsidRPr="00E76BC6" w:rsidTr="006B12DC">
              <w:trPr>
                <w:trHeight w:val="1228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 xml:space="preserve">Measurements requirements (time duration, number of cells, etc.) 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5E671F" w:rsidRPr="00E76BC6" w:rsidTr="006B12DC">
              <w:trPr>
                <w:trHeight w:val="819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Measurement accuracy 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FFS</w:t>
                  </w:r>
                </w:p>
              </w:tc>
            </w:tr>
            <w:tr w:rsidR="005E671F" w:rsidRPr="00E76BC6" w:rsidTr="006B12DC">
              <w:trPr>
                <w:trHeight w:val="856"/>
              </w:trPr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MT timing related 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1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MT transmit timing (</w:t>
                  </w:r>
                  <w:proofErr w:type="spellStart"/>
                  <w:r w:rsidRPr="00E76BC6">
                    <w:rPr>
                      <w:lang w:val="en-US"/>
                    </w:rPr>
                    <w:t>Te</w:t>
                  </w:r>
                  <w:proofErr w:type="spellEnd"/>
                  <w:r w:rsidRPr="00E76BC6">
                    <w:rPr>
                      <w:lang w:val="en-US"/>
                    </w:rPr>
                    <w:t xml:space="preserve"> and </w:t>
                  </w:r>
                  <w:proofErr w:type="spellStart"/>
                  <w:r w:rsidRPr="00E76BC6">
                    <w:rPr>
                      <w:lang w:val="en-US"/>
                    </w:rPr>
                    <w:t>Tq</w:t>
                  </w:r>
                  <w:proofErr w:type="spellEnd"/>
                  <w:r w:rsidRPr="00E76BC6">
                    <w:rPr>
                      <w:lang w:val="en-US"/>
                    </w:rPr>
                    <w:t>)</w:t>
                  </w:r>
                </w:p>
                <w:p w:rsidR="005E671F" w:rsidRPr="00E76BC6" w:rsidRDefault="005E671F" w:rsidP="005E671F">
                  <w:pPr>
                    <w:numPr>
                      <w:ilvl w:val="0"/>
                      <w:numId w:val="11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Timing Advance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 xml:space="preserve">Yes </w:t>
                  </w:r>
                  <w:r w:rsidRPr="00E76BC6">
                    <w:t> </w:t>
                  </w:r>
                </w:p>
              </w:tc>
            </w:tr>
            <w:tr w:rsidR="005E671F" w:rsidRPr="00E76BC6" w:rsidTr="006B12DC">
              <w:trPr>
                <w:trHeight w:val="856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2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MRTD</w:t>
                  </w:r>
                </w:p>
                <w:p w:rsidR="005E671F" w:rsidRPr="00E76BC6" w:rsidRDefault="005E671F" w:rsidP="005E671F">
                  <w:pPr>
                    <w:numPr>
                      <w:ilvl w:val="0"/>
                      <w:numId w:val="12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MTTD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5E671F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u w:val="single"/>
                    </w:rPr>
                    <w:t>Switching time between MT and DU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---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TBD in RAN4 RF session</w:t>
                  </w:r>
                </w:p>
              </w:tc>
            </w:tr>
            <w:tr w:rsidR="005E671F" w:rsidRPr="00E76BC6" w:rsidTr="006B12DC">
              <w:trPr>
                <w:trHeight w:val="520"/>
              </w:trPr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DU timing related requirements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3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3 us requirement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Yes</w:t>
                  </w:r>
                </w:p>
              </w:tc>
            </w:tr>
            <w:tr w:rsidR="005E671F" w:rsidRPr="00E76BC6" w:rsidTr="006B12DC">
              <w:trPr>
                <w:trHeight w:val="408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FFS</w:t>
                  </w:r>
                </w:p>
              </w:tc>
            </w:tr>
            <w:tr w:rsidR="005E671F" w:rsidRPr="00E76BC6" w:rsidTr="006B12DC">
              <w:trPr>
                <w:trHeight w:val="512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5E671F" w:rsidRPr="00E76BC6" w:rsidRDefault="005E671F" w:rsidP="005E671F">
                  <w:pPr>
                    <w:numPr>
                      <w:ilvl w:val="0"/>
                      <w:numId w:val="14"/>
                    </w:num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lang w:val="en-US"/>
                    </w:rPr>
                    <w:t>T_delta</w:t>
                  </w:r>
                  <w:proofErr w:type="spellEnd"/>
                  <w:r w:rsidRPr="00E76BC6">
                    <w:rPr>
                      <w:lang w:val="en-US"/>
                    </w:rPr>
                    <w:t xml:space="preserve"> command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5E671F" w:rsidRPr="00E76BC6" w:rsidRDefault="005E671F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</w:tr>
          </w:tbl>
          <w:p w:rsidR="005E671F" w:rsidRDefault="005E671F" w:rsidP="006B12DC">
            <w:pPr>
              <w:spacing w:before="60" w:after="60"/>
            </w:pPr>
          </w:p>
          <w:p w:rsidR="005E671F" w:rsidRDefault="005E671F" w:rsidP="006B12DC">
            <w:pPr>
              <w:spacing w:before="60" w:after="60"/>
            </w:pPr>
          </w:p>
          <w:p w:rsidR="005E671F" w:rsidRPr="00E06AAD" w:rsidRDefault="005E671F" w:rsidP="006B12DC">
            <w:pPr>
              <w:spacing w:before="60" w:after="60"/>
            </w:pPr>
          </w:p>
        </w:tc>
      </w:tr>
    </w:tbl>
    <w:p w:rsidR="005E671F" w:rsidRDefault="005E671F" w:rsidP="007E418E"/>
    <w:p w:rsidR="005E671F" w:rsidRDefault="005E671F" w:rsidP="007E418E">
      <w:r>
        <w:t xml:space="preserve">This contribution focuses on the need of defining additional RAN4 requirements for IAB nodes. </w:t>
      </w:r>
      <w:r w:rsidR="005914CA">
        <w:t xml:space="preserve">It also shows the details of the newly proposed </w:t>
      </w:r>
    </w:p>
    <w:p w:rsidR="00693922" w:rsidRPr="007D51D1" w:rsidRDefault="00693922" w:rsidP="00693922">
      <w:pPr>
        <w:pStyle w:val="Heading1"/>
      </w:pPr>
      <w:r>
        <w:t xml:space="preserve">Necessity of Defining IAB RRM Requirements </w:t>
      </w:r>
    </w:p>
    <w:p w:rsidR="00693922" w:rsidRDefault="00693922" w:rsidP="00693922">
      <w:pPr>
        <w:pStyle w:val="Heading2"/>
      </w:pPr>
      <w:r>
        <w:t>Interoperability in IAB Networks</w:t>
      </w:r>
    </w:p>
    <w:p w:rsidR="00693922" w:rsidRDefault="00693922" w:rsidP="00693922">
      <w:r>
        <w:t xml:space="preserve">An IAB network can consist of many IAB nodes. Each IAB node will have a mobile-termination (MT) and </w:t>
      </w:r>
      <w:proofErr w:type="spellStart"/>
      <w:r>
        <w:t>gNB</w:t>
      </w:r>
      <w:proofErr w:type="spellEnd"/>
      <w:r>
        <w:t>-DU functionality [</w:t>
      </w:r>
      <w:r w:rsidR="005D359C">
        <w:t>2</w:t>
      </w:r>
      <w:r>
        <w:t xml:space="preserve">]. The MT part of an IAB node acts as the child of a parent node. The DU part provides </w:t>
      </w:r>
      <w:proofErr w:type="spellStart"/>
      <w:r>
        <w:t>gNB</w:t>
      </w:r>
      <w:proofErr w:type="spellEnd"/>
      <w:r>
        <w:t xml:space="preserve"> functionality to children nodes. Figure 1 shows an example of IAB network. Both IAB node 2 and IAB node 3 are children of IAB node 1. The MTs of these two IAB nodes receive data from the DU of IAB node 1. UE node 1 and UE node 2 are children of IAB node 2 and IAB node 3 respectively. The dotted line between IAB node 2 and IAB node 3 means that the link between IAB node 2 and 3 is good; and IAB node 2 might be able to act as a parent of IAB node 3.</w:t>
      </w:r>
    </w:p>
    <w:p w:rsidR="00693922" w:rsidRDefault="00693922" w:rsidP="00693922">
      <w:pPr>
        <w:jc w:val="center"/>
      </w:pPr>
      <w:r>
        <w:rPr>
          <w:noProof/>
        </w:rPr>
        <w:lastRenderedPageBreak/>
        <w:drawing>
          <wp:inline distT="0" distB="0" distL="0" distR="0" wp14:anchorId="140B4A80" wp14:editId="1035C660">
            <wp:extent cx="2352675" cy="2948931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AB chai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856" cy="296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922" w:rsidRDefault="00693922" w:rsidP="00693922">
      <w:pPr>
        <w:jc w:val="center"/>
        <w:rPr>
          <w:b/>
        </w:rPr>
      </w:pPr>
      <w:r w:rsidRPr="00E93AE5">
        <w:rPr>
          <w:b/>
          <w:u w:val="single"/>
        </w:rPr>
        <w:t>Figure 1:</w:t>
      </w:r>
      <w:r w:rsidRPr="00E93AE5">
        <w:rPr>
          <w:b/>
        </w:rPr>
        <w:t xml:space="preserve"> An IAB network </w:t>
      </w:r>
    </w:p>
    <w:p w:rsidR="00693922" w:rsidRDefault="00693922" w:rsidP="00693922">
      <w:r w:rsidRPr="00653AA5">
        <w:t>Different IAB nodes of an IAB network can be designed by different infra vendors. Inter-operability among different IAB nodes is significant to guarantee the performance of an IAB network</w:t>
      </w:r>
      <w:r>
        <w:t xml:space="preserve">. This inter-operability can be achieved by defining RRM requirements for IAB nodes. </w:t>
      </w:r>
    </w:p>
    <w:p w:rsidR="00693922" w:rsidRDefault="00693922" w:rsidP="00693922">
      <w:r>
        <w:rPr>
          <w:b/>
        </w:rPr>
        <w:t xml:space="preserve">Observation </w:t>
      </w:r>
      <w:r w:rsidR="000B1ED7">
        <w:rPr>
          <w:b/>
        </w:rPr>
        <w:t>1</w:t>
      </w:r>
      <w:r>
        <w:rPr>
          <w:b/>
        </w:rPr>
        <w:t>: Ensuring inter-operability among different IAB nodes is very important to guarantee the performance of an IAB network</w:t>
      </w:r>
      <w:r w:rsidRPr="00A1188C">
        <w:rPr>
          <w:b/>
        </w:rPr>
        <w:t xml:space="preserve">. Inter-operability can be achieved by defining RRM requirements for IAB nodes. </w:t>
      </w:r>
    </w:p>
    <w:p w:rsidR="00693922" w:rsidRPr="00533183" w:rsidRDefault="00693922" w:rsidP="00693922">
      <w:pPr>
        <w:rPr>
          <w:b/>
        </w:rPr>
      </w:pPr>
    </w:p>
    <w:p w:rsidR="00693922" w:rsidRDefault="00693922" w:rsidP="00693922">
      <w:pPr>
        <w:pStyle w:val="Heading2"/>
      </w:pPr>
      <w:r>
        <w:t>Deployment of IAB in FR2</w:t>
      </w:r>
    </w:p>
    <w:p w:rsidR="00693922" w:rsidRDefault="00693922" w:rsidP="00693922">
      <w:r>
        <w:t>FR2 is the main use case for Rel-16 IAB networks. Defining requirements for beam failure detection, beam failure recovery, radio link monitoring, etc. are essential to guarantee performance in FR2 IAB network.</w:t>
      </w:r>
      <w:r w:rsidR="0061617B" w:rsidRPr="0061617B">
        <w:t xml:space="preserve"> </w:t>
      </w:r>
      <w:r w:rsidR="0061617B">
        <w:t>Keeping that in mind, RAN4 needs to define RLM, BFD, CBD, L1-RSRP evaluation, accuracy and TCI switch requirement for IAB network.</w:t>
      </w:r>
    </w:p>
    <w:p w:rsidR="00693922" w:rsidRDefault="00693922" w:rsidP="00693922">
      <w:pPr>
        <w:rPr>
          <w:b/>
        </w:rPr>
      </w:pPr>
      <w:r w:rsidRPr="00533183">
        <w:rPr>
          <w:b/>
        </w:rPr>
        <w:t xml:space="preserve">Observation </w:t>
      </w:r>
      <w:r w:rsidR="000B1ED7">
        <w:rPr>
          <w:b/>
        </w:rPr>
        <w:t>2</w:t>
      </w:r>
      <w:r w:rsidRPr="00533183">
        <w:rPr>
          <w:b/>
        </w:rPr>
        <w:t>: FR2 is the main use case for Rel-16 IAB networks. Defining beam management related requirements</w:t>
      </w:r>
      <w:r>
        <w:rPr>
          <w:b/>
        </w:rPr>
        <w:t xml:space="preserve"> is</w:t>
      </w:r>
      <w:r w:rsidRPr="00533183">
        <w:rPr>
          <w:b/>
        </w:rPr>
        <w:t xml:space="preserve"> essential to guarantee performance in FR2 IAB network.</w:t>
      </w:r>
    </w:p>
    <w:p w:rsidR="0061617B" w:rsidRPr="0061617B" w:rsidRDefault="0061617B" w:rsidP="0061617B">
      <w:pPr>
        <w:pStyle w:val="ListParagraph"/>
        <w:numPr>
          <w:ilvl w:val="0"/>
          <w:numId w:val="18"/>
        </w:numPr>
        <w:ind w:leftChars="0"/>
        <w:rPr>
          <w:b/>
        </w:rPr>
      </w:pPr>
      <w:r w:rsidRPr="0061617B">
        <w:rPr>
          <w:b/>
        </w:rPr>
        <w:t>RAN4 needs to define RLM, BFD, CBD, L1-RSRP evaluation, accuracy and TCI switch requirement for IAB network.</w:t>
      </w:r>
    </w:p>
    <w:p w:rsidR="00693922" w:rsidRPr="005D01A2" w:rsidRDefault="00693922" w:rsidP="00693922"/>
    <w:p w:rsidR="0061617B" w:rsidRDefault="0061617B">
      <w:pPr>
        <w:pStyle w:val="Heading2"/>
      </w:pPr>
      <w:r>
        <w:t xml:space="preserve"> Handover and Additional Timing Requirements</w:t>
      </w:r>
    </w:p>
    <w:p w:rsidR="0061617B" w:rsidRDefault="0061617B" w:rsidP="0061617B">
      <w:r>
        <w:t xml:space="preserve">In addition, blind HO is also very useful in IAB network because it will allow network to inform an IAB MT node to switch to another parent node, if needed. </w:t>
      </w:r>
    </w:p>
    <w:p w:rsidR="0061617B" w:rsidRDefault="0061617B" w:rsidP="0061617B">
      <w:r>
        <w:t>During the last meeting, RAN4 discussed defining MRTD and MTTD requirements. Some companies commented that MRTD and MTTD should be supported if RAN4 RF</w:t>
      </w:r>
      <w:r>
        <w:t xml:space="preserve"> session agrees to support </w:t>
      </w:r>
      <w:r w:rsidR="00792AA8">
        <w:t>EN-DC and NR CA in IAB network. In our understanding, RAN4 RF will discuss the need for defining EN-DC and NR CA in this meeting. If they get supported, RAN4 RRM session should define requirements for MRTD and MTTD, as well.</w:t>
      </w:r>
    </w:p>
    <w:p w:rsidR="00792AA8" w:rsidRDefault="00792AA8" w:rsidP="0061617B"/>
    <w:p w:rsidR="00792AA8" w:rsidRPr="0061617B" w:rsidRDefault="00792AA8" w:rsidP="0061617B"/>
    <w:p w:rsidR="0061617B" w:rsidRPr="00FD5686" w:rsidRDefault="000B1ED7" w:rsidP="00693922">
      <w:pPr>
        <w:pStyle w:val="Heading1"/>
      </w:pPr>
      <w:r>
        <w:lastRenderedPageBreak/>
        <w:t>Proposal for Additional RRM Requirements in IAB Node</w:t>
      </w:r>
    </w:p>
    <w:p w:rsidR="00FD5686" w:rsidRDefault="00693922" w:rsidP="000B1ED7">
      <w:pPr>
        <w:rPr>
          <w:b/>
        </w:rPr>
      </w:pPr>
      <w:r>
        <w:rPr>
          <w:b/>
        </w:rPr>
        <w:t>Proposal 1: RAN4 supports table 1 to define the RRM requirements in IAB networks.</w:t>
      </w:r>
    </w:p>
    <w:p w:rsidR="0091248F" w:rsidRPr="0061617B" w:rsidRDefault="0091248F" w:rsidP="0091248F">
      <w:pPr>
        <w:jc w:val="center"/>
        <w:rPr>
          <w:b/>
        </w:rPr>
      </w:pPr>
      <w:r>
        <w:rPr>
          <w:b/>
        </w:rPr>
        <w:t>Table 1: RRM requirements for IAB MTs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B1ED7" w:rsidRPr="00CC1587" w:rsidTr="006B12DC">
        <w:tc>
          <w:tcPr>
            <w:tcW w:w="9350" w:type="dxa"/>
          </w:tcPr>
          <w:p w:rsidR="000B1ED7" w:rsidRDefault="000B1ED7" w:rsidP="006B12DC">
            <w:pPr>
              <w:spacing w:before="60" w:after="60"/>
            </w:pPr>
          </w:p>
          <w:tbl>
            <w:tblPr>
              <w:tblW w:w="94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5"/>
              <w:gridCol w:w="3687"/>
              <w:gridCol w:w="2790"/>
            </w:tblGrid>
            <w:tr w:rsidR="000B1ED7" w:rsidRPr="00E76BC6" w:rsidTr="006B12DC">
              <w:trPr>
                <w:trHeight w:val="580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Requirements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Comments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 xml:space="preserve">Is requirement needed? </w:t>
                  </w:r>
                </w:p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lang w:val="en-US"/>
                    </w:rPr>
                    <w:t> </w:t>
                  </w:r>
                </w:p>
              </w:tc>
            </w:tr>
            <w:tr w:rsidR="000B1ED7" w:rsidRPr="00E76BC6" w:rsidTr="006B12DC">
              <w:trPr>
                <w:trHeight w:val="671"/>
              </w:trPr>
              <w:tc>
                <w:tcPr>
                  <w:tcW w:w="293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Cell reselection</w:t>
                  </w:r>
                </w:p>
              </w:tc>
              <w:tc>
                <w:tcPr>
                  <w:tcW w:w="3687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5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t>Intra-frequency</w:t>
                  </w:r>
                </w:p>
                <w:p w:rsidR="000B1ED7" w:rsidRPr="00E76BC6" w:rsidRDefault="000B1ED7" w:rsidP="006B12DC">
                  <w:pPr>
                    <w:numPr>
                      <w:ilvl w:val="0"/>
                      <w:numId w:val="15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t>Inter-frequency</w:t>
                  </w:r>
                </w:p>
              </w:tc>
              <w:tc>
                <w:tcPr>
                  <w:tcW w:w="279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No</w:t>
                  </w:r>
                </w:p>
              </w:tc>
            </w:tr>
            <w:tr w:rsidR="000B1ED7" w:rsidRPr="00E76BC6" w:rsidTr="006B12DC">
              <w:trPr>
                <w:trHeight w:val="417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Handover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u w:val="single"/>
                    </w:rPr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Default="000B1ED7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proofErr w:type="gramStart"/>
                  <w:r w:rsidRPr="000B1ED7">
                    <w:rPr>
                      <w:b/>
                      <w:u w:val="single"/>
                      <w:lang w:val="en-US"/>
                    </w:rPr>
                    <w:t>Yes</w:t>
                  </w:r>
                  <w:proofErr w:type="gramEnd"/>
                  <w:r w:rsidRPr="000B1ED7">
                    <w:rPr>
                      <w:b/>
                      <w:u w:val="single"/>
                      <w:lang w:val="en-US"/>
                    </w:rPr>
                    <w:t xml:space="preserve"> for </w:t>
                  </w:r>
                  <w:r>
                    <w:rPr>
                      <w:b/>
                      <w:u w:val="single"/>
                      <w:lang w:val="en-US"/>
                    </w:rPr>
                    <w:t xml:space="preserve">handover </w:t>
                  </w:r>
                  <w:r w:rsidR="001D00BA">
                    <w:rPr>
                      <w:b/>
                      <w:u w:val="single"/>
                      <w:lang w:val="en-US"/>
                    </w:rPr>
                    <w:t>to an unknown cell</w:t>
                  </w:r>
                </w:p>
                <w:p w:rsidR="00A84C4E" w:rsidRPr="000B1ED7" w:rsidRDefault="00A84C4E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>
                    <w:rPr>
                      <w:b/>
                      <w:u w:val="single"/>
                      <w:lang w:val="en-US"/>
                    </w:rPr>
                    <w:t>No for other scenarios</w:t>
                  </w:r>
                </w:p>
              </w:tc>
            </w:tr>
            <w:tr w:rsidR="000B1ED7" w:rsidRPr="00E76BC6" w:rsidTr="006B12DC">
              <w:trPr>
                <w:trHeight w:val="1275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RRC Connection Mobility Control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6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RRC re-establishment</w:t>
                  </w:r>
                </w:p>
                <w:p w:rsidR="000B1ED7" w:rsidRPr="00E76BC6" w:rsidRDefault="000B1ED7" w:rsidP="006B12DC">
                  <w:pPr>
                    <w:numPr>
                      <w:ilvl w:val="0"/>
                      <w:numId w:val="16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Random access</w:t>
                  </w:r>
                </w:p>
                <w:p w:rsidR="000B1ED7" w:rsidRPr="00E76BC6" w:rsidRDefault="000B1ED7" w:rsidP="006B12DC">
                  <w:pPr>
                    <w:numPr>
                      <w:ilvl w:val="0"/>
                      <w:numId w:val="16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RRC release with redirection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Yes </w:t>
                  </w:r>
                </w:p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</w:tr>
            <w:tr w:rsidR="000B1ED7" w:rsidRPr="00E76BC6" w:rsidTr="006B12DC">
              <w:trPr>
                <w:trHeight w:val="60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b/>
                      <w:bCs/>
                    </w:rPr>
                    <w:t>SCell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activation/deactivation delays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0B1ED7" w:rsidRPr="00E76BC6" w:rsidTr="006B12DC">
              <w:trPr>
                <w:trHeight w:val="144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 xml:space="preserve">Interruptions related to </w:t>
                  </w:r>
                  <w:proofErr w:type="spellStart"/>
                  <w:r w:rsidRPr="00E76BC6">
                    <w:rPr>
                      <w:b/>
                      <w:bCs/>
                    </w:rPr>
                    <w:t>SCells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addition, release, activation, deactivation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Interruptions on serving cells due to any of the addition, release, activation, or deactivation procedures </w:t>
                  </w:r>
                </w:p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0B1ED7" w:rsidRPr="00E76BC6" w:rsidTr="006B12DC">
              <w:trPr>
                <w:trHeight w:val="609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b/>
                      <w:bCs/>
                    </w:rPr>
                    <w:t>PSCell</w:t>
                  </w:r>
                  <w:proofErr w:type="spellEnd"/>
                  <w:r w:rsidRPr="00E76BC6">
                    <w:rPr>
                      <w:b/>
                      <w:bCs/>
                    </w:rPr>
                    <w:t xml:space="preserve"> addition/release delays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</w:tc>
            </w:tr>
            <w:tr w:rsidR="000B1ED7" w:rsidRPr="00E76BC6" w:rsidTr="006B12DC">
              <w:trPr>
                <w:trHeight w:val="1292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Active BWP switching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7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Interruptions at active BWP switching</w:t>
                  </w:r>
                </w:p>
                <w:p w:rsidR="000B1ED7" w:rsidRPr="00E76BC6" w:rsidRDefault="000B1ED7" w:rsidP="006B12DC">
                  <w:pPr>
                    <w:numPr>
                      <w:ilvl w:val="0"/>
                      <w:numId w:val="17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Active BWP switching delay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No </w:t>
                  </w:r>
                </w:p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</w:tr>
            <w:tr w:rsidR="000B1ED7" w:rsidRPr="00E76BC6" w:rsidTr="006B12DC">
              <w:trPr>
                <w:trHeight w:val="308"/>
              </w:trPr>
              <w:tc>
                <w:tcPr>
                  <w:tcW w:w="293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TCI switching</w:t>
                  </w:r>
                </w:p>
              </w:tc>
              <w:tc>
                <w:tcPr>
                  <w:tcW w:w="3687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TCI switching delay</w:t>
                  </w:r>
                </w:p>
              </w:tc>
              <w:tc>
                <w:tcPr>
                  <w:tcW w:w="279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B1ED7" w:rsidRPr="00FD5686" w:rsidRDefault="00FD5686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 w:rsidRPr="00FD5686">
                    <w:rPr>
                      <w:b/>
                      <w:u w:val="single"/>
                    </w:rPr>
                    <w:t>Yes</w:t>
                  </w:r>
                </w:p>
              </w:tc>
            </w:tr>
          </w:tbl>
          <w:p w:rsidR="000B1ED7" w:rsidRDefault="000B1ED7" w:rsidP="006B12DC">
            <w:pPr>
              <w:spacing w:before="60" w:after="60"/>
            </w:pPr>
          </w:p>
          <w:tbl>
            <w:tblPr>
              <w:tblW w:w="94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40"/>
              <w:gridCol w:w="3600"/>
              <w:gridCol w:w="2940"/>
            </w:tblGrid>
            <w:tr w:rsidR="000B1ED7" w:rsidRPr="00E76BC6" w:rsidTr="006B12DC">
              <w:trPr>
                <w:trHeight w:val="409"/>
              </w:trPr>
              <w:tc>
                <w:tcPr>
                  <w:tcW w:w="29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RLM</w:t>
                  </w:r>
                </w:p>
              </w:tc>
              <w:tc>
                <w:tcPr>
                  <w:tcW w:w="36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 xml:space="preserve">Requirements for RLM, e.g., based on SSB, CSI-RS or both </w:t>
                  </w:r>
                </w:p>
              </w:tc>
              <w:tc>
                <w:tcPr>
                  <w:tcW w:w="29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Default="00FD5686" w:rsidP="006B12DC">
                  <w:pPr>
                    <w:spacing w:before="60" w:after="60"/>
                    <w:rPr>
                      <w:b/>
                      <w:u w:val="single"/>
                    </w:rPr>
                  </w:pPr>
                  <w:proofErr w:type="gramStart"/>
                  <w:r w:rsidRPr="00FD5686">
                    <w:rPr>
                      <w:b/>
                      <w:u w:val="single"/>
                    </w:rPr>
                    <w:t>Yes</w:t>
                  </w:r>
                  <w:proofErr w:type="gramEnd"/>
                  <w:r>
                    <w:rPr>
                      <w:b/>
                      <w:u w:val="single"/>
                    </w:rPr>
                    <w:t xml:space="preserve"> for no-DRX mode </w:t>
                  </w:r>
                </w:p>
                <w:p w:rsidR="00A84C4E" w:rsidRPr="00FD5686" w:rsidRDefault="00A84C4E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>
                    <w:rPr>
                      <w:b/>
                      <w:u w:val="single"/>
                    </w:rPr>
                    <w:t>No for other scenarios</w:t>
                  </w:r>
                </w:p>
              </w:tc>
            </w:tr>
            <w:tr w:rsidR="000B1ED7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Link recovery procedures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Requirements for SSB-based and CSI-RS based BFD and CBD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Default="00FD5686" w:rsidP="006B12DC">
                  <w:pPr>
                    <w:spacing w:before="60" w:after="60"/>
                    <w:rPr>
                      <w:b/>
                      <w:u w:val="single"/>
                    </w:rPr>
                  </w:pPr>
                  <w:proofErr w:type="gramStart"/>
                  <w:r w:rsidRPr="00FD5686">
                    <w:rPr>
                      <w:b/>
                      <w:u w:val="single"/>
                    </w:rPr>
                    <w:t>Yes</w:t>
                  </w:r>
                  <w:proofErr w:type="gramEnd"/>
                  <w:r>
                    <w:rPr>
                      <w:b/>
                      <w:u w:val="single"/>
                    </w:rPr>
                    <w:t xml:space="preserve"> for no-DRX mode</w:t>
                  </w:r>
                  <w:r w:rsidR="00A84C4E">
                    <w:rPr>
                      <w:b/>
                      <w:u w:val="single"/>
                    </w:rPr>
                    <w:t xml:space="preserve"> and FR2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</w:p>
                <w:p w:rsidR="00A84C4E" w:rsidRPr="00A84C4E" w:rsidRDefault="00A84C4E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 w:rsidRPr="00A84C4E">
                    <w:rPr>
                      <w:b/>
                      <w:u w:val="single"/>
                    </w:rPr>
                    <w:t>No for other scenarios</w:t>
                  </w:r>
                </w:p>
              </w:tc>
            </w:tr>
            <w:tr w:rsidR="000B1ED7" w:rsidRPr="00E76BC6" w:rsidTr="006B12DC">
              <w:trPr>
                <w:trHeight w:val="1228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 xml:space="preserve">Measurements requirements (time duration, number of cells, etc.) 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Default="00FD5686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proofErr w:type="gramStart"/>
                  <w:r w:rsidRPr="00FD5686">
                    <w:rPr>
                      <w:b/>
                      <w:u w:val="single"/>
                      <w:lang w:val="en-US"/>
                    </w:rPr>
                    <w:t>Yes</w:t>
                  </w:r>
                  <w:proofErr w:type="gramEnd"/>
                  <w:r w:rsidRPr="00FD5686">
                    <w:rPr>
                      <w:b/>
                      <w:u w:val="single"/>
                      <w:lang w:val="en-US"/>
                    </w:rPr>
                    <w:t xml:space="preserve"> for L1-RSRP in no-DRX mode</w:t>
                  </w:r>
                  <w:r w:rsidR="00A84C4E">
                    <w:rPr>
                      <w:b/>
                      <w:u w:val="single"/>
                      <w:lang w:val="en-US"/>
                    </w:rPr>
                    <w:t xml:space="preserve"> and FR2</w:t>
                  </w:r>
                </w:p>
                <w:p w:rsidR="00FD5686" w:rsidRPr="00FD5686" w:rsidRDefault="00FD5686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>
                    <w:rPr>
                      <w:b/>
                      <w:u w:val="single"/>
                      <w:lang w:val="en-US"/>
                    </w:rPr>
                    <w:t>No for other scenarios</w:t>
                  </w:r>
                </w:p>
              </w:tc>
            </w:tr>
            <w:tr w:rsidR="000B1ED7" w:rsidRPr="00E76BC6" w:rsidTr="006B12DC">
              <w:trPr>
                <w:trHeight w:val="819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Measurement accuracy 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t> 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FD5686" w:rsidRDefault="00FD5686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proofErr w:type="gramStart"/>
                  <w:r w:rsidRPr="00FD5686">
                    <w:rPr>
                      <w:b/>
                      <w:u w:val="single"/>
                      <w:lang w:val="en-US"/>
                    </w:rPr>
                    <w:t>Yes</w:t>
                  </w:r>
                  <w:proofErr w:type="gramEnd"/>
                  <w:r w:rsidRPr="00FD5686">
                    <w:rPr>
                      <w:b/>
                      <w:u w:val="single"/>
                      <w:lang w:val="en-US"/>
                    </w:rPr>
                    <w:t xml:space="preserve"> for L1-RSRP</w:t>
                  </w:r>
                </w:p>
                <w:p w:rsidR="000B1ED7" w:rsidRPr="00E76BC6" w:rsidRDefault="00FD5686" w:rsidP="006B12DC">
                  <w:pPr>
                    <w:spacing w:before="60" w:after="60"/>
                    <w:rPr>
                      <w:lang w:val="en-US"/>
                    </w:rPr>
                  </w:pPr>
                  <w:r>
                    <w:rPr>
                      <w:b/>
                      <w:u w:val="single"/>
                      <w:lang w:val="en-US"/>
                    </w:rPr>
                    <w:t>No for other scenarios</w:t>
                  </w:r>
                  <w:r w:rsidRPr="00FD5686">
                    <w:rPr>
                      <w:b/>
                      <w:u w:val="single"/>
                      <w:lang w:val="en-US"/>
                    </w:rPr>
                    <w:t xml:space="preserve"> </w:t>
                  </w:r>
                </w:p>
              </w:tc>
            </w:tr>
            <w:tr w:rsidR="000B1ED7" w:rsidRPr="00E76BC6" w:rsidTr="006B12DC">
              <w:trPr>
                <w:trHeight w:val="856"/>
              </w:trPr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lastRenderedPageBreak/>
                    <w:t>MT timing related requirements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1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MT transmit timing (</w:t>
                  </w:r>
                  <w:proofErr w:type="spellStart"/>
                  <w:r w:rsidRPr="00E76BC6">
                    <w:rPr>
                      <w:lang w:val="en-US"/>
                    </w:rPr>
                    <w:t>Te</w:t>
                  </w:r>
                  <w:proofErr w:type="spellEnd"/>
                  <w:r w:rsidRPr="00E76BC6">
                    <w:rPr>
                      <w:lang w:val="en-US"/>
                    </w:rPr>
                    <w:t xml:space="preserve"> and </w:t>
                  </w:r>
                  <w:proofErr w:type="spellStart"/>
                  <w:r w:rsidRPr="00E76BC6">
                    <w:rPr>
                      <w:lang w:val="en-US"/>
                    </w:rPr>
                    <w:t>Tq</w:t>
                  </w:r>
                  <w:proofErr w:type="spellEnd"/>
                  <w:r w:rsidRPr="00E76BC6">
                    <w:rPr>
                      <w:lang w:val="en-US"/>
                    </w:rPr>
                    <w:t>)</w:t>
                  </w:r>
                </w:p>
                <w:p w:rsidR="000B1ED7" w:rsidRPr="00E76BC6" w:rsidRDefault="000B1ED7" w:rsidP="006B12DC">
                  <w:pPr>
                    <w:numPr>
                      <w:ilvl w:val="0"/>
                      <w:numId w:val="11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Timing Advance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 xml:space="preserve">Yes </w:t>
                  </w:r>
                  <w:r w:rsidRPr="00E76BC6">
                    <w:t> </w:t>
                  </w:r>
                </w:p>
              </w:tc>
            </w:tr>
            <w:tr w:rsidR="000B1ED7" w:rsidRPr="00E76BC6" w:rsidTr="006B12DC">
              <w:trPr>
                <w:trHeight w:val="856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2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MRTD</w:t>
                  </w:r>
                </w:p>
                <w:p w:rsidR="000B1ED7" w:rsidRPr="00E76BC6" w:rsidRDefault="000B1ED7" w:rsidP="006B12DC">
                  <w:pPr>
                    <w:numPr>
                      <w:ilvl w:val="0"/>
                      <w:numId w:val="12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MTTD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FD5686" w:rsidRDefault="00FD5686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 w:rsidRPr="00FD5686">
                    <w:rPr>
                      <w:b/>
                      <w:u w:val="single"/>
                      <w:lang w:val="en-US"/>
                    </w:rPr>
                    <w:t>Yes</w:t>
                  </w:r>
                </w:p>
              </w:tc>
            </w:tr>
            <w:tr w:rsidR="000B1ED7" w:rsidRPr="00E76BC6" w:rsidTr="006B12DC">
              <w:trPr>
                <w:trHeight w:val="614"/>
              </w:trPr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  <w:u w:val="single"/>
                    </w:rPr>
                    <w:t>Switching time between MT and DU</w:t>
                  </w: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---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FD568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FD5686">
                    <w:rPr>
                      <w:bCs/>
                    </w:rPr>
                    <w:t>TBD in RAN4 RF session</w:t>
                  </w:r>
                </w:p>
              </w:tc>
            </w:tr>
            <w:tr w:rsidR="000B1ED7" w:rsidRPr="00E76BC6" w:rsidTr="006B12DC">
              <w:trPr>
                <w:trHeight w:val="520"/>
              </w:trPr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b/>
                      <w:bCs/>
                    </w:rPr>
                    <w:t>DU timing related requirements</w:t>
                  </w:r>
                </w:p>
              </w:tc>
              <w:tc>
                <w:tcPr>
                  <w:tcW w:w="360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3"/>
                    </w:num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3 us requirement</w:t>
                  </w:r>
                </w:p>
              </w:tc>
              <w:tc>
                <w:tcPr>
                  <w:tcW w:w="29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  <w:r w:rsidRPr="00E76BC6">
                    <w:rPr>
                      <w:lang w:val="en-US"/>
                    </w:rPr>
                    <w:t>Yes</w:t>
                  </w:r>
                </w:p>
              </w:tc>
            </w:tr>
            <w:tr w:rsidR="000B1ED7" w:rsidRPr="00E76BC6" w:rsidTr="006B12DC">
              <w:trPr>
                <w:trHeight w:val="408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294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Default="000B1ED7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</w:p>
                <w:p w:rsidR="00FD5686" w:rsidRPr="00FD5686" w:rsidRDefault="00FD5686" w:rsidP="006B12DC">
                  <w:pPr>
                    <w:spacing w:before="60" w:after="60"/>
                    <w:rPr>
                      <w:b/>
                      <w:u w:val="single"/>
                      <w:lang w:val="en-US"/>
                    </w:rPr>
                  </w:pPr>
                  <w:r w:rsidRPr="00FD5686">
                    <w:rPr>
                      <w:b/>
                      <w:u w:val="single"/>
                      <w:lang w:val="en-US"/>
                    </w:rPr>
                    <w:t>No</w:t>
                  </w:r>
                </w:p>
              </w:tc>
            </w:tr>
            <w:tr w:rsidR="000B1ED7" w:rsidRPr="00E76BC6" w:rsidTr="006B12DC">
              <w:trPr>
                <w:trHeight w:val="512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  <w:tc>
                <w:tcPr>
                  <w:tcW w:w="36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15" w:type="dxa"/>
                    <w:left w:w="69" w:type="dxa"/>
                    <w:bottom w:w="0" w:type="dxa"/>
                    <w:right w:w="69" w:type="dxa"/>
                  </w:tcMar>
                  <w:hideMark/>
                </w:tcPr>
                <w:p w:rsidR="000B1ED7" w:rsidRPr="00E76BC6" w:rsidRDefault="000B1ED7" w:rsidP="006B12DC">
                  <w:pPr>
                    <w:numPr>
                      <w:ilvl w:val="0"/>
                      <w:numId w:val="14"/>
                    </w:numPr>
                    <w:spacing w:before="60" w:after="60"/>
                    <w:rPr>
                      <w:lang w:val="en-US"/>
                    </w:rPr>
                  </w:pPr>
                  <w:proofErr w:type="spellStart"/>
                  <w:r w:rsidRPr="00E76BC6">
                    <w:rPr>
                      <w:lang w:val="en-US"/>
                    </w:rPr>
                    <w:t>T_delta</w:t>
                  </w:r>
                  <w:proofErr w:type="spellEnd"/>
                  <w:r w:rsidRPr="00E76BC6">
                    <w:rPr>
                      <w:lang w:val="en-US"/>
                    </w:rPr>
                    <w:t xml:space="preserve"> command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0B1ED7" w:rsidRPr="00E76BC6" w:rsidRDefault="000B1ED7" w:rsidP="006B12DC">
                  <w:pPr>
                    <w:spacing w:before="60" w:after="60"/>
                    <w:rPr>
                      <w:lang w:val="en-US"/>
                    </w:rPr>
                  </w:pPr>
                </w:p>
              </w:tc>
            </w:tr>
          </w:tbl>
          <w:p w:rsidR="000B1ED7" w:rsidRDefault="000B1ED7" w:rsidP="006B12DC">
            <w:pPr>
              <w:spacing w:before="60" w:after="60"/>
            </w:pPr>
          </w:p>
          <w:p w:rsidR="000B1ED7" w:rsidRDefault="000B1ED7" w:rsidP="006B12DC">
            <w:pPr>
              <w:spacing w:before="60" w:after="60"/>
            </w:pPr>
          </w:p>
          <w:p w:rsidR="000B1ED7" w:rsidRPr="00E06AAD" w:rsidRDefault="000B1ED7" w:rsidP="006B12DC">
            <w:pPr>
              <w:spacing w:before="60" w:after="60"/>
            </w:pPr>
          </w:p>
        </w:tc>
      </w:tr>
    </w:tbl>
    <w:p w:rsidR="00693922" w:rsidRDefault="00693922" w:rsidP="00693922"/>
    <w:p w:rsidR="00693922" w:rsidRPr="00555814" w:rsidRDefault="00693922" w:rsidP="00693922"/>
    <w:p w:rsidR="001D00BA" w:rsidRDefault="001D00BA">
      <w:pPr>
        <w:pStyle w:val="Heading1"/>
      </w:pPr>
      <w:r>
        <w:t>Details of Additional IAB RRM Requirements</w:t>
      </w:r>
    </w:p>
    <w:p w:rsidR="001D00BA" w:rsidRPr="001D00BA" w:rsidRDefault="001D00BA" w:rsidP="001D00BA"/>
    <w:p w:rsidR="001D00BA" w:rsidRDefault="001D00BA" w:rsidP="001D00BA">
      <w:pPr>
        <w:pStyle w:val="Heading2"/>
      </w:pPr>
      <w:r>
        <w:t>Handover to unknown cell</w:t>
      </w:r>
    </w:p>
    <w:p w:rsidR="001D00BA" w:rsidRDefault="001D00BA" w:rsidP="001D00BA">
      <w:r>
        <w:t xml:space="preserve">Rel-15 has already defined detailed requirement for handover to an unknown cell. These requirements can be mostly reused for </w:t>
      </w:r>
      <w:r w:rsidR="00535131">
        <w:t>IAB MTs, as well.</w:t>
      </w:r>
    </w:p>
    <w:p w:rsidR="00535131" w:rsidRDefault="00535131" w:rsidP="00535131">
      <w:r>
        <w:t>However, RAN1 has agreed to support higher number of SMTC windows for IAB nodes.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5131" w:rsidRPr="00CC1587" w:rsidTr="006B12DC">
        <w:tc>
          <w:tcPr>
            <w:tcW w:w="9350" w:type="dxa"/>
          </w:tcPr>
          <w:p w:rsidR="00535131" w:rsidRPr="004277F4" w:rsidRDefault="00535131" w:rsidP="006B12DC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RAN1 </w:t>
            </w:r>
            <w:r w:rsidRPr="004277F4">
              <w:rPr>
                <w:highlight w:val="green"/>
                <w:lang w:eastAsia="x-none"/>
              </w:rPr>
              <w:t>Agreements</w:t>
            </w:r>
            <w:r w:rsidRPr="004277F4">
              <w:rPr>
                <w:lang w:eastAsia="x-none"/>
              </w:rPr>
              <w:t>:</w:t>
            </w:r>
          </w:p>
          <w:p w:rsidR="00535131" w:rsidRPr="00E06AAD" w:rsidRDefault="00535131" w:rsidP="00535131">
            <w:pPr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4277F4">
              <w:rPr>
                <w:lang w:eastAsia="zh-CN"/>
              </w:rPr>
              <w:t>For IAB node discovery and measurement, the maximum number of SMTC windows that can be configured for an I</w:t>
            </w:r>
            <w:r w:rsidRPr="004277F4">
              <w:rPr>
                <w:rFonts w:hint="eastAsia"/>
                <w:lang w:eastAsia="zh-CN"/>
              </w:rPr>
              <w:t>AB</w:t>
            </w:r>
            <w:r w:rsidRPr="004277F4">
              <w:rPr>
                <w:lang w:eastAsia="zh-CN"/>
              </w:rPr>
              <w:t xml:space="preserve"> node is 4.</w:t>
            </w:r>
          </w:p>
        </w:tc>
      </w:tr>
    </w:tbl>
    <w:p w:rsidR="00535131" w:rsidRPr="0099755D" w:rsidRDefault="00535131" w:rsidP="00535131"/>
    <w:p w:rsidR="00535131" w:rsidRDefault="00535131" w:rsidP="00535131">
      <w:r>
        <w:t>Rel-16’s agreement regarding the number of SMTC windows can be interpreted in one of following three ways:</w:t>
      </w:r>
    </w:p>
    <w:p w:rsidR="00535131" w:rsidRDefault="00535131" w:rsidP="00535131">
      <w:pPr>
        <w:pStyle w:val="ListParagraph"/>
        <w:numPr>
          <w:ilvl w:val="0"/>
          <w:numId w:val="19"/>
        </w:numPr>
        <w:spacing w:after="0"/>
        <w:ind w:leftChars="0"/>
        <w:rPr>
          <w:rFonts w:eastAsia="Times New Roman"/>
          <w:lang w:val="en-US"/>
        </w:rPr>
      </w:pPr>
      <w:r>
        <w:rPr>
          <w:rFonts w:eastAsia="Times New Roman"/>
        </w:rPr>
        <w:t>The total number of SMTC windows across different frequencies is at most 4.</w:t>
      </w:r>
    </w:p>
    <w:p w:rsidR="00535131" w:rsidRDefault="00535131" w:rsidP="00535131">
      <w:pPr>
        <w:pStyle w:val="ListParagraph"/>
        <w:numPr>
          <w:ilvl w:val="0"/>
          <w:numId w:val="19"/>
        </w:numPr>
        <w:spacing w:after="0"/>
        <w:ind w:leftChars="0"/>
        <w:rPr>
          <w:rFonts w:eastAsia="Times New Roman"/>
        </w:rPr>
      </w:pPr>
      <w:r>
        <w:rPr>
          <w:rFonts w:eastAsia="Times New Roman"/>
        </w:rPr>
        <w:t>The number of SMTC windows is at most 4 for intra-frequency, and 1 for inter-frequency.</w:t>
      </w:r>
    </w:p>
    <w:p w:rsidR="00535131" w:rsidRDefault="00535131" w:rsidP="00535131">
      <w:pPr>
        <w:pStyle w:val="ListParagraph"/>
        <w:numPr>
          <w:ilvl w:val="0"/>
          <w:numId w:val="19"/>
        </w:numPr>
        <w:spacing w:after="0"/>
        <w:ind w:leftChars="0"/>
        <w:rPr>
          <w:rFonts w:eastAsia="Times New Roman"/>
        </w:rPr>
      </w:pPr>
      <w:r>
        <w:rPr>
          <w:rFonts w:eastAsia="Times New Roman"/>
        </w:rPr>
        <w:t xml:space="preserve">The number of SMTC windows is at most 4 per frequency. </w:t>
      </w:r>
    </w:p>
    <w:p w:rsidR="00535131" w:rsidRDefault="00535131" w:rsidP="00535131"/>
    <w:p w:rsidR="00535131" w:rsidRDefault="00535131" w:rsidP="001D00BA">
      <w:r>
        <w:t>T</w:t>
      </w:r>
      <w:r>
        <w:t>his agreement is expected to be explicitly clarified in RAN1 99.</w:t>
      </w:r>
    </w:p>
    <w:p w:rsidR="00535131" w:rsidRDefault="00535131" w:rsidP="001D00BA">
      <w:r>
        <w:t xml:space="preserve"> [4] shows the relevant RAN1 agreement and its implications in RRC mobility control. The requirement for handover to unknown can be clarified in a similar way.</w:t>
      </w:r>
    </w:p>
    <w:p w:rsidR="00535131" w:rsidRPr="000C18FE" w:rsidRDefault="00535131" w:rsidP="00535131">
      <w:pPr>
        <w:rPr>
          <w:b/>
        </w:rPr>
      </w:pPr>
      <w:r w:rsidRPr="000C18FE">
        <w:rPr>
          <w:b/>
        </w:rPr>
        <w:t xml:space="preserve">Proposal 2: The existing core requirements of </w:t>
      </w:r>
      <w:r w:rsidR="00BB6050">
        <w:rPr>
          <w:b/>
        </w:rPr>
        <w:t>handover to an unknown cell</w:t>
      </w:r>
      <w:r w:rsidRPr="000C18FE">
        <w:rPr>
          <w:b/>
        </w:rPr>
        <w:t>, as defined in Rel-15 38.133</w:t>
      </w:r>
      <w:r>
        <w:rPr>
          <w:b/>
        </w:rPr>
        <w:t xml:space="preserve"> (</w:t>
      </w:r>
      <w:r w:rsidRPr="000C18FE">
        <w:rPr>
          <w:b/>
        </w:rPr>
        <w:t xml:space="preserve">apart from the description of </w:t>
      </w:r>
      <w:r w:rsidRPr="000C18FE">
        <w:rPr>
          <w:b/>
          <w:lang w:eastAsia="ko-KR"/>
        </w:rPr>
        <w:t>T</w:t>
      </w:r>
      <w:r w:rsidRPr="000C18FE">
        <w:rPr>
          <w:b/>
          <w:vertAlign w:val="subscript"/>
          <w:lang w:eastAsia="ko-KR"/>
        </w:rPr>
        <w:t>SMTC</w:t>
      </w:r>
      <w:r w:rsidRPr="000C18FE">
        <w:rPr>
          <w:b/>
        </w:rPr>
        <w:t xml:space="preserve"> parameter</w:t>
      </w:r>
      <w:r>
        <w:rPr>
          <w:b/>
        </w:rPr>
        <w:t xml:space="preserve">), are reused to define requirements for IAB </w:t>
      </w:r>
      <w:proofErr w:type="spellStart"/>
      <w:r>
        <w:rPr>
          <w:b/>
        </w:rPr>
        <w:t>MTs</w:t>
      </w:r>
      <w:r w:rsidRPr="000C18FE">
        <w:rPr>
          <w:b/>
        </w:rPr>
        <w:t>.</w:t>
      </w:r>
      <w:proofErr w:type="spellEnd"/>
    </w:p>
    <w:p w:rsidR="00535131" w:rsidRDefault="00535131" w:rsidP="00535131">
      <w:pPr>
        <w:pStyle w:val="ListParagraph"/>
        <w:numPr>
          <w:ilvl w:val="0"/>
          <w:numId w:val="3"/>
        </w:numPr>
        <w:ind w:leftChars="0"/>
        <w:rPr>
          <w:b/>
        </w:rPr>
      </w:pPr>
      <w:r w:rsidRPr="000C18FE">
        <w:rPr>
          <w:b/>
        </w:rPr>
        <w:t>The description of T</w:t>
      </w:r>
      <w:r w:rsidRPr="000C18FE">
        <w:rPr>
          <w:b/>
          <w:vertAlign w:val="subscript"/>
        </w:rPr>
        <w:t xml:space="preserve">SMTC </w:t>
      </w:r>
      <w:r>
        <w:rPr>
          <w:b/>
        </w:rPr>
        <w:t>captures RAN1’s agreement that allows configuring a higher number of SMTC windows, compared to Rel-15, for an IAB MT.</w:t>
      </w:r>
    </w:p>
    <w:p w:rsidR="00535131" w:rsidRPr="001D00BA" w:rsidRDefault="00535131" w:rsidP="001D00BA"/>
    <w:p w:rsidR="00654D61" w:rsidRDefault="00654D61">
      <w:pPr>
        <w:pStyle w:val="Heading2"/>
      </w:pPr>
      <w:r>
        <w:lastRenderedPageBreak/>
        <w:t xml:space="preserve">TCI state switching </w:t>
      </w:r>
      <w:r w:rsidR="006B76DD">
        <w:t>delay</w:t>
      </w:r>
    </w:p>
    <w:p w:rsidR="00654D61" w:rsidRDefault="00654D61" w:rsidP="00654D61">
      <w:r>
        <w:t>When an IAB DU informs IAB MT to change a TCI state, IAB MT should follow the request, at least, as quickly as a UE. An IAB node may contain many UEs in its down-stream.</w:t>
      </w:r>
      <w:r w:rsidR="006B76DD">
        <w:t xml:space="preserve"> Hence, communicating with a poor TCI state is very detrimental to an IAB network.</w:t>
      </w:r>
    </w:p>
    <w:p w:rsidR="006B76DD" w:rsidRPr="006B76DD" w:rsidRDefault="006B76DD" w:rsidP="00654D61">
      <w:pPr>
        <w:rPr>
          <w:b/>
        </w:rPr>
      </w:pPr>
      <w:r w:rsidRPr="006B76DD">
        <w:rPr>
          <w:b/>
        </w:rPr>
        <w:t>Proposal 3: The TCI state switch delay requirements that have been defined for a Rel-15 UE are reused for an IAB MT.</w:t>
      </w:r>
    </w:p>
    <w:p w:rsidR="006B76DD" w:rsidRDefault="006B76DD">
      <w:pPr>
        <w:pStyle w:val="Heading2"/>
      </w:pPr>
      <w:r>
        <w:t xml:space="preserve"> RLM, BFD, CBD and L1-RSRP Evaluation</w:t>
      </w:r>
    </w:p>
    <w:p w:rsidR="006B76DD" w:rsidRDefault="006B76DD" w:rsidP="006B76DD">
      <w:r>
        <w:t xml:space="preserve">Rel-15 has already defined requirements for RLM, BFD, CBD and L1-RSRP evaluation periods, along with the side conditions for L1-RSRP. Those can be reused for IAB </w:t>
      </w:r>
      <w:proofErr w:type="spellStart"/>
      <w:r>
        <w:t>MTs.</w:t>
      </w:r>
      <w:proofErr w:type="spellEnd"/>
      <w:r>
        <w:t xml:space="preserve"> </w:t>
      </w:r>
    </w:p>
    <w:p w:rsidR="006B76DD" w:rsidRDefault="006B76DD" w:rsidP="006B76DD">
      <w:r>
        <w:t xml:space="preserve">Unlike a UE, an IAB node is not expected to operate in DRX. Hence, </w:t>
      </w:r>
      <w:r w:rsidR="00A27C2B">
        <w:t>the requirements of evaluation period should be applicable for no-DRX mode only.</w:t>
      </w:r>
    </w:p>
    <w:p w:rsidR="00A27C2B" w:rsidRDefault="00A27C2B" w:rsidP="006B76DD">
      <w:r>
        <w:t xml:space="preserve">Besides, FR2 is the main use case for IAB network. Hence, the BFD/CBD/L1-RSRP evaluation period and L1-RSRP accuracy </w:t>
      </w:r>
      <w:r w:rsidR="00EE7765">
        <w:t>can be</w:t>
      </w:r>
      <w:r>
        <w:t xml:space="preserve"> applicable for FR2 only.</w:t>
      </w:r>
    </w:p>
    <w:p w:rsidR="00A27C2B" w:rsidRDefault="00A27C2B" w:rsidP="006B76DD">
      <w:r>
        <w:t xml:space="preserve">The beam coherence time experienced by an IAB MT is expected to be longer than that experienced by a Rel-15 UE. From this perspective, the Rel-15 evaluation periods can be increased by a scaling factor before applying to IAB </w:t>
      </w:r>
      <w:proofErr w:type="spellStart"/>
      <w:r>
        <w:t>MTs.</w:t>
      </w:r>
      <w:proofErr w:type="spellEnd"/>
      <w:r>
        <w:t xml:space="preserve"> </w:t>
      </w:r>
      <w:r w:rsidR="00EE7765">
        <w:t xml:space="preserve">On the other hand, the impact of beam failure for an IAB MT is more severe than that for a UE. Since, beams can fail suddenly in an IAB network, reusing the same evaluation periods would be a judicial step for IAB </w:t>
      </w:r>
      <w:proofErr w:type="spellStart"/>
      <w:r w:rsidR="00EE7765">
        <w:t>MTs.</w:t>
      </w:r>
      <w:proofErr w:type="spellEnd"/>
    </w:p>
    <w:p w:rsidR="0091248F" w:rsidRPr="0091248F" w:rsidRDefault="00EE7765" w:rsidP="0091248F">
      <w:pPr>
        <w:rPr>
          <w:b/>
        </w:rPr>
      </w:pPr>
      <w:r w:rsidRPr="0091248F">
        <w:rPr>
          <w:b/>
        </w:rPr>
        <w:t xml:space="preserve">Proposal </w:t>
      </w:r>
      <w:r w:rsidR="0091248F" w:rsidRPr="0091248F">
        <w:rPr>
          <w:b/>
        </w:rPr>
        <w:t xml:space="preserve">4: The RLM, BFD, CBD and L1-RSRP evaluation periods, along with the accuracy requirements for L1-RSRP, that have </w:t>
      </w:r>
      <w:r w:rsidR="0091248F" w:rsidRPr="0091248F">
        <w:rPr>
          <w:b/>
        </w:rPr>
        <w:t>been defined for a Rel-15 UE are reused for an IAB MT.</w:t>
      </w:r>
    </w:p>
    <w:p w:rsidR="00EE7765" w:rsidRPr="0091248F" w:rsidRDefault="0091248F" w:rsidP="0091248F">
      <w:pPr>
        <w:pStyle w:val="ListParagraph"/>
        <w:numPr>
          <w:ilvl w:val="0"/>
          <w:numId w:val="3"/>
        </w:numPr>
        <w:ind w:leftChars="0"/>
        <w:rPr>
          <w:b/>
        </w:rPr>
      </w:pPr>
      <w:r w:rsidRPr="0091248F">
        <w:rPr>
          <w:b/>
        </w:rPr>
        <w:t>The evaluation period requirements are defined only for no-DRX mode.</w:t>
      </w:r>
    </w:p>
    <w:p w:rsidR="0091248F" w:rsidRPr="0091248F" w:rsidRDefault="0091248F" w:rsidP="0091248F">
      <w:pPr>
        <w:pStyle w:val="ListParagraph"/>
        <w:numPr>
          <w:ilvl w:val="0"/>
          <w:numId w:val="3"/>
        </w:numPr>
        <w:ind w:leftChars="0"/>
        <w:rPr>
          <w:b/>
        </w:rPr>
      </w:pPr>
      <w:r w:rsidRPr="0091248F">
        <w:rPr>
          <w:b/>
        </w:rPr>
        <w:t>The evaluation period requirements of BFD, CBD and L1-RSRP, along with the accuracy requirements for L1-RSRP, are defined only for FR2.</w:t>
      </w:r>
    </w:p>
    <w:p w:rsidR="00693922" w:rsidRDefault="00693922" w:rsidP="00693922">
      <w:pPr>
        <w:pStyle w:val="Heading1"/>
        <w:jc w:val="both"/>
      </w:pPr>
      <w:r>
        <w:t>Conclusion</w:t>
      </w:r>
    </w:p>
    <w:p w:rsidR="00050FCA" w:rsidRDefault="00050FCA" w:rsidP="00050FCA">
      <w:r>
        <w:rPr>
          <w:b/>
        </w:rPr>
        <w:t>Observation 1: Ensuring inter-operability among different IAB nodes is very important to guarantee the performance of an IAB network</w:t>
      </w:r>
      <w:r w:rsidRPr="00A1188C">
        <w:rPr>
          <w:b/>
        </w:rPr>
        <w:t xml:space="preserve">. Inter-operability can be achieved by defining RRM requirements for IAB nodes. </w:t>
      </w:r>
    </w:p>
    <w:p w:rsidR="00050FCA" w:rsidRDefault="00050FCA" w:rsidP="00050FCA">
      <w:pPr>
        <w:rPr>
          <w:b/>
        </w:rPr>
      </w:pPr>
      <w:r w:rsidRPr="00533183">
        <w:rPr>
          <w:b/>
        </w:rPr>
        <w:t xml:space="preserve">Observation </w:t>
      </w:r>
      <w:r>
        <w:rPr>
          <w:b/>
        </w:rPr>
        <w:t>2</w:t>
      </w:r>
      <w:r w:rsidRPr="00533183">
        <w:rPr>
          <w:b/>
        </w:rPr>
        <w:t>: FR2 is the main use case for Rel-16 IAB networks. Defining beam management related requirements</w:t>
      </w:r>
      <w:r>
        <w:rPr>
          <w:b/>
        </w:rPr>
        <w:t xml:space="preserve"> is</w:t>
      </w:r>
      <w:r w:rsidRPr="00533183">
        <w:rPr>
          <w:b/>
        </w:rPr>
        <w:t xml:space="preserve"> essential to guarantee performance in FR2 IAB network.</w:t>
      </w:r>
    </w:p>
    <w:p w:rsidR="00050FCA" w:rsidRPr="0061617B" w:rsidRDefault="00050FCA" w:rsidP="00050FCA">
      <w:pPr>
        <w:pStyle w:val="ListParagraph"/>
        <w:numPr>
          <w:ilvl w:val="0"/>
          <w:numId w:val="18"/>
        </w:numPr>
        <w:ind w:leftChars="0"/>
        <w:rPr>
          <w:b/>
        </w:rPr>
      </w:pPr>
      <w:bookmarkStart w:id="1" w:name="_GoBack"/>
      <w:bookmarkEnd w:id="1"/>
      <w:r w:rsidRPr="0061617B">
        <w:rPr>
          <w:b/>
        </w:rPr>
        <w:t>RAN4 needs to define RLM, BFD, CBD, L1-RSRP evaluation, accuracy and TCI switch requirement for IAB network.</w:t>
      </w:r>
    </w:p>
    <w:p w:rsidR="00693922" w:rsidRDefault="00021B07" w:rsidP="00693922">
      <w:pPr>
        <w:rPr>
          <w:b/>
        </w:rPr>
      </w:pPr>
      <w:r>
        <w:rPr>
          <w:b/>
        </w:rPr>
        <w:t xml:space="preserve">Proposal 1: RAN4 supports table 1 </w:t>
      </w:r>
      <w:r>
        <w:rPr>
          <w:b/>
        </w:rPr>
        <w:t xml:space="preserve">of section 3 </w:t>
      </w:r>
      <w:r>
        <w:rPr>
          <w:b/>
        </w:rPr>
        <w:t>to define the RRM requirements in IAB networks.</w:t>
      </w:r>
    </w:p>
    <w:p w:rsidR="0091248F" w:rsidRPr="000C18FE" w:rsidRDefault="0091248F" w:rsidP="0091248F">
      <w:pPr>
        <w:rPr>
          <w:b/>
        </w:rPr>
      </w:pPr>
      <w:r w:rsidRPr="000C18FE">
        <w:rPr>
          <w:b/>
        </w:rPr>
        <w:t xml:space="preserve">Proposal 2: The existing core requirements of </w:t>
      </w:r>
      <w:r>
        <w:rPr>
          <w:b/>
        </w:rPr>
        <w:t>handover to an unknown cell</w:t>
      </w:r>
      <w:r w:rsidRPr="000C18FE">
        <w:rPr>
          <w:b/>
        </w:rPr>
        <w:t>, as defined in Rel-15 38.133</w:t>
      </w:r>
      <w:r>
        <w:rPr>
          <w:b/>
        </w:rPr>
        <w:t xml:space="preserve"> (</w:t>
      </w:r>
      <w:r w:rsidRPr="000C18FE">
        <w:rPr>
          <w:b/>
        </w:rPr>
        <w:t xml:space="preserve">apart from the description of </w:t>
      </w:r>
      <w:r w:rsidRPr="000C18FE">
        <w:rPr>
          <w:b/>
          <w:lang w:eastAsia="ko-KR"/>
        </w:rPr>
        <w:t>T</w:t>
      </w:r>
      <w:r w:rsidRPr="000C18FE">
        <w:rPr>
          <w:b/>
          <w:vertAlign w:val="subscript"/>
          <w:lang w:eastAsia="ko-KR"/>
        </w:rPr>
        <w:t>SMTC</w:t>
      </w:r>
      <w:r w:rsidRPr="000C18FE">
        <w:rPr>
          <w:b/>
        </w:rPr>
        <w:t xml:space="preserve"> parameter</w:t>
      </w:r>
      <w:r>
        <w:rPr>
          <w:b/>
        </w:rPr>
        <w:t xml:space="preserve">), are reused to define requirements for IAB </w:t>
      </w:r>
      <w:proofErr w:type="spellStart"/>
      <w:r>
        <w:rPr>
          <w:b/>
        </w:rPr>
        <w:t>MTs</w:t>
      </w:r>
      <w:r w:rsidRPr="000C18FE">
        <w:rPr>
          <w:b/>
        </w:rPr>
        <w:t>.</w:t>
      </w:r>
      <w:proofErr w:type="spellEnd"/>
    </w:p>
    <w:p w:rsidR="0091248F" w:rsidRPr="00021B07" w:rsidRDefault="0091248F" w:rsidP="00693922">
      <w:pPr>
        <w:pStyle w:val="ListParagraph"/>
        <w:numPr>
          <w:ilvl w:val="0"/>
          <w:numId w:val="3"/>
        </w:numPr>
        <w:ind w:leftChars="0"/>
        <w:rPr>
          <w:b/>
        </w:rPr>
      </w:pPr>
      <w:r w:rsidRPr="000C18FE">
        <w:rPr>
          <w:b/>
        </w:rPr>
        <w:t>The description of T</w:t>
      </w:r>
      <w:r w:rsidRPr="000C18FE">
        <w:rPr>
          <w:b/>
          <w:vertAlign w:val="subscript"/>
        </w:rPr>
        <w:t xml:space="preserve">SMTC </w:t>
      </w:r>
      <w:r>
        <w:rPr>
          <w:b/>
        </w:rPr>
        <w:t>captures RAN1’s agreement that allows configuring a higher number of SMTC windows, compared to Rel-15, for an IAB MT.</w:t>
      </w:r>
    </w:p>
    <w:p w:rsidR="0091248F" w:rsidRPr="006B76DD" w:rsidRDefault="0091248F" w:rsidP="0091248F">
      <w:pPr>
        <w:rPr>
          <w:b/>
        </w:rPr>
      </w:pPr>
      <w:r w:rsidRPr="006B76DD">
        <w:rPr>
          <w:b/>
        </w:rPr>
        <w:t>Proposal 3: The TCI state switch delay requirements that have been defined for a Rel-15 UE are reused for an IAB MT.</w:t>
      </w:r>
    </w:p>
    <w:p w:rsidR="0091248F" w:rsidRPr="0091248F" w:rsidRDefault="0091248F" w:rsidP="0091248F">
      <w:pPr>
        <w:rPr>
          <w:b/>
        </w:rPr>
      </w:pPr>
      <w:r w:rsidRPr="0091248F">
        <w:rPr>
          <w:b/>
        </w:rPr>
        <w:t>Proposal 4: The RLM, BFD, CBD and L1-RSRP evaluation periods, along with the accuracy requirements for L1-RSRP, that have been defined for a Rel-15 UE are reused for an IAB MT.</w:t>
      </w:r>
    </w:p>
    <w:p w:rsidR="0091248F" w:rsidRPr="0091248F" w:rsidRDefault="0091248F" w:rsidP="0091248F">
      <w:pPr>
        <w:pStyle w:val="ListParagraph"/>
        <w:numPr>
          <w:ilvl w:val="0"/>
          <w:numId w:val="3"/>
        </w:numPr>
        <w:ind w:leftChars="0"/>
        <w:rPr>
          <w:b/>
        </w:rPr>
      </w:pPr>
      <w:r w:rsidRPr="0091248F">
        <w:rPr>
          <w:b/>
        </w:rPr>
        <w:t>The evaluation period requirements are defined only for no-DRX mode.</w:t>
      </w:r>
    </w:p>
    <w:p w:rsidR="00693922" w:rsidRPr="00021B07" w:rsidRDefault="0091248F" w:rsidP="00693922">
      <w:pPr>
        <w:pStyle w:val="ListParagraph"/>
        <w:numPr>
          <w:ilvl w:val="0"/>
          <w:numId w:val="3"/>
        </w:numPr>
        <w:ind w:leftChars="0"/>
        <w:rPr>
          <w:b/>
        </w:rPr>
      </w:pPr>
      <w:r w:rsidRPr="0091248F">
        <w:rPr>
          <w:b/>
        </w:rPr>
        <w:t>The evaluation period requirements of BFD, CBD and L1-RSRP, along with the accuracy requirements for L1-RSRP, are defined only for FR2.</w:t>
      </w:r>
    </w:p>
    <w:p w:rsidR="00693922" w:rsidRPr="003628B5" w:rsidRDefault="00693922" w:rsidP="00693922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References</w:t>
      </w:r>
    </w:p>
    <w:p w:rsidR="00740133" w:rsidRDefault="00740133" w:rsidP="00740133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R4-1912829, Updated WF on IAB RRM Requirements, Qualcomm.</w:t>
      </w:r>
    </w:p>
    <w:p w:rsidR="00276B67" w:rsidRDefault="00276B67" w:rsidP="00804D7A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RP-190712, Revised WID: Integrated Access and Backhaul for NR.</w:t>
      </w:r>
    </w:p>
    <w:p w:rsidR="00693922" w:rsidRDefault="00693922" w:rsidP="00693922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</w:t>
      </w:r>
      <w:r w:rsidR="005D359C">
        <w:rPr>
          <w:lang w:eastAsia="zh-CN"/>
        </w:rPr>
        <w:t>2bis.</w:t>
      </w:r>
    </w:p>
    <w:p w:rsidR="00535131" w:rsidRDefault="00535131" w:rsidP="00693922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R4-1914982, RRC Connection Mobility Control Requirements for IAB MTs, Qualcomm Incorporated.</w:t>
      </w:r>
    </w:p>
    <w:p w:rsidR="00693922" w:rsidRDefault="00693922" w:rsidP="00693922"/>
    <w:p w:rsidR="00B81936" w:rsidRDefault="00B81936"/>
    <w:sectPr w:rsidR="00B81936" w:rsidSect="006A2742">
      <w:footerReference w:type="even" r:id="rId6"/>
      <w:footerReference w:type="default" r:id="rId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021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021B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742" w:rsidRDefault="00021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A2742" w:rsidRDefault="00021B07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D89"/>
    <w:multiLevelType w:val="hybridMultilevel"/>
    <w:tmpl w:val="F072D16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352A0D"/>
    <w:multiLevelType w:val="hybridMultilevel"/>
    <w:tmpl w:val="F8B027E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02C1"/>
    <w:multiLevelType w:val="hybridMultilevel"/>
    <w:tmpl w:val="8FE6D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65192"/>
    <w:multiLevelType w:val="hybridMultilevel"/>
    <w:tmpl w:val="4D3EC1E2"/>
    <w:lvl w:ilvl="0" w:tplc="864A28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5E3F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9081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E420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8E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A46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0CBE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08B3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2B1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7950104"/>
    <w:multiLevelType w:val="hybridMultilevel"/>
    <w:tmpl w:val="2B0AAC12"/>
    <w:lvl w:ilvl="0" w:tplc="CA48B6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F4C6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2842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44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40D6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FA93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066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566E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B048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8E605F5"/>
    <w:multiLevelType w:val="hybridMultilevel"/>
    <w:tmpl w:val="71BCCC64"/>
    <w:lvl w:ilvl="0" w:tplc="A992B8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E6F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4CD2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0ABE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482F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BE3B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14ED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30D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A5C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3836C4"/>
    <w:multiLevelType w:val="hybridMultilevel"/>
    <w:tmpl w:val="DD8835B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31B93"/>
    <w:multiLevelType w:val="hybridMultilevel"/>
    <w:tmpl w:val="2C24D80C"/>
    <w:lvl w:ilvl="0" w:tplc="E7A8C8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D85F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F4E1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98F9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5E1A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80E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50AC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DC2B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7E42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7610A61"/>
    <w:multiLevelType w:val="hybridMultilevel"/>
    <w:tmpl w:val="96AE25E8"/>
    <w:lvl w:ilvl="0" w:tplc="938003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1604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88EA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842E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208B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8838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ECD5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FC89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8258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8F94BF1"/>
    <w:multiLevelType w:val="hybridMultilevel"/>
    <w:tmpl w:val="61FC760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56AC"/>
    <w:multiLevelType w:val="hybridMultilevel"/>
    <w:tmpl w:val="A8EE4724"/>
    <w:lvl w:ilvl="0" w:tplc="C5F84C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807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4C74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AC6F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1C1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E210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B239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183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62EF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BB7EA8"/>
    <w:multiLevelType w:val="hybridMultilevel"/>
    <w:tmpl w:val="CE426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329E9"/>
    <w:multiLevelType w:val="hybridMultilevel"/>
    <w:tmpl w:val="0726805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46CA2"/>
    <w:multiLevelType w:val="hybridMultilevel"/>
    <w:tmpl w:val="BC3CD4A2"/>
    <w:lvl w:ilvl="0" w:tplc="D30866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5666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F63F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AEA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28C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40DE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48C0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AA57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5E7C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14"/>
  </w:num>
  <w:num w:numId="5">
    <w:abstractNumId w:val="1"/>
  </w:num>
  <w:num w:numId="6">
    <w:abstractNumId w:val="18"/>
  </w:num>
  <w:num w:numId="7">
    <w:abstractNumId w:val="0"/>
  </w:num>
  <w:num w:numId="8">
    <w:abstractNumId w:val="2"/>
  </w:num>
  <w:num w:numId="9">
    <w:abstractNumId w:val="7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7"/>
  </w:num>
  <w:num w:numId="15">
    <w:abstractNumId w:val="5"/>
  </w:num>
  <w:num w:numId="16">
    <w:abstractNumId w:val="6"/>
  </w:num>
  <w:num w:numId="17">
    <w:abstractNumId w:val="4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22"/>
    <w:rsid w:val="00021B07"/>
    <w:rsid w:val="00050FCA"/>
    <w:rsid w:val="000B1ED7"/>
    <w:rsid w:val="001D00BA"/>
    <w:rsid w:val="00276B67"/>
    <w:rsid w:val="004B79D9"/>
    <w:rsid w:val="00535131"/>
    <w:rsid w:val="005914CA"/>
    <w:rsid w:val="005D359C"/>
    <w:rsid w:val="005E671F"/>
    <w:rsid w:val="0061617B"/>
    <w:rsid w:val="00654D61"/>
    <w:rsid w:val="00693922"/>
    <w:rsid w:val="006B76DD"/>
    <w:rsid w:val="00740133"/>
    <w:rsid w:val="00792AA8"/>
    <w:rsid w:val="007E418E"/>
    <w:rsid w:val="00804D7A"/>
    <w:rsid w:val="0091248F"/>
    <w:rsid w:val="00A27C2B"/>
    <w:rsid w:val="00A84C4E"/>
    <w:rsid w:val="00B81936"/>
    <w:rsid w:val="00BB6050"/>
    <w:rsid w:val="00EE7765"/>
    <w:rsid w:val="00FD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7C51E"/>
  <w15:chartTrackingRefBased/>
  <w15:docId w15:val="{EFA1540F-FC45-4F3E-A7C8-4D66B149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92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69392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9392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9392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9392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693922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69392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392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392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69392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93922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693922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93922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93922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93922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9392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93922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69392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93922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93922"/>
  </w:style>
  <w:style w:type="paragraph" w:styleId="ListParagraph">
    <w:name w:val="List Paragraph"/>
    <w:aliases w:val="- Bullets,リスト段落,?? ??,?????,????,Lista1,목록 단락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93922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922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rsid w:val="0069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9392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93922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69392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3922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9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922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10</cp:revision>
  <dcterms:created xsi:type="dcterms:W3CDTF">2019-11-08T18:17:00Z</dcterms:created>
  <dcterms:modified xsi:type="dcterms:W3CDTF">2019-11-08T22:04:00Z</dcterms:modified>
</cp:coreProperties>
</file>