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D562B7" w:rsidRPr="00D562B7">
        <w:rPr>
          <w:rFonts w:cs="Arial"/>
          <w:noProof w:val="0"/>
          <w:sz w:val="24"/>
          <w:szCs w:val="24"/>
        </w:rPr>
        <w:t>R4-1914879</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D13E5">
        <w:rPr>
          <w:rFonts w:ascii="Arial" w:hAnsi="Arial"/>
          <w:sz w:val="24"/>
          <w:lang w:val="en-US"/>
        </w:rPr>
        <w:t>9.1.4.3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B3E60">
        <w:rPr>
          <w:rFonts w:ascii="Arial" w:hAnsi="Arial"/>
          <w:sz w:val="24"/>
          <w:lang w:val="en-US"/>
        </w:rPr>
        <w:t>Discussion on RRC Re-establishment</w:t>
      </w:r>
      <w:r w:rsidR="00914A03" w:rsidRPr="00914A03">
        <w:rPr>
          <w:rFonts w:ascii="Arial" w:hAnsi="Arial"/>
          <w:sz w:val="24"/>
          <w:lang w:val="en-US"/>
        </w:rPr>
        <w:t xml:space="preserve">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0A439F">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w:t>
      </w:r>
      <w:r w:rsidR="005B3E60" w:rsidRPr="005B3E60">
        <w:rPr>
          <w:rFonts w:eastAsiaTheme="minorEastAsia"/>
          <w:lang w:val="en-US" w:eastAsia="zh-CN"/>
        </w:rPr>
        <w:t xml:space="preserve"> RRC Re-establishment</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r w:rsidR="005B3E60" w:rsidRPr="005B3E60">
        <w:rPr>
          <w:rFonts w:eastAsiaTheme="minorEastAsia"/>
          <w:lang w:val="en-US" w:eastAsia="zh-CN"/>
        </w:rPr>
        <w:t>RRC Re-establishment</w:t>
      </w:r>
      <w:r w:rsidR="005B3E60">
        <w:rPr>
          <w:rFonts w:eastAsiaTheme="minorEastAsia"/>
          <w:lang w:val="en-US" w:eastAsia="zh-CN"/>
        </w:rPr>
        <w:t>/</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Pr="002D2977" w:rsidRDefault="00DF0231" w:rsidP="00DF0231">
      <w:pPr>
        <w:pStyle w:val="1"/>
        <w:numPr>
          <w:ilvl w:val="0"/>
          <w:numId w:val="1"/>
        </w:numPr>
        <w:rPr>
          <w:lang w:val="en-US"/>
        </w:rPr>
      </w:pPr>
      <w:r w:rsidRPr="002D2977">
        <w:rPr>
          <w:lang w:val="en-US"/>
        </w:rPr>
        <w:t>Discussion</w:t>
      </w:r>
    </w:p>
    <w:p w:rsidR="005B3E60" w:rsidRPr="007A3D0A" w:rsidRDefault="005B3E60" w:rsidP="005B3E60">
      <w:pPr>
        <w:rPr>
          <w:rFonts w:eastAsiaTheme="minorEastAsia"/>
          <w:lang w:eastAsia="zh-CN"/>
        </w:rPr>
      </w:pPr>
      <w:r>
        <w:rPr>
          <w:rFonts w:eastAsiaTheme="minorEastAsia" w:cs="v4.2.0"/>
          <w:lang w:val="en-US" w:eastAsia="zh-CN"/>
        </w:rPr>
        <w:t xml:space="preserve">The RRC connection re-establishment procedure is described in TS 38.331 [2]. The UE initiates the re-establishment </w:t>
      </w:r>
      <w:proofErr w:type="gramStart"/>
      <w:r>
        <w:rPr>
          <w:rFonts w:eastAsiaTheme="minorEastAsia" w:cs="v4.2.0"/>
          <w:lang w:val="en-US" w:eastAsia="zh-CN"/>
        </w:rPr>
        <w:t>procedure</w:t>
      </w:r>
      <w:proofErr w:type="gramEnd"/>
      <w:r>
        <w:rPr>
          <w:rFonts w:eastAsiaTheme="minorEastAsia" w:cs="v4.2.0"/>
          <w:lang w:val="en-US" w:eastAsia="zh-CN"/>
        </w:rPr>
        <w:t xml:space="preserve"> when the one conditions in 5.3.7.2 [2] is met.</w:t>
      </w:r>
      <w:r>
        <w:rPr>
          <w:rFonts w:eastAsiaTheme="minorEastAsia"/>
          <w:lang w:eastAsia="zh-CN"/>
        </w:rPr>
        <w:t xml:space="preserve"> </w:t>
      </w:r>
      <w:r>
        <w:rPr>
          <w:rFonts w:eastAsiaTheme="minorEastAsia" w:hint="eastAsia"/>
          <w:lang w:val="en-US" w:eastAsia="zh-CN"/>
        </w:rPr>
        <w:t>A</w:t>
      </w:r>
      <w:r>
        <w:rPr>
          <w:rFonts w:eastAsiaTheme="minorEastAsia"/>
          <w:lang w:val="en-US" w:eastAsia="zh-CN"/>
        </w:rPr>
        <w:t xml:space="preserve">s defined in TS 38.133 [3], </w:t>
      </w:r>
      <w:r w:rsidRPr="00340093">
        <w:rPr>
          <w:rFonts w:eastAsiaTheme="minorEastAsia"/>
          <w:lang w:val="en-US" w:eastAsia="zh-CN"/>
        </w:rPr>
        <w:t xml:space="preserve">In RRC_CONNECTED mode the UE shall be capable of sending </w:t>
      </w:r>
      <w:proofErr w:type="spellStart"/>
      <w:r w:rsidRPr="00340093">
        <w:rPr>
          <w:rFonts w:eastAsiaTheme="minorEastAsia"/>
          <w:lang w:val="en-US" w:eastAsia="zh-CN"/>
        </w:rPr>
        <w:t>RRCReestablishmentRequest</w:t>
      </w:r>
      <w:proofErr w:type="spellEnd"/>
      <w:r w:rsidRPr="00340093">
        <w:rPr>
          <w:rFonts w:eastAsiaTheme="minorEastAsia"/>
          <w:lang w:val="en-US" w:eastAsia="zh-CN"/>
        </w:rPr>
        <w:t xml:space="preserve"> message within </w:t>
      </w:r>
      <w:r w:rsidRPr="00BE78B0">
        <w:rPr>
          <w:lang w:eastAsia="ko-KR"/>
        </w:rPr>
        <w:t>T</w:t>
      </w:r>
      <w:r w:rsidRPr="00BE78B0">
        <w:rPr>
          <w:vertAlign w:val="subscript"/>
          <w:lang w:eastAsia="ko-KR"/>
        </w:rPr>
        <w:t>re-establish_delay</w:t>
      </w:r>
      <w:r w:rsidRPr="00340093">
        <w:rPr>
          <w:rFonts w:eastAsiaTheme="minorEastAsia"/>
          <w:lang w:val="en-US" w:eastAsia="zh-CN"/>
        </w:rPr>
        <w:t xml:space="preserve"> seconds from the moment it detects a loss in RRC connection. The total RRC connection delay (</w:t>
      </w:r>
      <w:r w:rsidRPr="00BE78B0">
        <w:rPr>
          <w:lang w:eastAsia="ko-KR"/>
        </w:rPr>
        <w:t>T</w:t>
      </w:r>
      <w:r w:rsidRPr="00BE78B0">
        <w:rPr>
          <w:vertAlign w:val="subscript"/>
          <w:lang w:eastAsia="ko-KR"/>
        </w:rPr>
        <w:t>re-establish_delay</w:t>
      </w:r>
      <w:r w:rsidRPr="00340093">
        <w:rPr>
          <w:rFonts w:eastAsiaTheme="minorEastAsia"/>
          <w:lang w:val="en-US" w:eastAsia="zh-CN"/>
        </w:rPr>
        <w:t>) shall be less than:</w:t>
      </w:r>
    </w:p>
    <w:p w:rsidR="005B3E60" w:rsidRPr="005E1588" w:rsidRDefault="00A15B11" w:rsidP="005B3E60">
      <w:pPr>
        <w:pStyle w:val="EQ"/>
        <w:ind w:firstLine="400"/>
        <w:jc w:val="center"/>
        <w:rPr>
          <w:rFonts w:eastAsiaTheme="minorEastAsia"/>
          <w:i/>
          <w:lang w:eastAsia="zh-CN"/>
        </w:rPr>
      </w:pPr>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w:r w:rsidR="005B3E60">
        <w:rPr>
          <w:rFonts w:eastAsiaTheme="minorEastAsia" w:hint="eastAsia"/>
          <w:i/>
          <w:lang w:eastAsia="zh-CN"/>
        </w:rPr>
        <w:t xml:space="preserve"> </w:t>
      </w:r>
    </w:p>
    <w:p w:rsidR="005B3E60" w:rsidRPr="00BE78B0" w:rsidRDefault="005B3E60" w:rsidP="005B3E60">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rsidR="005B3E60" w:rsidRPr="00BE78B0" w:rsidRDefault="00A15B11" w:rsidP="005B3E60">
      <w:pPr>
        <w:pStyle w:val="EQ"/>
        <w:ind w:firstLine="400"/>
        <w:jc w:val="center"/>
        <w:rPr>
          <w:lang w:eastAsia="zh-CN"/>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SI_NR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9E6DC8" w:rsidRDefault="005B3E60" w:rsidP="009E6763">
      <w:pPr>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the last RAN4 92bis meeting, the evaluation period for intra-frequency cell search and inter-frequency cell search are extended considering the LBT failure as shown below</w:t>
      </w:r>
    </w:p>
    <w:tbl>
      <w:tblPr>
        <w:tblStyle w:val="a7"/>
        <w:tblW w:w="0" w:type="auto"/>
        <w:tblLook w:val="04A0" w:firstRow="1" w:lastRow="0" w:firstColumn="1" w:lastColumn="0" w:noHBand="0" w:noVBand="1"/>
      </w:tblPr>
      <w:tblGrid>
        <w:gridCol w:w="9562"/>
      </w:tblGrid>
      <w:tr w:rsidR="005B3E60" w:rsidTr="005B3E60">
        <w:tc>
          <w:tcPr>
            <w:tcW w:w="9562" w:type="dxa"/>
          </w:tcPr>
          <w:p w:rsidR="005B3E60" w:rsidRDefault="005B3E60" w:rsidP="009E6763">
            <w:pPr>
              <w:jc w:val="both"/>
              <w:rPr>
                <w:rFonts w:eastAsiaTheme="minorEastAsia"/>
                <w:lang w:val="en-US" w:eastAsia="zh-CN"/>
              </w:rPr>
            </w:pPr>
            <w:r>
              <w:rPr>
                <w:rFonts w:eastAsiaTheme="minorEastAsia"/>
                <w:noProof/>
                <w:lang w:val="en-US" w:eastAsia="zh-CN"/>
              </w:rPr>
              <w:drawing>
                <wp:inline distT="0" distB="0" distL="0" distR="0" wp14:anchorId="77E033E3">
                  <wp:extent cx="2366020" cy="138941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2716" cy="1399217"/>
                          </a:xfrm>
                          <a:prstGeom prst="rect">
                            <a:avLst/>
                          </a:prstGeom>
                          <a:noFill/>
                        </pic:spPr>
                      </pic:pic>
                    </a:graphicData>
                  </a:graphic>
                </wp:inline>
              </w:drawing>
            </w:r>
          </w:p>
        </w:tc>
      </w:tr>
    </w:tbl>
    <w:p w:rsidR="005B3E60" w:rsidRDefault="005B3E60" w:rsidP="009E6763">
      <w:pPr>
        <w:jc w:val="both"/>
        <w:rPr>
          <w:rFonts w:eastAsiaTheme="minorEastAsia"/>
          <w:lang w:val="en-US" w:eastAsia="zh-CN"/>
        </w:rPr>
      </w:pPr>
    </w:p>
    <w:p w:rsidR="00915B72" w:rsidRDefault="00E75ED1" w:rsidP="009E6763">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maximum value of the unavailable DMTC cycles due to LBT is provided. However, the UE behavior when the unavailable DMTC cycles exceeding the maximum value should be further discussed. </w:t>
      </w:r>
      <w:r w:rsidR="00915B72">
        <w:rPr>
          <w:rFonts w:eastAsiaTheme="minorEastAsia"/>
          <w:lang w:val="en-US" w:eastAsia="zh-CN"/>
        </w:rPr>
        <w:t xml:space="preserve">As described in </w:t>
      </w:r>
      <w:r w:rsidR="002A071E">
        <w:rPr>
          <w:rFonts w:eastAsiaTheme="minorEastAsia"/>
          <w:lang w:val="en-US" w:eastAsia="zh-CN"/>
        </w:rPr>
        <w:t>[2], there are two timers (T311 and T301) to restrict the RRC re-establishment process.</w:t>
      </w:r>
      <w:r w:rsidR="0041054B">
        <w:rPr>
          <w:rFonts w:eastAsiaTheme="minorEastAsia"/>
          <w:lang w:val="en-US" w:eastAsia="zh-CN"/>
        </w:rPr>
        <w:t xml:space="preserve"> The corresponding relationship between the time</w:t>
      </w:r>
      <w:r w:rsidR="003633E0">
        <w:rPr>
          <w:rFonts w:eastAsiaTheme="minorEastAsia"/>
          <w:lang w:val="en-US" w:eastAsia="zh-CN"/>
        </w:rPr>
        <w:t>r</w:t>
      </w:r>
      <w:r w:rsidR="0041054B">
        <w:rPr>
          <w:rFonts w:eastAsiaTheme="minorEastAsia"/>
          <w:lang w:val="en-US" w:eastAsia="zh-CN"/>
        </w:rPr>
        <w:t>s and particular UE process</w:t>
      </w:r>
      <w:r w:rsidR="003633E0">
        <w:rPr>
          <w:rFonts w:eastAsiaTheme="minorEastAsia"/>
          <w:lang w:val="en-US" w:eastAsia="zh-CN"/>
        </w:rPr>
        <w:t xml:space="preserve"> in a successful RRC re-establishment process is</w:t>
      </w:r>
      <w:r w:rsidR="0041054B">
        <w:rPr>
          <w:rFonts w:eastAsiaTheme="minorEastAsia"/>
          <w:lang w:val="en-US" w:eastAsia="zh-CN"/>
        </w:rPr>
        <w:t xml:space="preserve"> illustrated in Figure 1.</w:t>
      </w:r>
    </w:p>
    <w:p w:rsidR="003633E0" w:rsidRDefault="003633E0" w:rsidP="009E6763">
      <w:pPr>
        <w:jc w:val="both"/>
        <w:rPr>
          <w:rFonts w:eastAsiaTheme="minorEastAsia"/>
          <w:lang w:val="en-US" w:eastAsia="zh-CN"/>
        </w:rPr>
      </w:pPr>
      <w:r>
        <w:rPr>
          <w:rFonts w:eastAsiaTheme="minorEastAsia"/>
          <w:noProof/>
          <w:lang w:val="en-US" w:eastAsia="zh-CN"/>
        </w:rPr>
        <w:lastRenderedPageBreak/>
        <w:drawing>
          <wp:inline distT="0" distB="0" distL="0" distR="0" wp14:anchorId="09310642">
            <wp:extent cx="5551970" cy="91981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3962" cy="946653"/>
                    </a:xfrm>
                    <a:prstGeom prst="rect">
                      <a:avLst/>
                    </a:prstGeom>
                    <a:noFill/>
                  </pic:spPr>
                </pic:pic>
              </a:graphicData>
            </a:graphic>
          </wp:inline>
        </w:drawing>
      </w:r>
    </w:p>
    <w:p w:rsidR="003633E0" w:rsidRPr="003633E0" w:rsidRDefault="003633E0" w:rsidP="003633E0">
      <w:pPr>
        <w:jc w:val="center"/>
        <w:rPr>
          <w:rFonts w:eastAsiaTheme="minorEastAsia"/>
          <w:b/>
          <w:lang w:val="en-US" w:eastAsia="zh-CN"/>
        </w:rPr>
      </w:pPr>
      <w:r w:rsidRPr="003633E0">
        <w:rPr>
          <w:rFonts w:eastAsiaTheme="minorEastAsia" w:hint="eastAsia"/>
          <w:b/>
          <w:lang w:val="en-US" w:eastAsia="zh-CN"/>
        </w:rPr>
        <w:t>F</w:t>
      </w:r>
      <w:r w:rsidRPr="003633E0">
        <w:rPr>
          <w:rFonts w:eastAsiaTheme="minorEastAsia"/>
          <w:b/>
          <w:lang w:val="en-US" w:eastAsia="zh-CN"/>
        </w:rPr>
        <w:t>igure 1</w:t>
      </w:r>
    </w:p>
    <w:p w:rsidR="003633E0" w:rsidRDefault="003633E0" w:rsidP="009E6763">
      <w:pPr>
        <w:jc w:val="both"/>
        <w:rPr>
          <w:rFonts w:eastAsiaTheme="minorEastAsia"/>
          <w:lang w:val="en-US" w:eastAsia="zh-CN"/>
        </w:rPr>
      </w:pPr>
      <w:r>
        <w:rPr>
          <w:rFonts w:eastAsiaTheme="minorEastAsia"/>
          <w:lang w:val="en-US" w:eastAsia="zh-CN"/>
        </w:rPr>
        <w:t>It can be observed that the requirements of cell search (both intra-frequency and inter-frequency) and the time for acquiring system information are restricted by T311. Therefore, in NR-U scenarios, when the unavailable DMTC cycles exceeding the maximum values, UE should still have the chance for cell searching before T311 expires.</w:t>
      </w:r>
    </w:p>
    <w:p w:rsidR="003633E0" w:rsidRPr="00BD05DD" w:rsidRDefault="003633E0" w:rsidP="009E6763">
      <w:pPr>
        <w:jc w:val="both"/>
        <w:rPr>
          <w:rFonts w:eastAsiaTheme="minorEastAsia"/>
          <w:b/>
          <w:lang w:val="en-US" w:eastAsia="zh-CN"/>
        </w:rPr>
      </w:pPr>
      <w:r w:rsidRPr="00BD05DD">
        <w:rPr>
          <w:rFonts w:eastAsiaTheme="minorEastAsia"/>
          <w:b/>
          <w:lang w:val="en-US" w:eastAsia="zh-CN"/>
        </w:rPr>
        <w:t>Observation 1: The requirements of cell search (both intra-frequency and inter-frequency) and the time for acquiring system information are restricted by T311</w:t>
      </w:r>
    </w:p>
    <w:p w:rsidR="003633E0" w:rsidRPr="00BD05DD" w:rsidRDefault="003633E0" w:rsidP="003633E0">
      <w:pPr>
        <w:jc w:val="both"/>
        <w:rPr>
          <w:rFonts w:eastAsiaTheme="minorEastAsia"/>
          <w:b/>
          <w:lang w:val="en-US" w:eastAsia="zh-CN"/>
        </w:rPr>
      </w:pPr>
      <w:r w:rsidRPr="00BD05DD">
        <w:rPr>
          <w:rFonts w:eastAsiaTheme="minorEastAsia"/>
          <w:b/>
          <w:lang w:val="en-US" w:eastAsia="zh-CN"/>
        </w:rPr>
        <w:t>Proposal 1: In NR-U scenarios, when the unavailable DMTC cycles exceeding the maximum values, UE should still have the chance for cell searching before T311 expires.</w:t>
      </w:r>
    </w:p>
    <w:p w:rsidR="003633E0" w:rsidRDefault="00BD05DD" w:rsidP="009E6763">
      <w:pPr>
        <w:jc w:val="both"/>
        <w:rPr>
          <w:rFonts w:eastAsiaTheme="minorEastAsia"/>
          <w:lang w:eastAsia="zh-CN"/>
        </w:rPr>
      </w:pPr>
      <w:r>
        <w:rPr>
          <w:rFonts w:eastAsiaTheme="minorEastAsia" w:hint="eastAsia"/>
          <w:lang w:eastAsia="zh-CN"/>
        </w:rPr>
        <w:t>A</w:t>
      </w:r>
      <w:r>
        <w:rPr>
          <w:rFonts w:eastAsiaTheme="minorEastAsia"/>
          <w:lang w:eastAsia="zh-CN"/>
        </w:rPr>
        <w:t>s in the existing requirements in [3], delay related to PRACH is caused by acquiring the first available PRACH occasion in the target cell. When it comes to NR-U scenarios, things become more complicated since the transmission of PRACH may be dropped due to UL LBT failure. A new mechanism is under discussion to handle the UL LBT failure as follows</w:t>
      </w:r>
    </w:p>
    <w:tbl>
      <w:tblPr>
        <w:tblStyle w:val="a7"/>
        <w:tblW w:w="0" w:type="auto"/>
        <w:tblLook w:val="04A0" w:firstRow="1" w:lastRow="0" w:firstColumn="1" w:lastColumn="0" w:noHBand="0" w:noVBand="1"/>
      </w:tblPr>
      <w:tblGrid>
        <w:gridCol w:w="9562"/>
      </w:tblGrid>
      <w:tr w:rsidR="00BD05DD" w:rsidTr="00BD05DD">
        <w:tc>
          <w:tcPr>
            <w:tcW w:w="9562" w:type="dxa"/>
          </w:tcPr>
          <w:p w:rsidR="00BD05DD" w:rsidRPr="00372DF4" w:rsidRDefault="00BD05DD" w:rsidP="00BD05DD">
            <w:pPr>
              <w:rPr>
                <w:u w:val="single"/>
                <w:lang w:eastAsia="ja-JP"/>
              </w:rPr>
            </w:pPr>
            <w:r w:rsidRPr="00372DF4">
              <w:rPr>
                <w:highlight w:val="green"/>
                <w:u w:val="single"/>
                <w:lang w:eastAsia="ja-JP"/>
              </w:rPr>
              <w:t>Agreements in RAN2 #107</w:t>
            </w:r>
          </w:p>
          <w:p w:rsidR="00BD05DD" w:rsidRPr="00372DF4" w:rsidRDefault="00BD05DD" w:rsidP="00BD05DD">
            <w:pPr>
              <w:pStyle w:val="Agreement"/>
              <w:tabs>
                <w:tab w:val="clear" w:pos="927"/>
              </w:tabs>
              <w:ind w:left="810" w:hanging="450"/>
              <w:rPr>
                <w:b w:val="0"/>
                <w:szCs w:val="20"/>
              </w:rPr>
            </w:pPr>
            <w:r w:rsidRPr="00372DF4">
              <w:rPr>
                <w:b w:val="0"/>
                <w:szCs w:val="20"/>
              </w:rPr>
              <w:t xml:space="preserve">L2 LBT failure mechanism take into account any LBT failure regardless UL transmission type. </w:t>
            </w:r>
          </w:p>
          <w:p w:rsidR="00BD05DD" w:rsidRPr="00372DF4" w:rsidRDefault="00BD05DD" w:rsidP="00BD05DD">
            <w:pPr>
              <w:pStyle w:val="Agreement"/>
              <w:tabs>
                <w:tab w:val="clear" w:pos="927"/>
              </w:tabs>
              <w:ind w:left="810" w:hanging="450"/>
              <w:rPr>
                <w:b w:val="0"/>
                <w:szCs w:val="20"/>
              </w:rPr>
            </w:pPr>
            <w:r w:rsidRPr="00372DF4">
              <w:rPr>
                <w:b w:val="0"/>
                <w:szCs w:val="20"/>
              </w:rPr>
              <w:t>The UL LBT failure mechanism will have the same recovery mechanism for all failures regardless UL transmission type</w:t>
            </w:r>
          </w:p>
          <w:p w:rsidR="00BD05DD" w:rsidRPr="00372DF4" w:rsidRDefault="00BD05DD" w:rsidP="00BD05DD">
            <w:pPr>
              <w:pStyle w:val="Agreement"/>
              <w:tabs>
                <w:tab w:val="clear" w:pos="927"/>
              </w:tabs>
              <w:ind w:left="810" w:hanging="450"/>
              <w:rPr>
                <w:b w:val="0"/>
                <w:szCs w:val="20"/>
              </w:rPr>
            </w:pPr>
            <w:r w:rsidRPr="00372DF4">
              <w:rPr>
                <w:b w:val="0"/>
                <w:szCs w:val="20"/>
              </w:rPr>
              <w:t>UL LBT failures are detected per BWP</w:t>
            </w:r>
          </w:p>
          <w:p w:rsidR="00BD05DD" w:rsidRPr="00372DF4" w:rsidRDefault="00BD05DD" w:rsidP="00BD05DD">
            <w:pPr>
              <w:pStyle w:val="Agreement"/>
              <w:tabs>
                <w:tab w:val="clear" w:pos="927"/>
              </w:tabs>
              <w:ind w:left="810" w:hanging="450"/>
              <w:rPr>
                <w:b w:val="0"/>
                <w:szCs w:val="20"/>
              </w:rPr>
            </w:pPr>
            <w:r w:rsidRPr="00372DF4">
              <w:rPr>
                <w:b w:val="0"/>
                <w:szCs w:val="20"/>
              </w:rPr>
              <w:t xml:space="preserve">The UE will report the occurrence of consistent UL LBT failures on </w:t>
            </w:r>
            <w:proofErr w:type="spellStart"/>
            <w:r w:rsidRPr="00372DF4">
              <w:rPr>
                <w:b w:val="0"/>
                <w:szCs w:val="20"/>
              </w:rPr>
              <w:t>PSCell</w:t>
            </w:r>
            <w:proofErr w:type="spellEnd"/>
            <w:r w:rsidRPr="00372DF4">
              <w:rPr>
                <w:b w:val="0"/>
                <w:szCs w:val="20"/>
              </w:rPr>
              <w:t xml:space="preserve"> and </w:t>
            </w:r>
            <w:proofErr w:type="spellStart"/>
            <w:r w:rsidRPr="00372DF4">
              <w:rPr>
                <w:b w:val="0"/>
                <w:szCs w:val="20"/>
              </w:rPr>
              <w:t>SCells</w:t>
            </w:r>
            <w:proofErr w:type="spellEnd"/>
            <w:r w:rsidRPr="00372DF4">
              <w:rPr>
                <w:b w:val="0"/>
                <w:szCs w:val="20"/>
              </w:rPr>
              <w:t xml:space="preserve">. The assumption is to reuse </w:t>
            </w:r>
            <w:proofErr w:type="spellStart"/>
            <w:r w:rsidRPr="00372DF4">
              <w:rPr>
                <w:b w:val="0"/>
                <w:szCs w:val="20"/>
              </w:rPr>
              <w:t>SCell</w:t>
            </w:r>
            <w:proofErr w:type="spellEnd"/>
            <w:r w:rsidRPr="00372DF4">
              <w:rPr>
                <w:b w:val="0"/>
                <w:szCs w:val="20"/>
              </w:rPr>
              <w:t xml:space="preserve"> failure reporting for BF</w:t>
            </w:r>
          </w:p>
          <w:p w:rsidR="00BD05DD" w:rsidRPr="00372DF4" w:rsidRDefault="00BD05DD" w:rsidP="00BD05DD">
            <w:pPr>
              <w:pStyle w:val="Doc-text2"/>
              <w:tabs>
                <w:tab w:val="clear" w:pos="1622"/>
              </w:tabs>
              <w:ind w:left="810" w:hanging="450"/>
              <w:rPr>
                <w:szCs w:val="20"/>
              </w:rPr>
            </w:pPr>
          </w:p>
          <w:p w:rsidR="00BD05DD" w:rsidRPr="00372DF4" w:rsidRDefault="00BD05DD" w:rsidP="00BD05DD">
            <w:pPr>
              <w:pStyle w:val="Doc-text2"/>
              <w:tabs>
                <w:tab w:val="clear" w:pos="1622"/>
              </w:tabs>
              <w:ind w:left="810" w:hanging="450"/>
              <w:rPr>
                <w:szCs w:val="20"/>
              </w:rPr>
            </w:pPr>
            <w:r w:rsidRPr="00372DF4">
              <w:rPr>
                <w:szCs w:val="20"/>
              </w:rPr>
              <w:t xml:space="preserve">Baseline Mechanism, further enhancements not precluded: </w:t>
            </w:r>
          </w:p>
          <w:p w:rsidR="00BD05DD" w:rsidRPr="00372DF4" w:rsidRDefault="00BD05DD" w:rsidP="00BD05DD">
            <w:pPr>
              <w:pStyle w:val="Agreement"/>
              <w:tabs>
                <w:tab w:val="clear" w:pos="927"/>
              </w:tabs>
              <w:ind w:left="810" w:hanging="450"/>
              <w:rPr>
                <w:b w:val="0"/>
                <w:szCs w:val="20"/>
              </w:rPr>
            </w:pPr>
            <w:r w:rsidRPr="00372DF4">
              <w:rPr>
                <w:b w:val="0"/>
                <w:szCs w:val="20"/>
              </w:rPr>
              <w:t xml:space="preserve">A “threshold” for the maximum number of LBT failures which triggers the “consistent” LBT failure event will be used. </w:t>
            </w:r>
          </w:p>
          <w:p w:rsidR="00BD05DD" w:rsidRPr="00372DF4" w:rsidRDefault="00BD05DD" w:rsidP="00BD05DD">
            <w:pPr>
              <w:pStyle w:val="Agreement"/>
              <w:tabs>
                <w:tab w:val="clear" w:pos="927"/>
              </w:tabs>
              <w:ind w:left="810" w:hanging="450"/>
              <w:rPr>
                <w:b w:val="0"/>
                <w:szCs w:val="20"/>
              </w:rPr>
            </w:pPr>
            <w:r w:rsidRPr="00372DF4">
              <w:rPr>
                <w:b w:val="0"/>
                <w:szCs w:val="20"/>
              </w:rPr>
              <w:t>Both a timer and a counter are introduced, the counter is reset when timer expires and incremented when UL LBT failure happens</w:t>
            </w:r>
          </w:p>
          <w:p w:rsidR="00BD05DD" w:rsidRPr="00372DF4" w:rsidRDefault="00BD05DD" w:rsidP="00BD05DD">
            <w:pPr>
              <w:pStyle w:val="Agreement"/>
              <w:tabs>
                <w:tab w:val="clear" w:pos="927"/>
              </w:tabs>
              <w:ind w:left="810" w:hanging="450"/>
              <w:rPr>
                <w:b w:val="0"/>
                <w:szCs w:val="20"/>
              </w:rPr>
            </w:pPr>
            <w:r w:rsidRPr="00372DF4">
              <w:rPr>
                <w:b w:val="0"/>
                <w:szCs w:val="20"/>
              </w:rPr>
              <w:t>The timer is started/restarted when UL LBT failure occur.</w:t>
            </w:r>
          </w:p>
          <w:p w:rsidR="00BD05DD" w:rsidRPr="00372DF4" w:rsidRDefault="00BD05DD" w:rsidP="00BD05DD">
            <w:pPr>
              <w:rPr>
                <w:highlight w:val="green"/>
                <w:u w:val="single"/>
                <w:lang w:eastAsia="ja-JP"/>
              </w:rPr>
            </w:pPr>
          </w:p>
          <w:p w:rsidR="00BD05DD" w:rsidRPr="00372DF4" w:rsidRDefault="00BD05DD" w:rsidP="00BD05DD">
            <w:pPr>
              <w:rPr>
                <w:u w:val="single"/>
                <w:lang w:eastAsia="ja-JP"/>
              </w:rPr>
            </w:pPr>
            <w:r w:rsidRPr="00372DF4">
              <w:rPr>
                <w:highlight w:val="green"/>
                <w:u w:val="single"/>
                <w:lang w:eastAsia="ja-JP"/>
              </w:rPr>
              <w:t>Agreements in RAN2 #107bis</w:t>
            </w:r>
          </w:p>
          <w:p w:rsidR="00BD05DD" w:rsidRPr="00372DF4" w:rsidRDefault="00BD05DD" w:rsidP="00BD05DD">
            <w:pPr>
              <w:widowControl w:val="0"/>
              <w:numPr>
                <w:ilvl w:val="0"/>
                <w:numId w:val="5"/>
              </w:numPr>
              <w:tabs>
                <w:tab w:val="left" w:pos="1622"/>
              </w:tabs>
              <w:spacing w:after="0"/>
              <w:jc w:val="both"/>
              <w:rPr>
                <w:rFonts w:ascii="Arial" w:eastAsia="Yu Gothic" w:hAnsi="Arial" w:cs="Calibri"/>
                <w:i/>
                <w:kern w:val="2"/>
                <w:lang w:val="x-none" w:eastAsia="x-none"/>
              </w:rPr>
            </w:pPr>
            <w:r w:rsidRPr="00372DF4">
              <w:rPr>
                <w:rFonts w:ascii="Arial" w:eastAsia="Yu Gothic" w:hAnsi="Arial" w:cs="Calibri"/>
                <w:kern w:val="2"/>
                <w:lang w:val="x-none" w:eastAsia="x-none"/>
              </w:rPr>
              <w:t xml:space="preserve">MAC relies on reception of a notification of UL LBT failure from the physical layer to detect a consistent UL LBT failure.  </w:t>
            </w:r>
          </w:p>
          <w:p w:rsidR="00BD05DD" w:rsidRPr="00372DF4" w:rsidRDefault="00BD05DD" w:rsidP="00BD05DD">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switches to another BWP and initiates RACH upon declaration of consistent LBT failure on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w:t>
            </w:r>
            <w:r w:rsidRPr="00372DF4">
              <w:rPr>
                <w:rFonts w:ascii="Arial" w:eastAsia="Yu Gothic" w:hAnsi="Arial" w:cs="Calibri"/>
                <w:i/>
                <w:kern w:val="2"/>
                <w:lang w:val="x-none" w:eastAsia="x-none"/>
              </w:rPr>
              <w:t xml:space="preserve">or </w:t>
            </w:r>
            <w:proofErr w:type="spellStart"/>
            <w:r w:rsidRPr="00372DF4">
              <w:rPr>
                <w:rFonts w:ascii="Arial" w:eastAsia="Yu Gothic" w:hAnsi="Arial" w:cs="Calibri"/>
                <w:i/>
                <w:kern w:val="2"/>
                <w:lang w:val="x-none" w:eastAsia="x-none"/>
              </w:rPr>
              <w:t>PSCell</w:t>
            </w:r>
            <w:proofErr w:type="spellEnd"/>
            <w:r w:rsidRPr="00372DF4">
              <w:rPr>
                <w:rFonts w:ascii="Arial" w:eastAsia="Yu Gothic" w:hAnsi="Arial" w:cs="Calibri"/>
                <w:kern w:val="2"/>
                <w:lang w:val="x-none" w:eastAsia="x-none"/>
              </w:rPr>
              <w:t xml:space="preserve"> if there is another BWP with configured RACH resources.    </w:t>
            </w:r>
          </w:p>
          <w:p w:rsidR="00BD05DD" w:rsidRPr="00372DF4" w:rsidRDefault="00BD05DD" w:rsidP="00BD05DD">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shall perform RLF recovery if the consistent UL LBT failure was detected on the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and UL LBT failure was detected on “N” possible BWP.   “ </w:t>
            </w:r>
          </w:p>
          <w:p w:rsidR="00BD05DD" w:rsidRPr="00372DF4" w:rsidRDefault="00BD05DD" w:rsidP="00BD05DD">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the </w:t>
            </w:r>
            <w:proofErr w:type="spellStart"/>
            <w:r w:rsidRPr="00372DF4">
              <w:rPr>
                <w:rFonts w:ascii="Arial" w:eastAsia="Yu Gothic" w:hAnsi="Arial" w:cs="Calibri"/>
                <w:kern w:val="2"/>
                <w:lang w:val="x-none" w:eastAsia="x-none"/>
              </w:rPr>
              <w:t>PSCell</w:t>
            </w:r>
            <w:proofErr w:type="spellEnd"/>
            <w:r w:rsidRPr="00372DF4">
              <w:rPr>
                <w:rFonts w:ascii="Arial" w:eastAsia="Yu Gothic" w:hAnsi="Arial" w:cs="Calibri"/>
                <w:kern w:val="2"/>
                <w:lang w:val="x-none" w:eastAsia="x-none"/>
              </w:rPr>
              <w:t xml:space="preserve">, the UE informs MN via the SCG failure information procedure after detecting a consistent UL LBT failure on “N” BWPs.   </w:t>
            </w:r>
          </w:p>
          <w:p w:rsidR="00BD05DD" w:rsidRPr="00372DF4" w:rsidRDefault="00BD05DD" w:rsidP="00BD05DD">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“N” is the number of configured BWPs with configured PRACH resources.   If N is larger than one it is up to the UE implementation which BWP the UE selects.  </w:t>
            </w:r>
          </w:p>
          <w:p w:rsidR="00BD05DD" w:rsidRPr="00372DF4" w:rsidRDefault="00BD05DD" w:rsidP="00BD05DD">
            <w:pPr>
              <w:widowControl w:val="0"/>
              <w:numPr>
                <w:ilvl w:val="0"/>
                <w:numId w:val="5"/>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an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a new MAC CE to report this to the node where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belongs to is used.  FFS whether the MAC CE can be used to report failure on </w:t>
            </w:r>
            <w:proofErr w:type="spellStart"/>
            <w:r w:rsidRPr="00372DF4">
              <w:rPr>
                <w:rFonts w:ascii="Arial" w:eastAsia="Yu Gothic" w:hAnsi="Arial" w:cs="Calibri"/>
                <w:kern w:val="2"/>
                <w:lang w:val="x-none" w:eastAsia="x-none"/>
              </w:rPr>
              <w:t>PCell</w:t>
            </w:r>
            <w:proofErr w:type="spellEnd"/>
          </w:p>
          <w:p w:rsidR="00BD05DD" w:rsidRPr="00BD05DD" w:rsidRDefault="00BD05DD" w:rsidP="00BD05DD">
            <w:pPr>
              <w:jc w:val="both"/>
              <w:rPr>
                <w:rFonts w:eastAsiaTheme="minorEastAsia"/>
                <w:lang w:val="x-none" w:eastAsia="zh-CN"/>
              </w:rPr>
            </w:pPr>
          </w:p>
        </w:tc>
      </w:tr>
    </w:tbl>
    <w:p w:rsidR="00BD05DD" w:rsidRDefault="00BD05DD" w:rsidP="009E6763">
      <w:pPr>
        <w:jc w:val="both"/>
        <w:rPr>
          <w:rFonts w:eastAsiaTheme="minorEastAsia"/>
          <w:lang w:val="en-US" w:eastAsia="zh-CN"/>
        </w:rPr>
      </w:pPr>
    </w:p>
    <w:p w:rsidR="00BD05DD" w:rsidRDefault="00BD05DD" w:rsidP="009E6763">
      <w:pPr>
        <w:jc w:val="both"/>
        <w:rPr>
          <w:rFonts w:eastAsiaTheme="minorEastAsia"/>
          <w:lang w:val="en-US" w:eastAsia="zh-CN"/>
        </w:rPr>
      </w:pPr>
      <w:r>
        <w:rPr>
          <w:rFonts w:eastAsiaTheme="minorEastAsia"/>
          <w:lang w:val="en-US" w:eastAsia="zh-CN"/>
        </w:rPr>
        <w:lastRenderedPageBreak/>
        <w:t xml:space="preserve">Based on the latest discussion of UL LBT failure mechanism in RAN2, </w:t>
      </w:r>
      <w:r w:rsidR="00C36861">
        <w:rPr>
          <w:rFonts w:eastAsiaTheme="minorEastAsia"/>
          <w:lang w:val="en-US" w:eastAsia="zh-CN"/>
        </w:rPr>
        <w:t xml:space="preserve">UE will switch to another BWP and initiates RACH upon declaration of consistent LBT failure. However, whether the recovery mechanism applies to the case before RRC establishment is still under discussion. </w:t>
      </w:r>
    </w:p>
    <w:p w:rsidR="00C36861" w:rsidRDefault="00372DF4" w:rsidP="00372DF4">
      <w:pPr>
        <w:jc w:val="both"/>
        <w:rPr>
          <w:rFonts w:eastAsiaTheme="minorEastAsia"/>
          <w:b/>
          <w:lang w:val="en-US" w:eastAsia="zh-CN"/>
        </w:rPr>
      </w:pPr>
      <w:r w:rsidRPr="00372DF4">
        <w:rPr>
          <w:rFonts w:eastAsiaTheme="minorEastAsia"/>
          <w:b/>
          <w:lang w:val="en-US" w:eastAsia="zh-CN"/>
        </w:rPr>
        <w:t>Observation 2:</w:t>
      </w:r>
      <w:r w:rsidR="00C36861">
        <w:rPr>
          <w:rFonts w:eastAsiaTheme="minorEastAsia"/>
          <w:b/>
          <w:lang w:val="en-US" w:eastAsia="zh-CN"/>
        </w:rPr>
        <w:t xml:space="preserve"> Whether the current recovery mechanism after consistent UL LBT failure can apply before the RRC connection is still under discussion.</w:t>
      </w:r>
      <w:r w:rsidRPr="00372DF4">
        <w:rPr>
          <w:rFonts w:eastAsiaTheme="minorEastAsia"/>
          <w:b/>
          <w:lang w:val="en-US" w:eastAsia="zh-CN"/>
        </w:rPr>
        <w:t xml:space="preserve"> </w:t>
      </w:r>
    </w:p>
    <w:p w:rsidR="00372DF4" w:rsidRDefault="00372DF4" w:rsidP="00372DF4">
      <w:pPr>
        <w:jc w:val="both"/>
        <w:rPr>
          <w:rFonts w:eastAsiaTheme="minorEastAsia"/>
          <w:lang w:val="en-US" w:eastAsia="zh-CN"/>
        </w:rPr>
      </w:pPr>
      <w:r>
        <w:rPr>
          <w:rFonts w:eastAsiaTheme="minorEastAsia"/>
          <w:lang w:val="en-US" w:eastAsia="zh-CN"/>
        </w:rPr>
        <w:t xml:space="preserve">According to the previous agreements in RAN2 shown below, </w:t>
      </w:r>
      <w:r w:rsidR="00152A56">
        <w:rPr>
          <w:rFonts w:eastAsiaTheme="minorEastAsia"/>
          <w:lang w:val="en-US" w:eastAsia="zh-CN"/>
        </w:rPr>
        <w:t>UE will returns to resource selection if the Msg1 transmission is dropped.</w:t>
      </w:r>
    </w:p>
    <w:tbl>
      <w:tblPr>
        <w:tblStyle w:val="a7"/>
        <w:tblW w:w="0" w:type="auto"/>
        <w:tblLook w:val="04A0" w:firstRow="1" w:lastRow="0" w:firstColumn="1" w:lastColumn="0" w:noHBand="0" w:noVBand="1"/>
      </w:tblPr>
      <w:tblGrid>
        <w:gridCol w:w="9562"/>
      </w:tblGrid>
      <w:tr w:rsidR="00372DF4" w:rsidTr="00372DF4">
        <w:tc>
          <w:tcPr>
            <w:tcW w:w="9562" w:type="dxa"/>
          </w:tcPr>
          <w:p w:rsidR="00372DF4" w:rsidRPr="00372DF4" w:rsidRDefault="00372DF4" w:rsidP="00372DF4">
            <w:pPr>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372DF4" w:rsidRPr="00372DF4" w:rsidRDefault="00372DF4" w:rsidP="00372DF4">
            <w:pPr>
              <w:pStyle w:val="Agreement"/>
              <w:tabs>
                <w:tab w:val="clear" w:pos="927"/>
              </w:tabs>
              <w:ind w:left="810" w:hanging="450"/>
              <w:rPr>
                <w:b w:val="0"/>
                <w:szCs w:val="20"/>
              </w:rPr>
            </w:pPr>
            <w:r w:rsidRPr="00372DF4">
              <w:rPr>
                <w:rFonts w:eastAsiaTheme="minorEastAsia"/>
                <w:b w:val="0"/>
                <w:lang w:eastAsia="zh-CN"/>
              </w:rPr>
              <w:t xml:space="preserve">The PREAMBLE_TRANSMISSION_COUNTER is not increased if the preamble is not transmitted due to LBT </w:t>
            </w:r>
            <w:r w:rsidRPr="00372DF4">
              <w:rPr>
                <w:b w:val="0"/>
                <w:szCs w:val="20"/>
              </w:rPr>
              <w:t>failure</w:t>
            </w:r>
          </w:p>
          <w:p w:rsidR="00372DF4" w:rsidRPr="00372DF4" w:rsidRDefault="00372DF4" w:rsidP="00372DF4">
            <w:pPr>
              <w:pStyle w:val="Agreement"/>
              <w:tabs>
                <w:tab w:val="clear" w:pos="927"/>
              </w:tabs>
              <w:ind w:left="810" w:hanging="450"/>
              <w:rPr>
                <w:rFonts w:eastAsiaTheme="minorEastAsia"/>
                <w:lang w:eastAsia="zh-CN"/>
              </w:rPr>
            </w:pPr>
            <w:r w:rsidRPr="00372DF4">
              <w:rPr>
                <w:b w:val="0"/>
                <w:szCs w:val="20"/>
              </w:rPr>
              <w:t>MAC returns to the resource selection step if LBT fails for Msg1 transmission opportunity(</w:t>
            </w:r>
            <w:proofErr w:type="spellStart"/>
            <w:r w:rsidRPr="00372DF4">
              <w:rPr>
                <w:b w:val="0"/>
                <w:szCs w:val="20"/>
              </w:rPr>
              <w:t>ies</w:t>
            </w:r>
            <w:proofErr w:type="spellEnd"/>
            <w:r w:rsidRPr="00372DF4">
              <w:rPr>
                <w:b w:val="0"/>
                <w:szCs w:val="20"/>
              </w:rPr>
              <w:t>)</w:t>
            </w:r>
          </w:p>
        </w:tc>
      </w:tr>
    </w:tbl>
    <w:p w:rsidR="00372DF4" w:rsidRDefault="00372DF4" w:rsidP="00372DF4">
      <w:pPr>
        <w:jc w:val="both"/>
        <w:rPr>
          <w:rFonts w:eastAsiaTheme="minorEastAsia"/>
          <w:lang w:val="en-US" w:eastAsia="zh-CN"/>
        </w:rPr>
      </w:pPr>
    </w:p>
    <w:p w:rsidR="00372DF4" w:rsidRDefault="00372DF4" w:rsidP="00372DF4">
      <w:pPr>
        <w:jc w:val="both"/>
        <w:rPr>
          <w:rFonts w:eastAsiaTheme="minorEastAsia"/>
          <w:lang w:val="en-US" w:eastAsia="zh-CN"/>
        </w:rPr>
      </w:pPr>
      <w:r>
        <w:rPr>
          <w:rFonts w:eastAsiaTheme="minorEastAsia"/>
          <w:lang w:val="en-US" w:eastAsia="zh-CN"/>
        </w:rPr>
        <w:t xml:space="preserve">Therefore, from our point of views, </w:t>
      </w:r>
      <w:r w:rsidR="00EE1C26">
        <w:rPr>
          <w:rFonts w:eastAsiaTheme="minorEastAsia"/>
          <w:lang w:val="en-US" w:eastAsia="zh-CN"/>
        </w:rPr>
        <w:t>after a suitable cell is selected, UE will attempt to transmit PRACH in available occasions. If the transmission is dropped due to LBT, UE will return to the resource selection process. Upon consistent LBT failure of PRACH transmission, t</w:t>
      </w:r>
      <w:r w:rsidR="00EE1C26" w:rsidRPr="00EE1C26">
        <w:rPr>
          <w:rFonts w:eastAsiaTheme="minorEastAsia"/>
          <w:lang w:val="en-US" w:eastAsia="zh-CN"/>
        </w:rPr>
        <w:t xml:space="preserve">he </w:t>
      </w:r>
      <w:r w:rsidR="00C36861">
        <w:rPr>
          <w:rFonts w:eastAsiaTheme="minorEastAsia"/>
          <w:lang w:val="en-US" w:eastAsia="zh-CN"/>
        </w:rPr>
        <w:t xml:space="preserve">corresponding recovery mechanism (FFS) will be triggered </w:t>
      </w:r>
      <w:r w:rsidR="00EE1C26">
        <w:rPr>
          <w:rFonts w:eastAsiaTheme="minorEastAsia"/>
          <w:lang w:val="en-US" w:eastAsia="zh-CN"/>
        </w:rPr>
        <w:t xml:space="preserve">or </w:t>
      </w:r>
      <w:r w:rsidR="00C36861">
        <w:rPr>
          <w:rFonts w:eastAsiaTheme="minorEastAsia"/>
          <w:lang w:val="en-US" w:eastAsia="zh-CN"/>
        </w:rPr>
        <w:t xml:space="preserve">the UE will </w:t>
      </w:r>
      <w:r w:rsidR="00EE1C26">
        <w:rPr>
          <w:rFonts w:eastAsiaTheme="minorEastAsia"/>
          <w:lang w:val="en-US" w:eastAsia="zh-CN"/>
        </w:rPr>
        <w:t xml:space="preserve">go to IDEL mode when T301 expires. </w:t>
      </w:r>
    </w:p>
    <w:p w:rsidR="00EE1C26" w:rsidRPr="00C36861" w:rsidRDefault="00EE1C26" w:rsidP="00EE1C26">
      <w:pPr>
        <w:jc w:val="both"/>
        <w:rPr>
          <w:rFonts w:eastAsiaTheme="minorEastAsia"/>
          <w:b/>
          <w:lang w:val="en-US" w:eastAsia="zh-CN"/>
        </w:rPr>
      </w:pPr>
      <w:r w:rsidRPr="00517D9D">
        <w:rPr>
          <w:rFonts w:eastAsiaTheme="minorEastAsia"/>
          <w:b/>
          <w:lang w:val="en-US" w:eastAsia="zh-CN"/>
        </w:rPr>
        <w:t xml:space="preserve">Observation 3: Upon consistent LBT failure of PRACH transmission, </w:t>
      </w:r>
      <w:r w:rsidR="00C36861" w:rsidRPr="00C36861">
        <w:rPr>
          <w:rFonts w:eastAsiaTheme="minorEastAsia"/>
          <w:b/>
          <w:lang w:val="en-US" w:eastAsia="zh-CN"/>
        </w:rPr>
        <w:t>he corresponding recovery mechanism (FFS) will be triggered or the UE will go to IDEL mode when T301 expires.</w:t>
      </w:r>
    </w:p>
    <w:p w:rsidR="00517D9D" w:rsidRDefault="00EE1C26" w:rsidP="00372DF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w:t>
      </w:r>
      <w:r w:rsidR="00517D9D">
        <w:rPr>
          <w:rFonts w:eastAsiaTheme="minorEastAsia"/>
          <w:lang w:val="en-US" w:eastAsia="zh-CN"/>
        </w:rPr>
        <w:t>the delay caused by PRACH should be clarified as: the delay caused by the successful PRACH transmission (LBT success) before</w:t>
      </w:r>
      <w:r w:rsidR="00C36861">
        <w:rPr>
          <w:rFonts w:eastAsiaTheme="minorEastAsia"/>
          <w:lang w:val="en-US" w:eastAsia="zh-CN"/>
        </w:rPr>
        <w:t xml:space="preserve"> t</w:t>
      </w:r>
      <w:r w:rsidR="00C36861" w:rsidRPr="00EE1C26">
        <w:rPr>
          <w:rFonts w:eastAsiaTheme="minorEastAsia"/>
          <w:lang w:val="en-US" w:eastAsia="zh-CN"/>
        </w:rPr>
        <w:t xml:space="preserve">he </w:t>
      </w:r>
      <w:r w:rsidR="00C36861">
        <w:rPr>
          <w:rFonts w:eastAsiaTheme="minorEastAsia"/>
          <w:lang w:val="en-US" w:eastAsia="zh-CN"/>
        </w:rPr>
        <w:t>corresponding recovery mechanism</w:t>
      </w:r>
      <w:r w:rsidR="00517D9D">
        <w:rPr>
          <w:rFonts w:eastAsiaTheme="minorEastAsia"/>
          <w:lang w:val="en-US" w:eastAsia="zh-CN"/>
        </w:rPr>
        <w:t xml:space="preserve"> triggered by UL LBT failure. And there is no need to set the maximum value for this process in TS 38.133.</w:t>
      </w:r>
    </w:p>
    <w:p w:rsidR="00FC0F9D" w:rsidRPr="00517D9D" w:rsidRDefault="00517D9D" w:rsidP="00517D9D">
      <w:pPr>
        <w:jc w:val="both"/>
        <w:rPr>
          <w:rFonts w:eastAsiaTheme="minorEastAsia"/>
          <w:b/>
          <w:lang w:val="en-US" w:eastAsia="zh-CN"/>
        </w:rPr>
      </w:pPr>
      <w:r w:rsidRPr="00517D9D">
        <w:rPr>
          <w:rFonts w:eastAsiaTheme="minorEastAsia"/>
          <w:b/>
          <w:lang w:val="en-US" w:eastAsia="zh-CN"/>
        </w:rPr>
        <w:t xml:space="preserve">Proposal 2: The delay caused by PRACH should be clarified as: the delay caused by the successful PRACH transmission (LBT success) before </w:t>
      </w:r>
      <w:r w:rsidR="00C36861" w:rsidRPr="00C36861">
        <w:rPr>
          <w:rFonts w:eastAsiaTheme="minorEastAsia"/>
          <w:b/>
          <w:lang w:val="en-US" w:eastAsia="zh-CN"/>
        </w:rPr>
        <w:t>the corresponding recovery mechanism</w:t>
      </w:r>
      <w:r w:rsidRPr="00517D9D">
        <w:rPr>
          <w:rFonts w:eastAsiaTheme="minorEastAsia"/>
          <w:b/>
          <w:lang w:val="en-US" w:eastAsia="zh-CN"/>
        </w:rPr>
        <w:t xml:space="preserve"> triggered by UL LBT failure. And there is no need to set the maximum value for this process in TS 38.133.</w:t>
      </w:r>
    </w:p>
    <w:p w:rsidR="00DF0231" w:rsidRPr="002D2977" w:rsidRDefault="00DF0231" w:rsidP="00DF0231">
      <w:pPr>
        <w:pStyle w:val="1"/>
        <w:numPr>
          <w:ilvl w:val="0"/>
          <w:numId w:val="1"/>
        </w:numPr>
        <w:rPr>
          <w:lang w:val="en-US"/>
        </w:rPr>
      </w:pPr>
      <w:r w:rsidRPr="002D2977">
        <w:rPr>
          <w:lang w:val="en-US"/>
        </w:rPr>
        <w:t>Conclusions</w:t>
      </w:r>
    </w:p>
    <w:p w:rsidR="00517D9D" w:rsidRPr="00BD05DD" w:rsidRDefault="00517D9D" w:rsidP="00517D9D">
      <w:pPr>
        <w:jc w:val="both"/>
        <w:rPr>
          <w:rFonts w:eastAsiaTheme="minorEastAsia"/>
          <w:b/>
          <w:lang w:val="en-US" w:eastAsia="zh-CN"/>
        </w:rPr>
      </w:pPr>
      <w:r w:rsidRPr="00BD05DD">
        <w:rPr>
          <w:rFonts w:eastAsiaTheme="minorEastAsia"/>
          <w:b/>
          <w:lang w:val="en-US" w:eastAsia="zh-CN"/>
        </w:rPr>
        <w:t>Observation 1: The requirements of cell search (both intra-frequency and inter-frequency) and the time for acquiring system information are restricted by T311</w:t>
      </w:r>
    </w:p>
    <w:p w:rsidR="00517D9D" w:rsidRPr="00BD05DD" w:rsidRDefault="00517D9D" w:rsidP="00517D9D">
      <w:pPr>
        <w:jc w:val="both"/>
        <w:rPr>
          <w:rFonts w:eastAsiaTheme="minorEastAsia"/>
          <w:b/>
          <w:lang w:val="en-US" w:eastAsia="zh-CN"/>
        </w:rPr>
      </w:pPr>
      <w:r w:rsidRPr="00BD05DD">
        <w:rPr>
          <w:rFonts w:eastAsiaTheme="minorEastAsia"/>
          <w:b/>
          <w:lang w:val="en-US" w:eastAsia="zh-CN"/>
        </w:rPr>
        <w:t>Proposal 1: In NR-U scenarios, when the unavailable DMTC cycles exceeding the maximum values, UE should still have the chance for cell searching before T311 expires.</w:t>
      </w:r>
    </w:p>
    <w:p w:rsidR="00C36861" w:rsidRDefault="00C36861" w:rsidP="00C36861">
      <w:pPr>
        <w:jc w:val="both"/>
        <w:rPr>
          <w:rFonts w:eastAsiaTheme="minorEastAsia"/>
          <w:b/>
          <w:lang w:val="en-US" w:eastAsia="zh-CN"/>
        </w:rPr>
      </w:pPr>
      <w:r w:rsidRPr="00372DF4">
        <w:rPr>
          <w:rFonts w:eastAsiaTheme="minorEastAsia"/>
          <w:b/>
          <w:lang w:val="en-US" w:eastAsia="zh-CN"/>
        </w:rPr>
        <w:t>Observation 2:</w:t>
      </w:r>
      <w:r>
        <w:rPr>
          <w:rFonts w:eastAsiaTheme="minorEastAsia"/>
          <w:b/>
          <w:lang w:val="en-US" w:eastAsia="zh-CN"/>
        </w:rPr>
        <w:t xml:space="preserve"> Whether the current recovery mechanism after consistent UL LBT failure can apply before the RRC connection is still under discussion.</w:t>
      </w:r>
      <w:r w:rsidRPr="00372DF4">
        <w:rPr>
          <w:rFonts w:eastAsiaTheme="minorEastAsia"/>
          <w:b/>
          <w:lang w:val="en-US" w:eastAsia="zh-CN"/>
        </w:rPr>
        <w:t xml:space="preserve"> </w:t>
      </w:r>
    </w:p>
    <w:p w:rsidR="00C36861" w:rsidRPr="00C36861" w:rsidRDefault="00C36861" w:rsidP="00C36861">
      <w:pPr>
        <w:jc w:val="both"/>
        <w:rPr>
          <w:rFonts w:eastAsiaTheme="minorEastAsia"/>
          <w:b/>
          <w:lang w:val="en-US" w:eastAsia="zh-CN"/>
        </w:rPr>
      </w:pPr>
      <w:r w:rsidRPr="00517D9D">
        <w:rPr>
          <w:rFonts w:eastAsiaTheme="minorEastAsia"/>
          <w:b/>
          <w:lang w:val="en-US" w:eastAsia="zh-CN"/>
        </w:rPr>
        <w:t xml:space="preserve">Observation 3: Upon consistent LBT failure of PRACH transmission, </w:t>
      </w:r>
      <w:r w:rsidRPr="00C36861">
        <w:rPr>
          <w:rFonts w:eastAsiaTheme="minorEastAsia"/>
          <w:b/>
          <w:lang w:val="en-US" w:eastAsia="zh-CN"/>
        </w:rPr>
        <w:t>he corresponding recovery mechanism (FFS) will be triggered or the UE will go to IDEL mode when T301 expires.</w:t>
      </w:r>
    </w:p>
    <w:p w:rsidR="00C36861" w:rsidRPr="00517D9D" w:rsidRDefault="00C36861" w:rsidP="00C36861">
      <w:pPr>
        <w:jc w:val="both"/>
        <w:rPr>
          <w:rFonts w:eastAsiaTheme="minorEastAsia"/>
          <w:b/>
          <w:lang w:val="en-US" w:eastAsia="zh-CN"/>
        </w:rPr>
      </w:pPr>
      <w:r w:rsidRPr="00517D9D">
        <w:rPr>
          <w:rFonts w:eastAsiaTheme="minorEastAsia"/>
          <w:b/>
          <w:lang w:val="en-US" w:eastAsia="zh-CN"/>
        </w:rPr>
        <w:t xml:space="preserve">Proposal 2: The delay caused by PRACH should be clarified as: the delay caused by the successful PRACH transmission (LBT success) before </w:t>
      </w:r>
      <w:r w:rsidRPr="00C36861">
        <w:rPr>
          <w:rFonts w:eastAsiaTheme="minorEastAsia"/>
          <w:b/>
          <w:lang w:val="en-US" w:eastAsia="zh-CN"/>
        </w:rPr>
        <w:t>the corresponding recovery mechanism</w:t>
      </w:r>
      <w:r w:rsidRPr="00517D9D">
        <w:rPr>
          <w:rFonts w:eastAsiaTheme="minorEastAsia"/>
          <w:b/>
          <w:lang w:val="en-US" w:eastAsia="zh-CN"/>
        </w:rPr>
        <w:t xml:space="preserve"> triggered by UL LBT failure. And there is no need to set the maximum value for this process in TS 38.133.</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DF0231" w:rsidRDefault="00915B72" w:rsidP="00DF0231">
      <w:pPr>
        <w:rPr>
          <w:rFonts w:eastAsiaTheme="minorEastAsia"/>
          <w:lang w:val="en-US" w:eastAsia="zh-CN"/>
        </w:rPr>
      </w:pPr>
      <w:r>
        <w:rPr>
          <w:rFonts w:eastAsiaTheme="minorEastAsia" w:hint="eastAsia"/>
          <w:lang w:val="en-US" w:eastAsia="zh-CN"/>
        </w:rPr>
        <w:t>[</w:t>
      </w:r>
      <w:r>
        <w:rPr>
          <w:rFonts w:eastAsiaTheme="minorEastAsia"/>
          <w:lang w:val="en-US" w:eastAsia="zh-CN"/>
        </w:rPr>
        <w:t>2] TS 38.331</w:t>
      </w:r>
    </w:p>
    <w:p w:rsidR="00915B72" w:rsidRPr="00915B72" w:rsidRDefault="00915B72" w:rsidP="00DF0231">
      <w:pPr>
        <w:rPr>
          <w:rFonts w:eastAsiaTheme="minorEastAsia"/>
          <w:lang w:val="en-US" w:eastAsia="zh-CN"/>
        </w:rPr>
      </w:pPr>
      <w:r>
        <w:rPr>
          <w:rFonts w:eastAsiaTheme="minorEastAsia"/>
          <w:lang w:val="en-US" w:eastAsia="zh-CN"/>
        </w:rPr>
        <w:t>[3] TS 38.133</w:t>
      </w:r>
    </w:p>
    <w:p w:rsidR="007D0DF7" w:rsidRDefault="007D0DF7"/>
    <w:sectPr w:rsidR="007D0DF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B11" w:rsidRDefault="00A15B11">
      <w:pPr>
        <w:spacing w:after="0"/>
      </w:pPr>
      <w:r>
        <w:separator/>
      </w:r>
    </w:p>
  </w:endnote>
  <w:endnote w:type="continuationSeparator" w:id="0">
    <w:p w:rsidR="00A15B11" w:rsidRDefault="00A15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5DD" w:rsidRDefault="00BD05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BD05DD" w:rsidRDefault="00BD05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5DD" w:rsidRDefault="00BD05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562B7">
      <w:rPr>
        <w:rStyle w:val="a5"/>
      </w:rPr>
      <w:t>3</w:t>
    </w:r>
    <w:r>
      <w:rPr>
        <w:rStyle w:val="a5"/>
      </w:rPr>
      <w:fldChar w:fldCharType="end"/>
    </w:r>
  </w:p>
  <w:p w:rsidR="00BD05DD" w:rsidRDefault="00BD05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B11" w:rsidRDefault="00A15B11">
      <w:pPr>
        <w:spacing w:after="0"/>
      </w:pPr>
      <w:r>
        <w:separator/>
      </w:r>
    </w:p>
  </w:footnote>
  <w:footnote w:type="continuationSeparator" w:id="0">
    <w:p w:rsidR="00A15B11" w:rsidRDefault="00A15B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
  </w:num>
  <w:num w:numId="2">
    <w:abstractNumId w:val="0"/>
  </w:num>
  <w:num w:numId="3">
    <w:abstractNumId w:val="2"/>
  </w:num>
  <w:num w:numId="4">
    <w:abstractNumId w:val="2"/>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A439F"/>
    <w:rsid w:val="000D2930"/>
    <w:rsid w:val="00152A56"/>
    <w:rsid w:val="002221AC"/>
    <w:rsid w:val="002328DD"/>
    <w:rsid w:val="00254F38"/>
    <w:rsid w:val="002A071E"/>
    <w:rsid w:val="002E668C"/>
    <w:rsid w:val="003633E0"/>
    <w:rsid w:val="00372DF4"/>
    <w:rsid w:val="003E2D70"/>
    <w:rsid w:val="004007A4"/>
    <w:rsid w:val="0041054B"/>
    <w:rsid w:val="00430F24"/>
    <w:rsid w:val="00435EBD"/>
    <w:rsid w:val="00466D02"/>
    <w:rsid w:val="00477263"/>
    <w:rsid w:val="004A7CF2"/>
    <w:rsid w:val="00517D9D"/>
    <w:rsid w:val="005B3E60"/>
    <w:rsid w:val="0061055E"/>
    <w:rsid w:val="00701598"/>
    <w:rsid w:val="007D0DF7"/>
    <w:rsid w:val="007D3409"/>
    <w:rsid w:val="00804945"/>
    <w:rsid w:val="00873C1C"/>
    <w:rsid w:val="00881336"/>
    <w:rsid w:val="00892EAE"/>
    <w:rsid w:val="008A1C4E"/>
    <w:rsid w:val="008B373A"/>
    <w:rsid w:val="008D13E5"/>
    <w:rsid w:val="00914A03"/>
    <w:rsid w:val="00915B72"/>
    <w:rsid w:val="009968CF"/>
    <w:rsid w:val="009C7D5E"/>
    <w:rsid w:val="009D2942"/>
    <w:rsid w:val="009E6763"/>
    <w:rsid w:val="009E6DC8"/>
    <w:rsid w:val="00A1597D"/>
    <w:rsid w:val="00A15B11"/>
    <w:rsid w:val="00A22790"/>
    <w:rsid w:val="00A7309F"/>
    <w:rsid w:val="00AD69AA"/>
    <w:rsid w:val="00AF5966"/>
    <w:rsid w:val="00BD05DD"/>
    <w:rsid w:val="00BE1FD4"/>
    <w:rsid w:val="00C36861"/>
    <w:rsid w:val="00C50A0A"/>
    <w:rsid w:val="00CA1729"/>
    <w:rsid w:val="00CE0DA0"/>
    <w:rsid w:val="00D562B7"/>
    <w:rsid w:val="00DF0231"/>
    <w:rsid w:val="00E469C2"/>
    <w:rsid w:val="00E75ED1"/>
    <w:rsid w:val="00EE1C26"/>
    <w:rsid w:val="00F0497C"/>
    <w:rsid w:val="00F076D1"/>
    <w:rsid w:val="00F303F4"/>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paragraph" w:customStyle="1" w:styleId="EQ">
    <w:name w:val="EQ"/>
    <w:basedOn w:val="a"/>
    <w:next w:val="a"/>
    <w:link w:val="EQChar"/>
    <w:rsid w:val="005B3E60"/>
    <w:pPr>
      <w:keepLines/>
      <w:tabs>
        <w:tab w:val="center" w:pos="4536"/>
        <w:tab w:val="right" w:pos="9072"/>
      </w:tabs>
    </w:pPr>
    <w:rPr>
      <w:rFonts w:eastAsia="宋体"/>
      <w:noProof/>
    </w:rPr>
  </w:style>
  <w:style w:type="character" w:customStyle="1" w:styleId="EQChar">
    <w:name w:val="EQ Char"/>
    <w:link w:val="EQ"/>
    <w:locked/>
    <w:rsid w:val="005B3E60"/>
    <w:rPr>
      <w:rFonts w:ascii="Times New Roman" w:eastAsia="宋体" w:hAnsi="Times New Roman" w:cs="Times New Roman"/>
      <w:noProof/>
      <w:kern w:val="0"/>
      <w:sz w:val="20"/>
      <w:szCs w:val="20"/>
      <w:lang w:val="en-GB" w:eastAsia="en-US"/>
    </w:rPr>
  </w:style>
  <w:style w:type="table" w:styleId="a7">
    <w:name w:val="Table Grid"/>
    <w:basedOn w:val="a1"/>
    <w:uiPriority w:val="39"/>
    <w:rsid w:val="005B3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D05DD"/>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D05DD"/>
    <w:rPr>
      <w:rFonts w:ascii="Arial" w:eastAsia="MS Mincho" w:hAnsi="Arial" w:cs="Times New Roman"/>
      <w:kern w:val="0"/>
      <w:sz w:val="20"/>
      <w:szCs w:val="24"/>
      <w:lang w:val="en-GB" w:eastAsia="en-GB"/>
    </w:rPr>
  </w:style>
  <w:style w:type="paragraph" w:customStyle="1" w:styleId="Agreement">
    <w:name w:val="Agreement"/>
    <w:basedOn w:val="a"/>
    <w:next w:val="Doc-text2"/>
    <w:rsid w:val="00BD05DD"/>
    <w:pPr>
      <w:numPr>
        <w:numId w:val="3"/>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331560620">
      <w:bodyDiv w:val="1"/>
      <w:marLeft w:val="0"/>
      <w:marRight w:val="0"/>
      <w:marTop w:val="0"/>
      <w:marBottom w:val="0"/>
      <w:divBdr>
        <w:top w:val="none" w:sz="0" w:space="0" w:color="auto"/>
        <w:left w:val="none" w:sz="0" w:space="0" w:color="auto"/>
        <w:bottom w:val="none" w:sz="0" w:space="0" w:color="auto"/>
        <w:right w:val="none" w:sz="0" w:space="0" w:color="auto"/>
      </w:divBdr>
      <w:divsChild>
        <w:div w:id="354505952">
          <w:marLeft w:val="1080"/>
          <w:marRight w:val="0"/>
          <w:marTop w:val="100"/>
          <w:marBottom w:val="0"/>
          <w:divBdr>
            <w:top w:val="none" w:sz="0" w:space="0" w:color="auto"/>
            <w:left w:val="none" w:sz="0" w:space="0" w:color="auto"/>
            <w:bottom w:val="none" w:sz="0" w:space="0" w:color="auto"/>
            <w:right w:val="none" w:sz="0" w:space="0" w:color="auto"/>
          </w:divBdr>
        </w:div>
        <w:div w:id="1060053922">
          <w:marLeft w:val="1800"/>
          <w:marRight w:val="0"/>
          <w:marTop w:val="100"/>
          <w:marBottom w:val="0"/>
          <w:divBdr>
            <w:top w:val="none" w:sz="0" w:space="0" w:color="auto"/>
            <w:left w:val="none" w:sz="0" w:space="0" w:color="auto"/>
            <w:bottom w:val="none" w:sz="0" w:space="0" w:color="auto"/>
            <w:right w:val="none" w:sz="0" w:space="0" w:color="auto"/>
          </w:divBdr>
        </w:div>
        <w:div w:id="1278298665">
          <w:marLeft w:val="2520"/>
          <w:marRight w:val="0"/>
          <w:marTop w:val="100"/>
          <w:marBottom w:val="0"/>
          <w:divBdr>
            <w:top w:val="none" w:sz="0" w:space="0" w:color="auto"/>
            <w:left w:val="none" w:sz="0" w:space="0" w:color="auto"/>
            <w:bottom w:val="none" w:sz="0" w:space="0" w:color="auto"/>
            <w:right w:val="none" w:sz="0" w:space="0" w:color="auto"/>
          </w:divBdr>
        </w:div>
        <w:div w:id="1856773759">
          <w:marLeft w:val="2520"/>
          <w:marRight w:val="0"/>
          <w:marTop w:val="100"/>
          <w:marBottom w:val="0"/>
          <w:divBdr>
            <w:top w:val="none" w:sz="0" w:space="0" w:color="auto"/>
            <w:left w:val="none" w:sz="0" w:space="0" w:color="auto"/>
            <w:bottom w:val="none" w:sz="0" w:space="0" w:color="auto"/>
            <w:right w:val="none" w:sz="0" w:space="0" w:color="auto"/>
          </w:divBdr>
        </w:div>
        <w:div w:id="1812553050">
          <w:marLeft w:val="1800"/>
          <w:marRight w:val="0"/>
          <w:marTop w:val="100"/>
          <w:marBottom w:val="0"/>
          <w:divBdr>
            <w:top w:val="none" w:sz="0" w:space="0" w:color="auto"/>
            <w:left w:val="none" w:sz="0" w:space="0" w:color="auto"/>
            <w:bottom w:val="none" w:sz="0" w:space="0" w:color="auto"/>
            <w:right w:val="none" w:sz="0" w:space="0" w:color="auto"/>
          </w:divBdr>
        </w:div>
        <w:div w:id="1495026084">
          <w:marLeft w:val="2520"/>
          <w:marRight w:val="0"/>
          <w:marTop w:val="100"/>
          <w:marBottom w:val="0"/>
          <w:divBdr>
            <w:top w:val="none" w:sz="0" w:space="0" w:color="auto"/>
            <w:left w:val="none" w:sz="0" w:space="0" w:color="auto"/>
            <w:bottom w:val="none" w:sz="0" w:space="0" w:color="auto"/>
            <w:right w:val="none" w:sz="0" w:space="0" w:color="auto"/>
          </w:divBdr>
        </w:div>
        <w:div w:id="1944799213">
          <w:marLeft w:val="2520"/>
          <w:marRight w:val="0"/>
          <w:marTop w:val="100"/>
          <w:marBottom w:val="0"/>
          <w:divBdr>
            <w:top w:val="none" w:sz="0" w:space="0" w:color="auto"/>
            <w:left w:val="none" w:sz="0" w:space="0" w:color="auto"/>
            <w:bottom w:val="none" w:sz="0" w:space="0" w:color="auto"/>
            <w:right w:val="none" w:sz="0" w:space="0" w:color="auto"/>
          </w:divBdr>
        </w:div>
        <w:div w:id="1408842644">
          <w:marLeft w:val="1800"/>
          <w:marRight w:val="0"/>
          <w:marTop w:val="100"/>
          <w:marBottom w:val="0"/>
          <w:divBdr>
            <w:top w:val="none" w:sz="0" w:space="0" w:color="auto"/>
            <w:left w:val="none" w:sz="0" w:space="0" w:color="auto"/>
            <w:bottom w:val="none" w:sz="0" w:space="0" w:color="auto"/>
            <w:right w:val="none" w:sz="0" w:space="0" w:color="auto"/>
          </w:divBdr>
        </w:div>
        <w:div w:id="1983464710">
          <w:marLeft w:val="2520"/>
          <w:marRight w:val="0"/>
          <w:marTop w:val="100"/>
          <w:marBottom w:val="0"/>
          <w:divBdr>
            <w:top w:val="none" w:sz="0" w:space="0" w:color="auto"/>
            <w:left w:val="none" w:sz="0" w:space="0" w:color="auto"/>
            <w:bottom w:val="none" w:sz="0" w:space="0" w:color="auto"/>
            <w:right w:val="none" w:sz="0" w:space="0" w:color="auto"/>
          </w:divBdr>
        </w:div>
        <w:div w:id="1724595520">
          <w:marLeft w:val="2520"/>
          <w:marRight w:val="0"/>
          <w:marTop w:val="100"/>
          <w:marBottom w:val="0"/>
          <w:divBdr>
            <w:top w:val="none" w:sz="0" w:space="0" w:color="auto"/>
            <w:left w:val="none" w:sz="0" w:space="0" w:color="auto"/>
            <w:bottom w:val="none" w:sz="0" w:space="0" w:color="auto"/>
            <w:right w:val="none" w:sz="0" w:space="0" w:color="auto"/>
          </w:divBdr>
        </w:div>
      </w:divsChild>
    </w:div>
    <w:div w:id="1652170337">
      <w:bodyDiv w:val="1"/>
      <w:marLeft w:val="0"/>
      <w:marRight w:val="0"/>
      <w:marTop w:val="0"/>
      <w:marBottom w:val="0"/>
      <w:divBdr>
        <w:top w:val="none" w:sz="0" w:space="0" w:color="auto"/>
        <w:left w:val="none" w:sz="0" w:space="0" w:color="auto"/>
        <w:bottom w:val="none" w:sz="0" w:space="0" w:color="auto"/>
        <w:right w:val="none" w:sz="0" w:space="0" w:color="auto"/>
      </w:divBdr>
      <w:divsChild>
        <w:div w:id="701828085">
          <w:marLeft w:val="1080"/>
          <w:marRight w:val="0"/>
          <w:marTop w:val="100"/>
          <w:marBottom w:val="0"/>
          <w:divBdr>
            <w:top w:val="none" w:sz="0" w:space="0" w:color="auto"/>
            <w:left w:val="none" w:sz="0" w:space="0" w:color="auto"/>
            <w:bottom w:val="none" w:sz="0" w:space="0" w:color="auto"/>
            <w:right w:val="none" w:sz="0" w:space="0" w:color="auto"/>
          </w:divBdr>
        </w:div>
        <w:div w:id="2097289253">
          <w:marLeft w:val="1800"/>
          <w:marRight w:val="0"/>
          <w:marTop w:val="100"/>
          <w:marBottom w:val="0"/>
          <w:divBdr>
            <w:top w:val="none" w:sz="0" w:space="0" w:color="auto"/>
            <w:left w:val="none" w:sz="0" w:space="0" w:color="auto"/>
            <w:bottom w:val="none" w:sz="0" w:space="0" w:color="auto"/>
            <w:right w:val="none" w:sz="0" w:space="0" w:color="auto"/>
          </w:divBdr>
        </w:div>
        <w:div w:id="1248465072">
          <w:marLeft w:val="2520"/>
          <w:marRight w:val="0"/>
          <w:marTop w:val="100"/>
          <w:marBottom w:val="0"/>
          <w:divBdr>
            <w:top w:val="none" w:sz="0" w:space="0" w:color="auto"/>
            <w:left w:val="none" w:sz="0" w:space="0" w:color="auto"/>
            <w:bottom w:val="none" w:sz="0" w:space="0" w:color="auto"/>
            <w:right w:val="none" w:sz="0" w:space="0" w:color="auto"/>
          </w:divBdr>
        </w:div>
        <w:div w:id="266735845">
          <w:marLeft w:val="2520"/>
          <w:marRight w:val="0"/>
          <w:marTop w:val="100"/>
          <w:marBottom w:val="0"/>
          <w:divBdr>
            <w:top w:val="none" w:sz="0" w:space="0" w:color="auto"/>
            <w:left w:val="none" w:sz="0" w:space="0" w:color="auto"/>
            <w:bottom w:val="none" w:sz="0" w:space="0" w:color="auto"/>
            <w:right w:val="none" w:sz="0" w:space="0" w:color="auto"/>
          </w:divBdr>
        </w:div>
        <w:div w:id="148138291">
          <w:marLeft w:val="1800"/>
          <w:marRight w:val="0"/>
          <w:marTop w:val="100"/>
          <w:marBottom w:val="0"/>
          <w:divBdr>
            <w:top w:val="none" w:sz="0" w:space="0" w:color="auto"/>
            <w:left w:val="none" w:sz="0" w:space="0" w:color="auto"/>
            <w:bottom w:val="none" w:sz="0" w:space="0" w:color="auto"/>
            <w:right w:val="none" w:sz="0" w:space="0" w:color="auto"/>
          </w:divBdr>
        </w:div>
        <w:div w:id="590743108">
          <w:marLeft w:val="2520"/>
          <w:marRight w:val="0"/>
          <w:marTop w:val="100"/>
          <w:marBottom w:val="0"/>
          <w:divBdr>
            <w:top w:val="none" w:sz="0" w:space="0" w:color="auto"/>
            <w:left w:val="none" w:sz="0" w:space="0" w:color="auto"/>
            <w:bottom w:val="none" w:sz="0" w:space="0" w:color="auto"/>
            <w:right w:val="none" w:sz="0" w:space="0" w:color="auto"/>
          </w:divBdr>
        </w:div>
        <w:div w:id="1619414483">
          <w:marLeft w:val="2520"/>
          <w:marRight w:val="0"/>
          <w:marTop w:val="100"/>
          <w:marBottom w:val="0"/>
          <w:divBdr>
            <w:top w:val="none" w:sz="0" w:space="0" w:color="auto"/>
            <w:left w:val="none" w:sz="0" w:space="0" w:color="auto"/>
            <w:bottom w:val="none" w:sz="0" w:space="0" w:color="auto"/>
            <w:right w:val="none" w:sz="0" w:space="0" w:color="auto"/>
          </w:divBdr>
        </w:div>
        <w:div w:id="504172215">
          <w:marLeft w:val="1800"/>
          <w:marRight w:val="0"/>
          <w:marTop w:val="100"/>
          <w:marBottom w:val="0"/>
          <w:divBdr>
            <w:top w:val="none" w:sz="0" w:space="0" w:color="auto"/>
            <w:left w:val="none" w:sz="0" w:space="0" w:color="auto"/>
            <w:bottom w:val="none" w:sz="0" w:space="0" w:color="auto"/>
            <w:right w:val="none" w:sz="0" w:space="0" w:color="auto"/>
          </w:divBdr>
        </w:div>
        <w:div w:id="27142119">
          <w:marLeft w:val="2520"/>
          <w:marRight w:val="0"/>
          <w:marTop w:val="100"/>
          <w:marBottom w:val="0"/>
          <w:divBdr>
            <w:top w:val="none" w:sz="0" w:space="0" w:color="auto"/>
            <w:left w:val="none" w:sz="0" w:space="0" w:color="auto"/>
            <w:bottom w:val="none" w:sz="0" w:space="0" w:color="auto"/>
            <w:right w:val="none" w:sz="0" w:space="0" w:color="auto"/>
          </w:divBdr>
        </w:div>
        <w:div w:id="118762708">
          <w:marLeft w:val="2520"/>
          <w:marRight w:val="0"/>
          <w:marTop w:val="100"/>
          <w:marBottom w:val="0"/>
          <w:divBdr>
            <w:top w:val="none" w:sz="0" w:space="0" w:color="auto"/>
            <w:left w:val="none" w:sz="0" w:space="0" w:color="auto"/>
            <w:bottom w:val="none" w:sz="0" w:space="0" w:color="auto"/>
            <w:right w:val="none" w:sz="0" w:space="0" w:color="auto"/>
          </w:divBdr>
        </w:div>
      </w:divsChild>
    </w:div>
    <w:div w:id="1988780952">
      <w:bodyDiv w:val="1"/>
      <w:marLeft w:val="0"/>
      <w:marRight w:val="0"/>
      <w:marTop w:val="0"/>
      <w:marBottom w:val="0"/>
      <w:divBdr>
        <w:top w:val="none" w:sz="0" w:space="0" w:color="auto"/>
        <w:left w:val="none" w:sz="0" w:space="0" w:color="auto"/>
        <w:bottom w:val="none" w:sz="0" w:space="0" w:color="auto"/>
        <w:right w:val="none" w:sz="0" w:space="0" w:color="auto"/>
      </w:divBdr>
      <w:divsChild>
        <w:div w:id="743838657">
          <w:marLeft w:val="1080"/>
          <w:marRight w:val="0"/>
          <w:marTop w:val="100"/>
          <w:marBottom w:val="0"/>
          <w:divBdr>
            <w:top w:val="none" w:sz="0" w:space="0" w:color="auto"/>
            <w:left w:val="none" w:sz="0" w:space="0" w:color="auto"/>
            <w:bottom w:val="none" w:sz="0" w:space="0" w:color="auto"/>
            <w:right w:val="none" w:sz="0" w:space="0" w:color="auto"/>
          </w:divBdr>
        </w:div>
        <w:div w:id="776826728">
          <w:marLeft w:val="1800"/>
          <w:marRight w:val="0"/>
          <w:marTop w:val="100"/>
          <w:marBottom w:val="0"/>
          <w:divBdr>
            <w:top w:val="none" w:sz="0" w:space="0" w:color="auto"/>
            <w:left w:val="none" w:sz="0" w:space="0" w:color="auto"/>
            <w:bottom w:val="none" w:sz="0" w:space="0" w:color="auto"/>
            <w:right w:val="none" w:sz="0" w:space="0" w:color="auto"/>
          </w:divBdr>
        </w:div>
        <w:div w:id="871461716">
          <w:marLeft w:val="2520"/>
          <w:marRight w:val="0"/>
          <w:marTop w:val="100"/>
          <w:marBottom w:val="0"/>
          <w:divBdr>
            <w:top w:val="none" w:sz="0" w:space="0" w:color="auto"/>
            <w:left w:val="none" w:sz="0" w:space="0" w:color="auto"/>
            <w:bottom w:val="none" w:sz="0" w:space="0" w:color="auto"/>
            <w:right w:val="none" w:sz="0" w:space="0" w:color="auto"/>
          </w:divBdr>
        </w:div>
        <w:div w:id="1597520719">
          <w:marLeft w:val="2520"/>
          <w:marRight w:val="0"/>
          <w:marTop w:val="100"/>
          <w:marBottom w:val="0"/>
          <w:divBdr>
            <w:top w:val="none" w:sz="0" w:space="0" w:color="auto"/>
            <w:left w:val="none" w:sz="0" w:space="0" w:color="auto"/>
            <w:bottom w:val="none" w:sz="0" w:space="0" w:color="auto"/>
            <w:right w:val="none" w:sz="0" w:space="0" w:color="auto"/>
          </w:divBdr>
        </w:div>
        <w:div w:id="381758779">
          <w:marLeft w:val="1800"/>
          <w:marRight w:val="0"/>
          <w:marTop w:val="100"/>
          <w:marBottom w:val="0"/>
          <w:divBdr>
            <w:top w:val="none" w:sz="0" w:space="0" w:color="auto"/>
            <w:left w:val="none" w:sz="0" w:space="0" w:color="auto"/>
            <w:bottom w:val="none" w:sz="0" w:space="0" w:color="auto"/>
            <w:right w:val="none" w:sz="0" w:space="0" w:color="auto"/>
          </w:divBdr>
        </w:div>
        <w:div w:id="1858690216">
          <w:marLeft w:val="2520"/>
          <w:marRight w:val="0"/>
          <w:marTop w:val="100"/>
          <w:marBottom w:val="0"/>
          <w:divBdr>
            <w:top w:val="none" w:sz="0" w:space="0" w:color="auto"/>
            <w:left w:val="none" w:sz="0" w:space="0" w:color="auto"/>
            <w:bottom w:val="none" w:sz="0" w:space="0" w:color="auto"/>
            <w:right w:val="none" w:sz="0" w:space="0" w:color="auto"/>
          </w:divBdr>
        </w:div>
        <w:div w:id="581792425">
          <w:marLeft w:val="2520"/>
          <w:marRight w:val="0"/>
          <w:marTop w:val="100"/>
          <w:marBottom w:val="0"/>
          <w:divBdr>
            <w:top w:val="none" w:sz="0" w:space="0" w:color="auto"/>
            <w:left w:val="none" w:sz="0" w:space="0" w:color="auto"/>
            <w:bottom w:val="none" w:sz="0" w:space="0" w:color="auto"/>
            <w:right w:val="none" w:sz="0" w:space="0" w:color="auto"/>
          </w:divBdr>
        </w:div>
        <w:div w:id="1508137593">
          <w:marLeft w:val="1800"/>
          <w:marRight w:val="0"/>
          <w:marTop w:val="100"/>
          <w:marBottom w:val="0"/>
          <w:divBdr>
            <w:top w:val="none" w:sz="0" w:space="0" w:color="auto"/>
            <w:left w:val="none" w:sz="0" w:space="0" w:color="auto"/>
            <w:bottom w:val="none" w:sz="0" w:space="0" w:color="auto"/>
            <w:right w:val="none" w:sz="0" w:space="0" w:color="auto"/>
          </w:divBdr>
        </w:div>
        <w:div w:id="167838973">
          <w:marLeft w:val="2520"/>
          <w:marRight w:val="0"/>
          <w:marTop w:val="100"/>
          <w:marBottom w:val="0"/>
          <w:divBdr>
            <w:top w:val="none" w:sz="0" w:space="0" w:color="auto"/>
            <w:left w:val="none" w:sz="0" w:space="0" w:color="auto"/>
            <w:bottom w:val="none" w:sz="0" w:space="0" w:color="auto"/>
            <w:right w:val="none" w:sz="0" w:space="0" w:color="auto"/>
          </w:divBdr>
        </w:div>
        <w:div w:id="490758811">
          <w:marLeft w:val="2520"/>
          <w:marRight w:val="0"/>
          <w:marTop w:val="100"/>
          <w:marBottom w:val="0"/>
          <w:divBdr>
            <w:top w:val="none" w:sz="0" w:space="0" w:color="auto"/>
            <w:left w:val="none" w:sz="0" w:space="0" w:color="auto"/>
            <w:bottom w:val="none" w:sz="0" w:space="0" w:color="auto"/>
            <w:right w:val="none" w:sz="0" w:space="0" w:color="auto"/>
          </w:divBdr>
        </w:div>
      </w:divsChild>
    </w:div>
    <w:div w:id="2028292505">
      <w:bodyDiv w:val="1"/>
      <w:marLeft w:val="0"/>
      <w:marRight w:val="0"/>
      <w:marTop w:val="0"/>
      <w:marBottom w:val="0"/>
      <w:divBdr>
        <w:top w:val="none" w:sz="0" w:space="0" w:color="auto"/>
        <w:left w:val="none" w:sz="0" w:space="0" w:color="auto"/>
        <w:bottom w:val="none" w:sz="0" w:space="0" w:color="auto"/>
        <w:right w:val="none" w:sz="0" w:space="0" w:color="auto"/>
      </w:divBdr>
      <w:divsChild>
        <w:div w:id="1565525894">
          <w:marLeft w:val="1080"/>
          <w:marRight w:val="0"/>
          <w:marTop w:val="100"/>
          <w:marBottom w:val="0"/>
          <w:divBdr>
            <w:top w:val="none" w:sz="0" w:space="0" w:color="auto"/>
            <w:left w:val="none" w:sz="0" w:space="0" w:color="auto"/>
            <w:bottom w:val="none" w:sz="0" w:space="0" w:color="auto"/>
            <w:right w:val="none" w:sz="0" w:space="0" w:color="auto"/>
          </w:divBdr>
        </w:div>
        <w:div w:id="1390298715">
          <w:marLeft w:val="1800"/>
          <w:marRight w:val="0"/>
          <w:marTop w:val="100"/>
          <w:marBottom w:val="0"/>
          <w:divBdr>
            <w:top w:val="none" w:sz="0" w:space="0" w:color="auto"/>
            <w:left w:val="none" w:sz="0" w:space="0" w:color="auto"/>
            <w:bottom w:val="none" w:sz="0" w:space="0" w:color="auto"/>
            <w:right w:val="none" w:sz="0" w:space="0" w:color="auto"/>
          </w:divBdr>
        </w:div>
        <w:div w:id="47537749">
          <w:marLeft w:val="2520"/>
          <w:marRight w:val="0"/>
          <w:marTop w:val="100"/>
          <w:marBottom w:val="0"/>
          <w:divBdr>
            <w:top w:val="none" w:sz="0" w:space="0" w:color="auto"/>
            <w:left w:val="none" w:sz="0" w:space="0" w:color="auto"/>
            <w:bottom w:val="none" w:sz="0" w:space="0" w:color="auto"/>
            <w:right w:val="none" w:sz="0" w:space="0" w:color="auto"/>
          </w:divBdr>
        </w:div>
        <w:div w:id="828521646">
          <w:marLeft w:val="2520"/>
          <w:marRight w:val="0"/>
          <w:marTop w:val="100"/>
          <w:marBottom w:val="0"/>
          <w:divBdr>
            <w:top w:val="none" w:sz="0" w:space="0" w:color="auto"/>
            <w:left w:val="none" w:sz="0" w:space="0" w:color="auto"/>
            <w:bottom w:val="none" w:sz="0" w:space="0" w:color="auto"/>
            <w:right w:val="none" w:sz="0" w:space="0" w:color="auto"/>
          </w:divBdr>
        </w:div>
        <w:div w:id="494103505">
          <w:marLeft w:val="1800"/>
          <w:marRight w:val="0"/>
          <w:marTop w:val="100"/>
          <w:marBottom w:val="0"/>
          <w:divBdr>
            <w:top w:val="none" w:sz="0" w:space="0" w:color="auto"/>
            <w:left w:val="none" w:sz="0" w:space="0" w:color="auto"/>
            <w:bottom w:val="none" w:sz="0" w:space="0" w:color="auto"/>
            <w:right w:val="none" w:sz="0" w:space="0" w:color="auto"/>
          </w:divBdr>
        </w:div>
        <w:div w:id="713310323">
          <w:marLeft w:val="2520"/>
          <w:marRight w:val="0"/>
          <w:marTop w:val="100"/>
          <w:marBottom w:val="0"/>
          <w:divBdr>
            <w:top w:val="none" w:sz="0" w:space="0" w:color="auto"/>
            <w:left w:val="none" w:sz="0" w:space="0" w:color="auto"/>
            <w:bottom w:val="none" w:sz="0" w:space="0" w:color="auto"/>
            <w:right w:val="none" w:sz="0" w:space="0" w:color="auto"/>
          </w:divBdr>
        </w:div>
        <w:div w:id="329407331">
          <w:marLeft w:val="2520"/>
          <w:marRight w:val="0"/>
          <w:marTop w:val="100"/>
          <w:marBottom w:val="0"/>
          <w:divBdr>
            <w:top w:val="none" w:sz="0" w:space="0" w:color="auto"/>
            <w:left w:val="none" w:sz="0" w:space="0" w:color="auto"/>
            <w:bottom w:val="none" w:sz="0" w:space="0" w:color="auto"/>
            <w:right w:val="none" w:sz="0" w:space="0" w:color="auto"/>
          </w:divBdr>
        </w:div>
        <w:div w:id="941187811">
          <w:marLeft w:val="1800"/>
          <w:marRight w:val="0"/>
          <w:marTop w:val="100"/>
          <w:marBottom w:val="0"/>
          <w:divBdr>
            <w:top w:val="none" w:sz="0" w:space="0" w:color="auto"/>
            <w:left w:val="none" w:sz="0" w:space="0" w:color="auto"/>
            <w:bottom w:val="none" w:sz="0" w:space="0" w:color="auto"/>
            <w:right w:val="none" w:sz="0" w:space="0" w:color="auto"/>
          </w:divBdr>
        </w:div>
        <w:div w:id="1360857468">
          <w:marLeft w:val="2520"/>
          <w:marRight w:val="0"/>
          <w:marTop w:val="100"/>
          <w:marBottom w:val="0"/>
          <w:divBdr>
            <w:top w:val="none" w:sz="0" w:space="0" w:color="auto"/>
            <w:left w:val="none" w:sz="0" w:space="0" w:color="auto"/>
            <w:bottom w:val="none" w:sz="0" w:space="0" w:color="auto"/>
            <w:right w:val="none" w:sz="0" w:space="0" w:color="auto"/>
          </w:divBdr>
        </w:div>
        <w:div w:id="1996906529">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523</TotalTime>
  <Pages>3</Pages>
  <Words>1159</Words>
  <Characters>6608</Characters>
  <Application>Microsoft Office Word</Application>
  <DocSecurity>0</DocSecurity>
  <Lines>55</Lines>
  <Paragraphs>15</Paragraphs>
  <ScaleCrop>false</ScaleCrop>
  <Company>HUAWEI</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2019-09-18T02:52:00Z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(3)T/t9SyT20vD7ydl5WcknKq7KgLYJL2seJqJQq2E+GAsG/vmQ/Xwupc9+0Y8YcbWLILmoJdhx
VDHrSyLtpqYcfQZSBOHmSfAJBID0WGQxOpKvOux72Hft1M7mrH5RNuTWnBet+/VQmexWOEt/
JHG+gtcBC1DjoW0ztUmxBK4C2Zz5cQfr5Wcd8mMGLJ4BHLvzl9O3//PJ1Ff4QCnjoHyb8Ci0
AtaFP5kWZY/1enfL6G</vt:lpwstr>
  </property>
  <property fmtid="{D5CDD505-2E9C-101B-9397-08002B2CF9AE}" pid="3" name="_2015_ms_pID_7253431">
    <vt:lpwstr>jhlM/Bfs1Qn9yH2QuPGbPyyflSCZoJdglUKZvxxx6ZuY8soSt8rVvT
g3xwtEhbik0OIjB2Hrej7MFcNtSFYqDSXz3uLLo7VuSaBVRhJn2uG1g2fs+9ITJbOi32JZRH
SLrQ96yKFIYW3iXqBW5Fg0dNqVv49TF9jDiYj6pDOPB8cFLiq9m17nzZ3Dh6m3Tnm/zz+Ktw
yBGAIe02NTKm899Qu4sZiKwlxHAmo3ItK9Ou</vt:lpwstr>
  </property>
  <property fmtid="{D5CDD505-2E9C-101B-9397-08002B2CF9AE}" pid="4" name="_2015_ms_pID_7253432">
    <vt:lpwstr>gQ==</vt:lpwstr>
  </property>
</Properties>
</file>