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9FB3" w14:textId="774B7F82"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520D7">
        <w:rPr>
          <w:b/>
          <w:noProof/>
          <w:sz w:val="24"/>
        </w:rPr>
        <w:t>9</w:t>
      </w:r>
      <w:r w:rsidR="00FB388A">
        <w:rPr>
          <w:b/>
          <w:noProof/>
          <w:sz w:val="24"/>
        </w:rPr>
        <w:t>3</w:t>
      </w:r>
      <w:r w:rsidR="00DC5180" w:rsidRPr="0033027D">
        <w:rPr>
          <w:b/>
          <w:noProof/>
          <w:sz w:val="24"/>
        </w:rPr>
        <w:tab/>
      </w:r>
      <w:r w:rsidR="00414CE5" w:rsidRPr="00414CE5">
        <w:rPr>
          <w:b/>
          <w:noProof/>
          <w:sz w:val="24"/>
        </w:rPr>
        <w:t>R4-191</w:t>
      </w:r>
      <w:r w:rsidR="003C55EB">
        <w:rPr>
          <w:b/>
          <w:noProof/>
          <w:sz w:val="24"/>
        </w:rPr>
        <w:t>3146</w:t>
      </w:r>
    </w:p>
    <w:p w14:paraId="45306A79" w14:textId="77777777" w:rsidR="00D81C65" w:rsidRDefault="001B4872" w:rsidP="00DC5180">
      <w:pPr>
        <w:spacing w:after="60"/>
        <w:ind w:left="1985" w:hanging="1985"/>
        <w:rPr>
          <w:rFonts w:ascii="Arial" w:hAnsi="Arial" w:cs="Arial"/>
          <w:b/>
          <w:sz w:val="24"/>
        </w:rPr>
      </w:pPr>
      <w:r>
        <w:rPr>
          <w:rFonts w:ascii="Arial" w:hAnsi="Arial" w:cs="Arial"/>
          <w:b/>
          <w:sz w:val="24"/>
        </w:rPr>
        <w:t>Reno</w:t>
      </w:r>
      <w:r w:rsidR="001512D7" w:rsidRPr="001512D7">
        <w:rPr>
          <w:rFonts w:ascii="Arial" w:hAnsi="Arial" w:cs="Arial"/>
          <w:b/>
          <w:sz w:val="24"/>
        </w:rPr>
        <w:t xml:space="preserve">, </w:t>
      </w:r>
      <w:r>
        <w:rPr>
          <w:rFonts w:ascii="Arial" w:hAnsi="Arial" w:cs="Arial"/>
          <w:b/>
          <w:sz w:val="24"/>
        </w:rPr>
        <w:t>NV, USA</w:t>
      </w:r>
      <w:r w:rsidR="001512D7" w:rsidRPr="001512D7">
        <w:rPr>
          <w:rFonts w:ascii="Arial" w:hAnsi="Arial" w:cs="Arial"/>
          <w:b/>
          <w:sz w:val="24"/>
        </w:rPr>
        <w:t xml:space="preserve">, </w:t>
      </w:r>
      <w:r>
        <w:rPr>
          <w:rFonts w:ascii="Arial" w:hAnsi="Arial" w:cs="Arial"/>
          <w:b/>
          <w:sz w:val="24"/>
        </w:rPr>
        <w:t>18-22 Nov</w:t>
      </w:r>
      <w:r w:rsidR="001512D7" w:rsidRPr="001512D7">
        <w:rPr>
          <w:rFonts w:ascii="Arial" w:hAnsi="Arial" w:cs="Arial"/>
          <w:b/>
          <w:sz w:val="24"/>
        </w:rPr>
        <w:t xml:space="preserve"> 2019</w:t>
      </w:r>
    </w:p>
    <w:p w14:paraId="6D7172A1" w14:textId="77777777" w:rsidR="001512D7" w:rsidRPr="0010618D" w:rsidRDefault="001512D7" w:rsidP="00DC5180">
      <w:pPr>
        <w:spacing w:after="60"/>
        <w:ind w:left="1985" w:hanging="1985"/>
        <w:rPr>
          <w:rFonts w:ascii="Arial" w:hAnsi="Arial" w:cs="Arial"/>
          <w:bCs/>
        </w:rPr>
      </w:pPr>
    </w:p>
    <w:p w14:paraId="3447800D" w14:textId="509EE543"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CA3A48">
        <w:rPr>
          <w:rFonts w:ascii="Arial" w:hAnsi="Arial" w:cs="Arial"/>
          <w:b/>
        </w:rPr>
        <w:t>On Improvement of Spherical Coverage for PC3</w:t>
      </w:r>
    </w:p>
    <w:p w14:paraId="36084C6A" w14:textId="77777777" w:rsidR="0010618D" w:rsidRPr="005E4466" w:rsidRDefault="0010618D" w:rsidP="0010618D">
      <w:pPr>
        <w:spacing w:after="60"/>
        <w:ind w:left="1985" w:hanging="1985"/>
        <w:rPr>
          <w:rFonts w:ascii="Arial" w:hAnsi="Arial" w:cs="Arial"/>
          <w:b/>
        </w:rPr>
      </w:pPr>
    </w:p>
    <w:p w14:paraId="7768423D"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5C22627" w14:textId="77777777" w:rsidR="0010618D" w:rsidRPr="005E4466" w:rsidRDefault="0010618D" w:rsidP="000F7ECB">
      <w:pPr>
        <w:spacing w:after="60"/>
        <w:ind w:left="1985" w:hanging="1985"/>
        <w:rPr>
          <w:rFonts w:ascii="Arial" w:hAnsi="Arial" w:cs="Arial"/>
          <w:b/>
        </w:rPr>
      </w:pPr>
    </w:p>
    <w:p w14:paraId="343E9A15" w14:textId="474266EA"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A3A48">
        <w:rPr>
          <w:rFonts w:ascii="Arial" w:hAnsi="Arial" w:cs="Arial"/>
          <w:b/>
        </w:rPr>
        <w:t>9.14.10</w:t>
      </w:r>
    </w:p>
    <w:p w14:paraId="60A9F177"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1512D7">
        <w:rPr>
          <w:rFonts w:ascii="Arial" w:hAnsi="Arial" w:cs="Arial"/>
          <w:b/>
        </w:rPr>
        <w:t>6</w:t>
      </w:r>
    </w:p>
    <w:p w14:paraId="72A15A43" w14:textId="01D98B7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240F55" w:rsidRPr="00240F55">
        <w:rPr>
          <w:rFonts w:ascii="Arial" w:hAnsi="Arial" w:cs="Arial"/>
          <w:b/>
          <w:bCs/>
          <w:sz w:val="21"/>
          <w:szCs w:val="21"/>
          <w:lang w:eastAsia="ja-JP"/>
        </w:rPr>
        <w:t>NR_RF_FR</w:t>
      </w:r>
      <w:r w:rsidR="00240F55" w:rsidRPr="00240F55">
        <w:rPr>
          <w:rFonts w:ascii="Arial" w:hAnsi="Arial" w:cs="Arial" w:hint="eastAsia"/>
          <w:b/>
          <w:bCs/>
          <w:sz w:val="21"/>
          <w:szCs w:val="21"/>
          <w:lang w:eastAsia="ja-JP"/>
        </w:rPr>
        <w:t>2_req_enh</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50D0738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6D720F">
        <w:rPr>
          <w:rFonts w:ascii="Arial" w:hAnsi="Arial" w:cs="Arial"/>
          <w:b/>
        </w:rPr>
        <w:t>Approval</w:t>
      </w:r>
    </w:p>
    <w:p w14:paraId="2DDB0AFE" w14:textId="77777777" w:rsidR="00222D66" w:rsidRDefault="00222D66" w:rsidP="000F7ECB">
      <w:pPr>
        <w:spacing w:after="60"/>
        <w:ind w:left="1985" w:hanging="1985"/>
        <w:rPr>
          <w:rFonts w:ascii="Arial" w:hAnsi="Arial" w:cs="Arial"/>
          <w:bCs/>
        </w:rPr>
      </w:pPr>
    </w:p>
    <w:p w14:paraId="47416D2B" w14:textId="77777777" w:rsidR="0045428D" w:rsidRDefault="000A567D" w:rsidP="002A1C01">
      <w:pPr>
        <w:pStyle w:val="Heading1"/>
      </w:pPr>
      <w:r>
        <w:t>1.</w:t>
      </w:r>
      <w:r>
        <w:tab/>
      </w:r>
      <w:r w:rsidR="002A1C01">
        <w:t>Introduction</w:t>
      </w:r>
    </w:p>
    <w:p w14:paraId="75B53C6C" w14:textId="5F150426" w:rsidR="003461A5" w:rsidRDefault="002F0FC5" w:rsidP="00CA3A48">
      <w:r w:rsidRPr="002F0FC5">
        <w:rPr>
          <w:lang w:eastAsia="en-US"/>
        </w:rPr>
        <w:t xml:space="preserve">For rel. 16, the intent of </w:t>
      </w:r>
      <w:r w:rsidR="004D01C2">
        <w:rPr>
          <w:lang w:eastAsia="en-US"/>
        </w:rPr>
        <w:t xml:space="preserve">the </w:t>
      </w:r>
      <w:r w:rsidRPr="002F0FC5">
        <w:rPr>
          <w:lang w:eastAsia="en-US"/>
        </w:rPr>
        <w:t xml:space="preserve">FR2 WID (see annex) is to </w:t>
      </w:r>
      <w:r w:rsidR="00CA3A48">
        <w:rPr>
          <w:lang w:eastAsia="en-US"/>
        </w:rPr>
        <w:t>study if spherical coverage requirements can be specified at a lower percentile point in the spherical coverage CDF of the UE</w:t>
      </w:r>
      <w:r w:rsidR="0066674C">
        <w:t>.</w:t>
      </w:r>
      <w:r w:rsidR="00CA3A48">
        <w:t xml:space="preserve"> This item has since morphed into an effort to improve the spherical coverage of the FR2 UE. We however recognize that this change only serves to improve network performance, which we support in principle.</w:t>
      </w:r>
    </w:p>
    <w:p w14:paraId="4BE6D8DE" w14:textId="625D3505" w:rsidR="00CA3A48" w:rsidRDefault="00CA3A48" w:rsidP="00CA3A48">
      <w:r>
        <w:t xml:space="preserve">In this contribution we </w:t>
      </w:r>
      <w:r w:rsidR="00B97463">
        <w:t xml:space="preserve">share our view on </w:t>
      </w:r>
      <w:r w:rsidR="001E3110">
        <w:t xml:space="preserve">possible </w:t>
      </w:r>
      <w:r w:rsidR="00B97463">
        <w:t xml:space="preserve">direction </w:t>
      </w:r>
      <w:r w:rsidR="001E3110">
        <w:t>for</w:t>
      </w:r>
      <w:r w:rsidR="00B97463">
        <w:t xml:space="preserve"> </w:t>
      </w:r>
      <w:r w:rsidR="0088756B">
        <w:t>spherical coverage enhancement for rel-16.</w:t>
      </w:r>
    </w:p>
    <w:p w14:paraId="44DBE9FA" w14:textId="77777777" w:rsidR="00EF60CC" w:rsidRDefault="000A567D" w:rsidP="00EF60CC">
      <w:pPr>
        <w:pStyle w:val="Heading1"/>
      </w:pPr>
      <w:r>
        <w:t xml:space="preserve">2. </w:t>
      </w:r>
      <w:r>
        <w:tab/>
      </w:r>
      <w:r w:rsidR="002A1C01">
        <w:t>Discussion</w:t>
      </w:r>
    </w:p>
    <w:p w14:paraId="40621953" w14:textId="08C2005A" w:rsidR="00D5246F" w:rsidRPr="003461A5" w:rsidRDefault="00CA3A48" w:rsidP="0066674C">
      <w:pPr>
        <w:rPr>
          <w:lang w:eastAsia="en-US"/>
        </w:rPr>
      </w:pPr>
      <w:r>
        <w:rPr>
          <w:lang w:eastAsia="en-US"/>
        </w:rPr>
        <w:t>The letter of the WID informs that the initial goal chalked out for RAN4 was to merely specify spherical coverage of the PC3 UE</w:t>
      </w:r>
      <w:r w:rsidR="00CE6916">
        <w:rPr>
          <w:lang w:eastAsia="en-US"/>
        </w:rPr>
        <w:t xml:space="preserve"> </w:t>
      </w:r>
      <w:r>
        <w:rPr>
          <w:lang w:eastAsia="en-US"/>
        </w:rPr>
        <w:t xml:space="preserve">at a lower percentile point than </w:t>
      </w:r>
      <w:r w:rsidR="00642F51">
        <w:rPr>
          <w:lang w:eastAsia="en-US"/>
        </w:rPr>
        <w:t>the 50</w:t>
      </w:r>
      <w:r w:rsidR="00642F51" w:rsidRPr="00642F51">
        <w:rPr>
          <w:vertAlign w:val="superscript"/>
          <w:lang w:eastAsia="en-US"/>
        </w:rPr>
        <w:t>th</w:t>
      </w:r>
      <w:r>
        <w:rPr>
          <w:lang w:eastAsia="en-US"/>
        </w:rPr>
        <w:t xml:space="preserve">, in the spherical coverage CDF of the UE. </w:t>
      </w:r>
      <w:r w:rsidR="003C1F38">
        <w:rPr>
          <w:lang w:eastAsia="en-US"/>
        </w:rPr>
        <w:t>Some</w:t>
      </w:r>
      <w:r>
        <w:rPr>
          <w:lang w:eastAsia="en-US"/>
        </w:rPr>
        <w:t xml:space="preserve"> contributions have proposed</w:t>
      </w:r>
      <w:r w:rsidR="00642F51">
        <w:rPr>
          <w:lang w:eastAsia="en-US"/>
        </w:rPr>
        <w:t xml:space="preserve"> also</w:t>
      </w:r>
      <w:r>
        <w:rPr>
          <w:lang w:eastAsia="en-US"/>
        </w:rPr>
        <w:t xml:space="preserve"> enhancing spherical coverage [1], [2], rather than maintain a narrow focus on the WID directive. </w:t>
      </w:r>
      <w:r w:rsidR="00A87B08">
        <w:rPr>
          <w:lang w:eastAsia="en-US"/>
        </w:rPr>
        <w:t xml:space="preserve">We discuss </w:t>
      </w:r>
      <w:r w:rsidR="001E3110">
        <w:rPr>
          <w:lang w:eastAsia="en-US"/>
        </w:rPr>
        <w:t>how</w:t>
      </w:r>
      <w:r w:rsidR="00A87B08">
        <w:rPr>
          <w:lang w:eastAsia="en-US"/>
        </w:rPr>
        <w:t xml:space="preserve"> enhanced s</w:t>
      </w:r>
      <w:r w:rsidR="00A72135">
        <w:rPr>
          <w:lang w:eastAsia="en-US"/>
        </w:rPr>
        <w:t>pherical coverage</w:t>
      </w:r>
      <w:r w:rsidR="001E3110">
        <w:rPr>
          <w:lang w:eastAsia="en-US"/>
        </w:rPr>
        <w:t xml:space="preserve"> could be specified, and identify some avenues to implement enhancement</w:t>
      </w:r>
      <w:r w:rsidR="00AB1027">
        <w:rPr>
          <w:lang w:eastAsia="en-US"/>
        </w:rPr>
        <w:t>.</w:t>
      </w:r>
    </w:p>
    <w:p w14:paraId="64507953" w14:textId="1A93BE2B" w:rsidR="003461A5" w:rsidRPr="003461A5" w:rsidRDefault="003461A5" w:rsidP="003461A5">
      <w:pPr>
        <w:pStyle w:val="Heading2"/>
        <w:rPr>
          <w:lang w:eastAsia="en-US"/>
        </w:rPr>
      </w:pPr>
      <w:r>
        <w:rPr>
          <w:lang w:eastAsia="en-US"/>
        </w:rPr>
        <w:t>2.1</w:t>
      </w:r>
      <w:r w:rsidR="006838F6">
        <w:rPr>
          <w:lang w:eastAsia="en-US"/>
        </w:rPr>
        <w:tab/>
      </w:r>
      <w:r w:rsidR="00B259C1">
        <w:rPr>
          <w:lang w:eastAsia="en-US"/>
        </w:rPr>
        <w:t>Spherical Coverage Specification</w:t>
      </w:r>
    </w:p>
    <w:p w14:paraId="2E20FB96" w14:textId="771277BD" w:rsidR="00050DE1" w:rsidRDefault="00CE6916" w:rsidP="005F023D">
      <w:pPr>
        <w:rPr>
          <w:lang w:eastAsia="en-US"/>
        </w:rPr>
      </w:pPr>
      <w:r>
        <w:rPr>
          <w:lang w:eastAsia="en-US"/>
        </w:rPr>
        <w:t xml:space="preserve">In </w:t>
      </w:r>
      <w:r w:rsidR="00B259C1">
        <w:rPr>
          <w:lang w:eastAsia="en-US"/>
        </w:rPr>
        <w:t xml:space="preserve">figure 2.1, we show the </w:t>
      </w:r>
      <w:r w:rsidR="00254F74">
        <w:rPr>
          <w:lang w:eastAsia="en-US"/>
        </w:rPr>
        <w:t xml:space="preserve">antenna gain </w:t>
      </w:r>
      <w:r w:rsidR="00B259C1">
        <w:rPr>
          <w:lang w:eastAsia="en-US"/>
        </w:rPr>
        <w:t>spherical coverage CDF</w:t>
      </w:r>
      <w:r w:rsidR="00E4525A">
        <w:rPr>
          <w:lang w:eastAsia="en-US"/>
        </w:rPr>
        <w:t>s</w:t>
      </w:r>
      <w:r w:rsidR="00B259C1">
        <w:rPr>
          <w:lang w:eastAsia="en-US"/>
        </w:rPr>
        <w:t xml:space="preserve"> of an example UE with multiple antenna arrays. The </w:t>
      </w:r>
      <w:r w:rsidR="0003097A">
        <w:rPr>
          <w:lang w:eastAsia="en-US"/>
        </w:rPr>
        <w:t xml:space="preserve">CDFs are calculated </w:t>
      </w:r>
      <w:r w:rsidR="00193FEC">
        <w:rPr>
          <w:lang w:eastAsia="en-US"/>
        </w:rPr>
        <w:t>for different</w:t>
      </w:r>
      <w:r w:rsidR="00E4525A">
        <w:rPr>
          <w:lang w:eastAsia="en-US"/>
        </w:rPr>
        <w:t xml:space="preserve"> </w:t>
      </w:r>
      <w:r w:rsidR="001E3110">
        <w:rPr>
          <w:lang w:eastAsia="en-US"/>
        </w:rPr>
        <w:t>cases, corresponding to different</w:t>
      </w:r>
      <w:r w:rsidR="009C4F78">
        <w:rPr>
          <w:lang w:eastAsia="en-US"/>
        </w:rPr>
        <w:t xml:space="preserve"> </w:t>
      </w:r>
      <w:r w:rsidR="008403F9">
        <w:rPr>
          <w:lang w:eastAsia="en-US"/>
        </w:rPr>
        <w:t>number</w:t>
      </w:r>
      <w:r w:rsidR="00E4525A">
        <w:rPr>
          <w:lang w:eastAsia="en-US"/>
        </w:rPr>
        <w:t xml:space="preserve"> of discrete </w:t>
      </w:r>
      <w:r w:rsidR="004A1075">
        <w:rPr>
          <w:lang w:eastAsia="en-US"/>
        </w:rPr>
        <w:t xml:space="preserve">refined </w:t>
      </w:r>
      <w:r w:rsidR="00E4525A">
        <w:rPr>
          <w:lang w:eastAsia="en-US"/>
        </w:rPr>
        <w:t>beams available for each antenna array</w:t>
      </w:r>
      <w:r w:rsidR="008403F9">
        <w:rPr>
          <w:lang w:eastAsia="en-US"/>
        </w:rPr>
        <w:t xml:space="preserve"> (codebook size)</w:t>
      </w:r>
      <w:r w:rsidR="00E4525A">
        <w:rPr>
          <w:lang w:eastAsia="en-US"/>
        </w:rPr>
        <w:t>.</w:t>
      </w:r>
    </w:p>
    <w:p w14:paraId="41CE2C36" w14:textId="7FFBC8FA" w:rsidR="00E4525A" w:rsidRDefault="0075700D" w:rsidP="0075700D">
      <w:pPr>
        <w:jc w:val="center"/>
        <w:rPr>
          <w:lang w:eastAsia="en-US"/>
        </w:rPr>
      </w:pPr>
      <w:r w:rsidRPr="0075700D">
        <w:rPr>
          <w:noProof/>
          <w:lang w:eastAsia="en-US"/>
        </w:rPr>
        <w:drawing>
          <wp:inline distT="0" distB="0" distL="0" distR="0" wp14:anchorId="068003F4" wp14:editId="61C93B7B">
            <wp:extent cx="3200400" cy="2400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00400" cy="2400300"/>
                    </a:xfrm>
                    <a:prstGeom prst="rect">
                      <a:avLst/>
                    </a:prstGeom>
                  </pic:spPr>
                </pic:pic>
              </a:graphicData>
            </a:graphic>
          </wp:inline>
        </w:drawing>
      </w:r>
    </w:p>
    <w:p w14:paraId="795A2337" w14:textId="2C6ADDC0" w:rsidR="0075700D" w:rsidRDefault="0075700D" w:rsidP="0075700D">
      <w:pPr>
        <w:jc w:val="center"/>
        <w:rPr>
          <w:lang w:eastAsia="en-US"/>
        </w:rPr>
      </w:pPr>
      <w:r>
        <w:rPr>
          <w:lang w:eastAsia="en-US"/>
        </w:rPr>
        <w:lastRenderedPageBreak/>
        <w:t xml:space="preserve">Figure 2.1-1: </w:t>
      </w:r>
      <w:r w:rsidR="00246BDF">
        <w:rPr>
          <w:lang w:eastAsia="en-US"/>
        </w:rPr>
        <w:t xml:space="preserve">Spherical coverage CDF with </w:t>
      </w:r>
      <w:r w:rsidR="004A1075">
        <w:rPr>
          <w:lang w:eastAsia="en-US"/>
        </w:rPr>
        <w:t>limitation on refined beam choices</w:t>
      </w:r>
    </w:p>
    <w:p w14:paraId="0B95F107" w14:textId="1B6EABBD" w:rsidR="00E4525A" w:rsidRDefault="00E4525A" w:rsidP="005F023D">
      <w:pPr>
        <w:rPr>
          <w:lang w:eastAsia="en-US"/>
        </w:rPr>
      </w:pPr>
      <w:r>
        <w:rPr>
          <w:lang w:eastAsia="en-US"/>
        </w:rPr>
        <w:t xml:space="preserve">Even with this extreme example, it is evident that there is </w:t>
      </w:r>
      <w:r w:rsidR="00081EA7">
        <w:rPr>
          <w:lang w:eastAsia="en-US"/>
        </w:rPr>
        <w:t xml:space="preserve">strong </w:t>
      </w:r>
      <w:r>
        <w:rPr>
          <w:lang w:eastAsia="en-US"/>
        </w:rPr>
        <w:t>correlation between the spherical coverage CDF</w:t>
      </w:r>
      <w:r w:rsidR="00081EA7">
        <w:rPr>
          <w:lang w:eastAsia="en-US"/>
        </w:rPr>
        <w:t xml:space="preserve"> values</w:t>
      </w:r>
      <w:r>
        <w:rPr>
          <w:lang w:eastAsia="en-US"/>
        </w:rPr>
        <w:t xml:space="preserve"> at the 20</w:t>
      </w:r>
      <w:r w:rsidRPr="00E4525A">
        <w:rPr>
          <w:vertAlign w:val="superscript"/>
          <w:lang w:eastAsia="en-US"/>
        </w:rPr>
        <w:t>th</w:t>
      </w:r>
      <w:r w:rsidR="00081EA7">
        <w:rPr>
          <w:lang w:eastAsia="en-US"/>
        </w:rPr>
        <w:t xml:space="preserve"> and 50</w:t>
      </w:r>
      <w:r w:rsidR="00081EA7" w:rsidRPr="00AD4E84">
        <w:rPr>
          <w:vertAlign w:val="superscript"/>
          <w:lang w:eastAsia="en-US"/>
        </w:rPr>
        <w:t>th</w:t>
      </w:r>
      <w:r>
        <w:rPr>
          <w:lang w:eastAsia="en-US"/>
        </w:rPr>
        <w:t>%ile direction</w:t>
      </w:r>
      <w:r w:rsidR="00AD4E84">
        <w:rPr>
          <w:lang w:eastAsia="en-US"/>
        </w:rPr>
        <w:t>s</w:t>
      </w:r>
      <w:r w:rsidR="005B6B97">
        <w:rPr>
          <w:lang w:eastAsia="en-US"/>
        </w:rPr>
        <w:t>, respectively</w:t>
      </w:r>
      <w:r w:rsidR="00AD4E84">
        <w:rPr>
          <w:lang w:eastAsia="en-US"/>
        </w:rPr>
        <w:t>.</w:t>
      </w:r>
      <w:r w:rsidR="00081EA7">
        <w:rPr>
          <w:lang w:eastAsia="en-US"/>
        </w:rPr>
        <w:t xml:space="preserve"> </w:t>
      </w:r>
      <w:r w:rsidR="00DF014A">
        <w:rPr>
          <w:lang w:eastAsia="en-US"/>
        </w:rPr>
        <w:t xml:space="preserve">The relationship is </w:t>
      </w:r>
      <w:r w:rsidR="00417134">
        <w:rPr>
          <w:lang w:eastAsia="en-US"/>
        </w:rPr>
        <w:t xml:space="preserve">especially </w:t>
      </w:r>
      <w:r w:rsidR="00DF014A">
        <w:rPr>
          <w:lang w:eastAsia="en-US"/>
        </w:rPr>
        <w:t xml:space="preserve">consistent </w:t>
      </w:r>
      <w:r w:rsidR="00417134">
        <w:rPr>
          <w:lang w:eastAsia="en-US"/>
        </w:rPr>
        <w:t xml:space="preserve">for the non-trivial cases (&gt;1 beam). </w:t>
      </w:r>
      <w:r w:rsidR="0070538D">
        <w:rPr>
          <w:lang w:eastAsia="en-US"/>
        </w:rPr>
        <w:t xml:space="preserve">Acknowledging this </w:t>
      </w:r>
      <w:r w:rsidR="00E7044C">
        <w:rPr>
          <w:lang w:eastAsia="en-US"/>
        </w:rPr>
        <w:t>correlation,</w:t>
      </w:r>
      <w:r w:rsidR="0070538D">
        <w:rPr>
          <w:lang w:eastAsia="en-US"/>
        </w:rPr>
        <w:t xml:space="preserve"> we propose:</w:t>
      </w:r>
    </w:p>
    <w:p w14:paraId="55F4846C" w14:textId="574B69F9" w:rsidR="0070538D" w:rsidRPr="008367AF" w:rsidRDefault="004D29E7" w:rsidP="0070538D">
      <w:pPr>
        <w:rPr>
          <w:b/>
          <w:bCs/>
          <w:lang w:eastAsia="en-US"/>
        </w:rPr>
      </w:pPr>
      <w:r w:rsidRPr="00C31B96">
        <w:rPr>
          <w:b/>
          <w:bCs/>
          <w:lang w:eastAsia="en-US"/>
        </w:rPr>
        <w:t>Observation</w:t>
      </w:r>
      <w:r>
        <w:rPr>
          <w:b/>
          <w:bCs/>
          <w:lang w:eastAsia="en-US"/>
        </w:rPr>
        <w:t xml:space="preserve"> </w:t>
      </w:r>
      <w:r w:rsidR="00DA7088" w:rsidRPr="008367AF">
        <w:rPr>
          <w:b/>
          <w:bCs/>
          <w:lang w:eastAsia="en-US"/>
        </w:rPr>
        <w:t xml:space="preserve">1: </w:t>
      </w:r>
      <w:r>
        <w:rPr>
          <w:b/>
          <w:bCs/>
          <w:lang w:eastAsia="en-US"/>
        </w:rPr>
        <w:t>S</w:t>
      </w:r>
      <w:r w:rsidR="00373653" w:rsidRPr="008367AF">
        <w:rPr>
          <w:b/>
          <w:bCs/>
          <w:lang w:eastAsia="en-US"/>
        </w:rPr>
        <w:t xml:space="preserve">pherical coverage </w:t>
      </w:r>
      <w:r w:rsidR="00E7044C" w:rsidRPr="008367AF">
        <w:rPr>
          <w:b/>
          <w:bCs/>
          <w:lang w:eastAsia="en-US"/>
        </w:rPr>
        <w:t xml:space="preserve">specification </w:t>
      </w:r>
      <w:r>
        <w:rPr>
          <w:b/>
          <w:bCs/>
          <w:lang w:eastAsia="en-US"/>
        </w:rPr>
        <w:t>can</w:t>
      </w:r>
      <w:r w:rsidR="00E7044C" w:rsidRPr="008367AF">
        <w:rPr>
          <w:b/>
          <w:bCs/>
          <w:lang w:eastAsia="en-US"/>
        </w:rPr>
        <w:t xml:space="preserve"> be limited to </w:t>
      </w:r>
      <w:r w:rsidR="00373653" w:rsidRPr="008367AF">
        <w:rPr>
          <w:b/>
          <w:bCs/>
          <w:lang w:eastAsia="en-US"/>
        </w:rPr>
        <w:t>a</w:t>
      </w:r>
      <w:r w:rsidR="0070538D" w:rsidRPr="008367AF">
        <w:rPr>
          <w:b/>
          <w:bCs/>
          <w:lang w:eastAsia="en-US"/>
        </w:rPr>
        <w:t>ny one point on the CDF curve, rather than multiple points.</w:t>
      </w:r>
    </w:p>
    <w:p w14:paraId="766BC0B1" w14:textId="4AC259CA" w:rsidR="00036482" w:rsidRPr="003461A5" w:rsidRDefault="00036482" w:rsidP="00036482">
      <w:pPr>
        <w:pStyle w:val="Heading2"/>
        <w:rPr>
          <w:lang w:eastAsia="en-US"/>
        </w:rPr>
      </w:pPr>
      <w:r>
        <w:rPr>
          <w:lang w:eastAsia="en-US"/>
        </w:rPr>
        <w:t>2.2</w:t>
      </w:r>
      <w:r>
        <w:rPr>
          <w:lang w:eastAsia="en-US"/>
        </w:rPr>
        <w:tab/>
        <w:t xml:space="preserve">Spherical </w:t>
      </w:r>
      <w:r w:rsidR="00603C2B">
        <w:rPr>
          <w:lang w:eastAsia="en-US"/>
        </w:rPr>
        <w:t>c</w:t>
      </w:r>
      <w:r>
        <w:rPr>
          <w:lang w:eastAsia="en-US"/>
        </w:rPr>
        <w:t xml:space="preserve">overage </w:t>
      </w:r>
      <w:r w:rsidR="00603C2B">
        <w:rPr>
          <w:lang w:eastAsia="en-US"/>
        </w:rPr>
        <w:t>e</w:t>
      </w:r>
      <w:r>
        <w:rPr>
          <w:lang w:eastAsia="en-US"/>
        </w:rPr>
        <w:t>nhancement</w:t>
      </w:r>
    </w:p>
    <w:p w14:paraId="4454D054" w14:textId="1A8876B6" w:rsidR="00322E11" w:rsidRDefault="009054F2" w:rsidP="001E3110">
      <w:pPr>
        <w:rPr>
          <w:lang w:eastAsia="en-US"/>
        </w:rPr>
      </w:pPr>
      <w:r>
        <w:rPr>
          <w:lang w:eastAsia="en-US"/>
        </w:rPr>
        <w:t xml:space="preserve">In our studies leading up to rel-15, </w:t>
      </w:r>
      <w:r w:rsidR="00C65FC9">
        <w:rPr>
          <w:lang w:eastAsia="en-US"/>
        </w:rPr>
        <w:t xml:space="preserve">we simulated a network to investigate sensitivity to spherical coverage on system throughput. </w:t>
      </w:r>
      <w:r w:rsidR="00790952">
        <w:rPr>
          <w:lang w:eastAsia="en-US"/>
        </w:rPr>
        <w:t>Simulation assumptions and p</w:t>
      </w:r>
      <w:r w:rsidR="000B45CB">
        <w:rPr>
          <w:lang w:eastAsia="en-US"/>
        </w:rPr>
        <w:t>arts of these results w</w:t>
      </w:r>
      <w:r w:rsidR="00790952">
        <w:rPr>
          <w:lang w:eastAsia="en-US"/>
        </w:rPr>
        <w:t>ere</w:t>
      </w:r>
      <w:r w:rsidR="000B45CB">
        <w:rPr>
          <w:lang w:eastAsia="en-US"/>
        </w:rPr>
        <w:t xml:space="preserve"> shared in [</w:t>
      </w:r>
      <w:r w:rsidR="00364D5D">
        <w:rPr>
          <w:lang w:eastAsia="en-US"/>
        </w:rPr>
        <w:t>3</w:t>
      </w:r>
      <w:r w:rsidR="000B45CB">
        <w:rPr>
          <w:lang w:eastAsia="en-US"/>
        </w:rPr>
        <w:t>]</w:t>
      </w:r>
      <w:r w:rsidR="00F86A43">
        <w:rPr>
          <w:lang w:eastAsia="en-US"/>
        </w:rPr>
        <w:t xml:space="preserve">. </w:t>
      </w:r>
    </w:p>
    <w:p w14:paraId="4FC59E07" w14:textId="55F2CA49" w:rsidR="000E4C0A" w:rsidRDefault="00C624BB" w:rsidP="000E4C0A">
      <w:pPr>
        <w:rPr>
          <w:lang w:eastAsia="en-US"/>
        </w:rPr>
      </w:pPr>
      <w:r>
        <w:rPr>
          <w:lang w:eastAsia="en-US"/>
        </w:rPr>
        <w:t xml:space="preserve">The results are included in tables 2.2-1 and 2.2-2. </w:t>
      </w:r>
      <w:r w:rsidR="000E4C0A">
        <w:rPr>
          <w:lang w:eastAsia="en-US"/>
        </w:rPr>
        <w:t>The simulations investigated the effect</w:t>
      </w:r>
      <w:r w:rsidR="001E3110">
        <w:rPr>
          <w:lang w:eastAsia="en-US"/>
        </w:rPr>
        <w:t xml:space="preserve"> on UL throughput due to </w:t>
      </w:r>
      <w:r w:rsidR="000E4C0A">
        <w:rPr>
          <w:lang w:eastAsia="en-US"/>
        </w:rPr>
        <w:t>relaxations</w:t>
      </w:r>
      <w:r w:rsidR="00D74CA8">
        <w:rPr>
          <w:lang w:eastAsia="en-US"/>
        </w:rPr>
        <w:t xml:space="preserve"> to EIRP</w:t>
      </w:r>
      <w:r w:rsidR="000E4C0A">
        <w:rPr>
          <w:lang w:eastAsia="en-US"/>
        </w:rPr>
        <w:t xml:space="preserve">, but </w:t>
      </w:r>
      <w:r w:rsidR="006C3B8D">
        <w:rPr>
          <w:lang w:eastAsia="en-US"/>
        </w:rPr>
        <w:t>for small relaxations, the results can be</w:t>
      </w:r>
      <w:r w:rsidR="00F02B68">
        <w:rPr>
          <w:lang w:eastAsia="en-US"/>
        </w:rPr>
        <w:t xml:space="preserve"> </w:t>
      </w:r>
      <w:r w:rsidR="005366DB">
        <w:rPr>
          <w:lang w:eastAsia="en-US"/>
        </w:rPr>
        <w:t>‘</w:t>
      </w:r>
      <w:r w:rsidR="00F02B68">
        <w:rPr>
          <w:lang w:eastAsia="en-US"/>
        </w:rPr>
        <w:t>inverted</w:t>
      </w:r>
      <w:r w:rsidR="005366DB">
        <w:rPr>
          <w:lang w:eastAsia="en-US"/>
        </w:rPr>
        <w:t>’</w:t>
      </w:r>
      <w:r w:rsidR="006C3B8D">
        <w:rPr>
          <w:lang w:eastAsia="en-US"/>
        </w:rPr>
        <w:t xml:space="preserve"> to estimate throughput gains for </w:t>
      </w:r>
      <w:r w:rsidR="008F6372">
        <w:rPr>
          <w:lang w:eastAsia="en-US"/>
        </w:rPr>
        <w:t>improvements</w:t>
      </w:r>
      <w:r w:rsidR="006C3B8D">
        <w:rPr>
          <w:lang w:eastAsia="en-US"/>
        </w:rPr>
        <w:t xml:space="preserve"> in </w:t>
      </w:r>
      <w:r w:rsidR="002E35EE">
        <w:rPr>
          <w:lang w:eastAsia="en-US"/>
        </w:rPr>
        <w:t>EIRP.</w:t>
      </w:r>
    </w:p>
    <w:p w14:paraId="39354BDC" w14:textId="571900EB" w:rsidR="00593435" w:rsidRDefault="00593435" w:rsidP="00593435">
      <w:pPr>
        <w:pStyle w:val="Caption"/>
        <w:keepNext/>
        <w:jc w:val="center"/>
        <w:rPr>
          <w:lang w:eastAsia="en-US"/>
        </w:rPr>
      </w:pPr>
      <w:bookmarkStart w:id="1" w:name="_Ref528766700"/>
      <w:r>
        <w:t xml:space="preserve">Table </w:t>
      </w:r>
      <w:r w:rsidR="00C624BB">
        <w:t>2.2-</w:t>
      </w:r>
      <w:r>
        <w:fldChar w:fldCharType="begin"/>
      </w:r>
      <w:r>
        <w:instrText xml:space="preserve"> SEQ Table \* ARABIC </w:instrText>
      </w:r>
      <w:r>
        <w:fldChar w:fldCharType="separate"/>
      </w:r>
      <w:r>
        <w:rPr>
          <w:noProof/>
        </w:rPr>
        <w:t>1</w:t>
      </w:r>
      <w:r>
        <w:fldChar w:fldCharType="end"/>
      </w:r>
      <w:bookmarkEnd w:id="1"/>
      <w:r>
        <w:t xml:space="preserve">. Average throughput loss for different CDF 50%-tile and peak </w:t>
      </w:r>
      <w:r>
        <w:br/>
        <w:t>relaxation combinations in UMa scenario with ISD = 200m</w:t>
      </w:r>
    </w:p>
    <w:tbl>
      <w:tblPr>
        <w:tblW w:w="4499" w:type="dxa"/>
        <w:jc w:val="center"/>
        <w:tblLook w:val="04A0" w:firstRow="1" w:lastRow="0" w:firstColumn="1" w:lastColumn="0" w:noHBand="0" w:noVBand="1"/>
      </w:tblPr>
      <w:tblGrid>
        <w:gridCol w:w="1150"/>
        <w:gridCol w:w="792"/>
        <w:gridCol w:w="639"/>
        <w:gridCol w:w="639"/>
        <w:gridCol w:w="639"/>
        <w:gridCol w:w="640"/>
      </w:tblGrid>
      <w:tr w:rsidR="00593435" w14:paraId="4AAFC988" w14:textId="77777777" w:rsidTr="00593435">
        <w:trPr>
          <w:trHeight w:val="541"/>
          <w:jc w:val="center"/>
        </w:trPr>
        <w:tc>
          <w:tcPr>
            <w:tcW w:w="1150" w:type="dxa"/>
            <w:noWrap/>
            <w:vAlign w:val="bottom"/>
            <w:hideMark/>
          </w:tcPr>
          <w:p w14:paraId="4CABFFC0" w14:textId="77777777" w:rsidR="00593435" w:rsidRDefault="00593435"/>
        </w:tc>
        <w:tc>
          <w:tcPr>
            <w:tcW w:w="792" w:type="dxa"/>
            <w:noWrap/>
            <w:vAlign w:val="bottom"/>
            <w:hideMark/>
          </w:tcPr>
          <w:p w14:paraId="7D7F57DD" w14:textId="77777777" w:rsidR="00593435" w:rsidRDefault="00593435">
            <w:pPr>
              <w:spacing w:after="0"/>
              <w:rPr>
                <w:rFonts w:ascii="Tms Rmn" w:hAnsi="Tms Rmn"/>
                <w:lang w:val="en-US"/>
              </w:rPr>
            </w:pPr>
          </w:p>
        </w:tc>
        <w:tc>
          <w:tcPr>
            <w:tcW w:w="2557" w:type="dxa"/>
            <w:gridSpan w:val="4"/>
            <w:tcBorders>
              <w:top w:val="single" w:sz="8" w:space="0" w:color="auto"/>
              <w:left w:val="single" w:sz="8" w:space="0" w:color="auto"/>
              <w:bottom w:val="single" w:sz="8" w:space="0" w:color="auto"/>
              <w:right w:val="single" w:sz="8" w:space="0" w:color="000000"/>
            </w:tcBorders>
            <w:vAlign w:val="bottom"/>
            <w:hideMark/>
          </w:tcPr>
          <w:p w14:paraId="195AC7CD" w14:textId="77777777" w:rsidR="00593435" w:rsidRDefault="00593435">
            <w:pPr>
              <w:spacing w:after="0"/>
              <w:jc w:val="center"/>
              <w:rPr>
                <w:rFonts w:ascii="Calibri" w:hAnsi="Calibri" w:cs="Calibri"/>
                <w:b/>
                <w:bCs/>
                <w:color w:val="000000"/>
                <w:sz w:val="22"/>
                <w:szCs w:val="24"/>
                <w:lang w:val="en-US"/>
              </w:rPr>
            </w:pPr>
            <w:r>
              <w:rPr>
                <w:rFonts w:ascii="Calibri" w:hAnsi="Calibri" w:cs="Calibri"/>
                <w:b/>
                <w:bCs/>
                <w:color w:val="000000"/>
                <w:sz w:val="22"/>
                <w:szCs w:val="24"/>
                <w:lang w:val="en-US"/>
              </w:rPr>
              <w:t xml:space="preserve">Average Throughput </w:t>
            </w:r>
            <w:r>
              <w:rPr>
                <w:rFonts w:ascii="Calibri" w:hAnsi="Calibri" w:cs="Calibri"/>
                <w:b/>
                <w:bCs/>
                <w:color w:val="000000"/>
                <w:sz w:val="22"/>
                <w:szCs w:val="24"/>
                <w:lang w:val="en-US"/>
              </w:rPr>
              <w:br/>
              <w:t>Loss [%]</w:t>
            </w:r>
          </w:p>
        </w:tc>
      </w:tr>
      <w:tr w:rsidR="00593435" w14:paraId="58151398" w14:textId="77777777" w:rsidTr="00593435">
        <w:trPr>
          <w:trHeight w:val="297"/>
          <w:jc w:val="center"/>
        </w:trPr>
        <w:tc>
          <w:tcPr>
            <w:tcW w:w="1150" w:type="dxa"/>
            <w:noWrap/>
            <w:vAlign w:val="bottom"/>
            <w:hideMark/>
          </w:tcPr>
          <w:p w14:paraId="54D339E0" w14:textId="77777777" w:rsidR="00593435" w:rsidRDefault="00593435">
            <w:pPr>
              <w:rPr>
                <w:rFonts w:ascii="Calibri" w:hAnsi="Calibri" w:cs="Calibri"/>
                <w:b/>
                <w:bCs/>
                <w:color w:val="000000"/>
                <w:sz w:val="22"/>
                <w:szCs w:val="24"/>
                <w:lang w:val="en-US"/>
              </w:rPr>
            </w:pPr>
          </w:p>
        </w:tc>
        <w:tc>
          <w:tcPr>
            <w:tcW w:w="792" w:type="dxa"/>
            <w:noWrap/>
            <w:vAlign w:val="bottom"/>
            <w:hideMark/>
          </w:tcPr>
          <w:p w14:paraId="46602D8D" w14:textId="77777777" w:rsidR="00593435" w:rsidRDefault="00593435">
            <w:pPr>
              <w:spacing w:after="0"/>
              <w:rPr>
                <w:rFonts w:ascii="Tms Rmn" w:hAnsi="Tms Rmn"/>
                <w:lang w:val="en-US"/>
              </w:rPr>
            </w:pPr>
          </w:p>
        </w:tc>
        <w:tc>
          <w:tcPr>
            <w:tcW w:w="2557" w:type="dxa"/>
            <w:gridSpan w:val="4"/>
            <w:tcBorders>
              <w:top w:val="single" w:sz="8" w:space="0" w:color="auto"/>
              <w:left w:val="single" w:sz="8" w:space="0" w:color="auto"/>
              <w:bottom w:val="single" w:sz="8" w:space="0" w:color="auto"/>
              <w:right w:val="single" w:sz="8" w:space="0" w:color="000000"/>
            </w:tcBorders>
            <w:vAlign w:val="bottom"/>
            <w:hideMark/>
          </w:tcPr>
          <w:p w14:paraId="72C058A1" w14:textId="77777777" w:rsidR="00593435" w:rsidRDefault="00593435">
            <w:pPr>
              <w:spacing w:after="0"/>
              <w:jc w:val="center"/>
              <w:rPr>
                <w:rFonts w:ascii="Calibri" w:hAnsi="Calibri"/>
                <w:b/>
                <w:bCs/>
                <w:color w:val="000000"/>
                <w:lang w:val="en-US"/>
              </w:rPr>
            </w:pPr>
            <w:r>
              <w:rPr>
                <w:rFonts w:ascii="Calibri" w:hAnsi="Calibri"/>
                <w:b/>
                <w:bCs/>
                <w:color w:val="000000"/>
              </w:rPr>
              <w:t>Peak EIRP relaxation</w:t>
            </w:r>
          </w:p>
        </w:tc>
      </w:tr>
      <w:tr w:rsidR="00593435" w14:paraId="52B4A475" w14:textId="77777777" w:rsidTr="00593435">
        <w:trPr>
          <w:trHeight w:val="297"/>
          <w:jc w:val="center"/>
        </w:trPr>
        <w:tc>
          <w:tcPr>
            <w:tcW w:w="1150" w:type="dxa"/>
            <w:noWrap/>
            <w:vAlign w:val="bottom"/>
            <w:hideMark/>
          </w:tcPr>
          <w:p w14:paraId="3B9D98D8" w14:textId="77777777" w:rsidR="00593435" w:rsidRDefault="00593435">
            <w:pPr>
              <w:rPr>
                <w:rFonts w:ascii="Calibri" w:hAnsi="Calibri"/>
                <w:b/>
                <w:bCs/>
                <w:color w:val="000000"/>
                <w:lang w:val="en-US"/>
              </w:rPr>
            </w:pPr>
          </w:p>
        </w:tc>
        <w:tc>
          <w:tcPr>
            <w:tcW w:w="792" w:type="dxa"/>
            <w:hideMark/>
          </w:tcPr>
          <w:p w14:paraId="27FD5C27" w14:textId="77777777" w:rsidR="00593435" w:rsidRDefault="00593435">
            <w:pPr>
              <w:spacing w:after="0"/>
              <w:rPr>
                <w:rFonts w:ascii="Tms Rmn" w:hAnsi="Tms Rmn"/>
                <w:lang w:val="en-US"/>
              </w:rPr>
            </w:pPr>
          </w:p>
        </w:tc>
        <w:tc>
          <w:tcPr>
            <w:tcW w:w="639" w:type="dxa"/>
            <w:tcBorders>
              <w:top w:val="nil"/>
              <w:left w:val="single" w:sz="8" w:space="0" w:color="auto"/>
              <w:bottom w:val="nil"/>
              <w:right w:val="single" w:sz="8" w:space="0" w:color="auto"/>
            </w:tcBorders>
            <w:vAlign w:val="bottom"/>
            <w:hideMark/>
          </w:tcPr>
          <w:p w14:paraId="3DC51B29" w14:textId="77777777" w:rsidR="00593435" w:rsidRDefault="00593435">
            <w:pPr>
              <w:spacing w:after="0"/>
              <w:jc w:val="center"/>
              <w:rPr>
                <w:rFonts w:ascii="Calibri" w:hAnsi="Calibri" w:cs="Calibri"/>
                <w:b/>
                <w:bCs/>
                <w:color w:val="000000"/>
                <w:sz w:val="22"/>
                <w:szCs w:val="24"/>
                <w:lang w:val="en-US"/>
              </w:rPr>
            </w:pPr>
            <w:r>
              <w:rPr>
                <w:rFonts w:ascii="Calibri" w:hAnsi="Calibri" w:cs="Calibri"/>
                <w:b/>
                <w:bCs/>
                <w:color w:val="000000"/>
                <w:sz w:val="22"/>
                <w:szCs w:val="24"/>
                <w:lang w:val="en-US"/>
              </w:rPr>
              <w:t>0 dB</w:t>
            </w:r>
          </w:p>
        </w:tc>
        <w:tc>
          <w:tcPr>
            <w:tcW w:w="639" w:type="dxa"/>
            <w:vAlign w:val="bottom"/>
            <w:hideMark/>
          </w:tcPr>
          <w:p w14:paraId="4DAFC950" w14:textId="77777777" w:rsidR="00593435" w:rsidRDefault="00593435">
            <w:pPr>
              <w:spacing w:after="0"/>
              <w:jc w:val="center"/>
              <w:rPr>
                <w:rFonts w:ascii="Calibri" w:hAnsi="Calibri" w:cs="Calibri"/>
                <w:b/>
                <w:bCs/>
                <w:color w:val="000000"/>
                <w:sz w:val="22"/>
                <w:szCs w:val="24"/>
                <w:lang w:val="en-US"/>
              </w:rPr>
            </w:pPr>
            <w:r>
              <w:rPr>
                <w:rFonts w:ascii="Calibri" w:hAnsi="Calibri" w:cs="Calibri"/>
                <w:b/>
                <w:bCs/>
                <w:color w:val="000000"/>
                <w:sz w:val="22"/>
                <w:szCs w:val="24"/>
                <w:lang w:val="en-US"/>
              </w:rPr>
              <w:t>1 dB</w:t>
            </w:r>
          </w:p>
        </w:tc>
        <w:tc>
          <w:tcPr>
            <w:tcW w:w="639" w:type="dxa"/>
            <w:tcBorders>
              <w:top w:val="nil"/>
              <w:left w:val="single" w:sz="8" w:space="0" w:color="auto"/>
              <w:bottom w:val="nil"/>
              <w:right w:val="nil"/>
            </w:tcBorders>
            <w:vAlign w:val="bottom"/>
            <w:hideMark/>
          </w:tcPr>
          <w:p w14:paraId="6BCADE99" w14:textId="77777777" w:rsidR="00593435" w:rsidRDefault="00593435">
            <w:pPr>
              <w:spacing w:after="0"/>
              <w:jc w:val="center"/>
              <w:rPr>
                <w:rFonts w:ascii="Calibri" w:hAnsi="Calibri" w:cs="Calibri"/>
                <w:b/>
                <w:bCs/>
                <w:color w:val="000000"/>
                <w:sz w:val="22"/>
                <w:szCs w:val="24"/>
                <w:lang w:val="en-US"/>
              </w:rPr>
            </w:pPr>
            <w:r>
              <w:rPr>
                <w:rFonts w:ascii="Calibri" w:hAnsi="Calibri" w:cs="Calibri"/>
                <w:b/>
                <w:bCs/>
                <w:color w:val="000000"/>
                <w:sz w:val="22"/>
                <w:szCs w:val="24"/>
                <w:lang w:val="en-US"/>
              </w:rPr>
              <w:t>2 dB</w:t>
            </w:r>
          </w:p>
        </w:tc>
        <w:tc>
          <w:tcPr>
            <w:tcW w:w="640" w:type="dxa"/>
            <w:tcBorders>
              <w:top w:val="nil"/>
              <w:left w:val="single" w:sz="8" w:space="0" w:color="auto"/>
              <w:bottom w:val="nil"/>
              <w:right w:val="single" w:sz="8" w:space="0" w:color="auto"/>
            </w:tcBorders>
            <w:vAlign w:val="bottom"/>
            <w:hideMark/>
          </w:tcPr>
          <w:p w14:paraId="60CA79EF" w14:textId="77777777" w:rsidR="00593435" w:rsidRDefault="00593435">
            <w:pPr>
              <w:spacing w:after="0"/>
              <w:jc w:val="center"/>
              <w:rPr>
                <w:rFonts w:ascii="Calibri" w:hAnsi="Calibri" w:cs="Calibri"/>
                <w:b/>
                <w:bCs/>
                <w:color w:val="000000"/>
                <w:sz w:val="22"/>
                <w:szCs w:val="24"/>
                <w:lang w:val="en-US"/>
              </w:rPr>
            </w:pPr>
            <w:r>
              <w:rPr>
                <w:rFonts w:ascii="Calibri" w:hAnsi="Calibri" w:cs="Calibri"/>
                <w:b/>
                <w:bCs/>
                <w:color w:val="000000"/>
                <w:sz w:val="22"/>
                <w:szCs w:val="24"/>
                <w:lang w:val="en-US"/>
              </w:rPr>
              <w:t>3 dB</w:t>
            </w:r>
          </w:p>
        </w:tc>
      </w:tr>
      <w:tr w:rsidR="00593435" w14:paraId="5014544E" w14:textId="77777777" w:rsidTr="00593435">
        <w:trPr>
          <w:trHeight w:val="297"/>
          <w:jc w:val="center"/>
        </w:trPr>
        <w:tc>
          <w:tcPr>
            <w:tcW w:w="1150" w:type="dxa"/>
            <w:vMerge w:val="restart"/>
            <w:tcBorders>
              <w:top w:val="single" w:sz="8" w:space="0" w:color="auto"/>
              <w:left w:val="single" w:sz="8" w:space="0" w:color="auto"/>
              <w:bottom w:val="single" w:sz="8" w:space="0" w:color="000000"/>
              <w:right w:val="single" w:sz="8" w:space="0" w:color="auto"/>
            </w:tcBorders>
            <w:vAlign w:val="center"/>
            <w:hideMark/>
          </w:tcPr>
          <w:p w14:paraId="77160626" w14:textId="77777777" w:rsidR="00593435" w:rsidRDefault="00593435">
            <w:pPr>
              <w:spacing w:after="0"/>
              <w:jc w:val="center"/>
              <w:rPr>
                <w:rFonts w:ascii="Calibri" w:hAnsi="Calibri" w:cs="Calibri"/>
                <w:b/>
                <w:bCs/>
                <w:color w:val="000000"/>
                <w:szCs w:val="22"/>
                <w:lang w:val="en-US"/>
              </w:rPr>
            </w:pPr>
            <w:r>
              <w:rPr>
                <w:rFonts w:ascii="Calibri" w:hAnsi="Calibri" w:cs="Calibri"/>
                <w:b/>
                <w:bCs/>
                <w:color w:val="000000"/>
                <w:szCs w:val="22"/>
                <w:lang w:val="en-US"/>
              </w:rPr>
              <w:t xml:space="preserve">50%-tile </w:t>
            </w:r>
          </w:p>
          <w:p w14:paraId="22F6E45B" w14:textId="77777777" w:rsidR="00593435" w:rsidRDefault="00593435">
            <w:pPr>
              <w:spacing w:after="0"/>
              <w:jc w:val="center"/>
              <w:rPr>
                <w:rFonts w:ascii="Calibri" w:hAnsi="Calibri" w:cs="Calibri"/>
                <w:b/>
                <w:bCs/>
                <w:color w:val="000000"/>
                <w:szCs w:val="22"/>
                <w:lang w:val="en-US"/>
              </w:rPr>
            </w:pPr>
            <w:r>
              <w:rPr>
                <w:rFonts w:ascii="Calibri" w:hAnsi="Calibri" w:cs="Calibri"/>
                <w:b/>
                <w:bCs/>
                <w:color w:val="000000"/>
                <w:szCs w:val="22"/>
                <w:lang w:val="en-US"/>
              </w:rPr>
              <w:t>EIRP relaxation</w:t>
            </w:r>
          </w:p>
        </w:tc>
        <w:tc>
          <w:tcPr>
            <w:tcW w:w="792" w:type="dxa"/>
            <w:tcBorders>
              <w:top w:val="single" w:sz="8" w:space="0" w:color="auto"/>
              <w:left w:val="nil"/>
              <w:bottom w:val="single" w:sz="8" w:space="0" w:color="auto"/>
              <w:right w:val="nil"/>
            </w:tcBorders>
            <w:vAlign w:val="bottom"/>
            <w:hideMark/>
          </w:tcPr>
          <w:p w14:paraId="74A336F8" w14:textId="77777777" w:rsidR="00593435" w:rsidRDefault="00593435">
            <w:pPr>
              <w:spacing w:after="0"/>
              <w:jc w:val="center"/>
              <w:rPr>
                <w:rFonts w:ascii="Calibri" w:hAnsi="Calibri" w:cs="Calibri"/>
                <w:b/>
                <w:bCs/>
                <w:color w:val="000000"/>
                <w:szCs w:val="24"/>
                <w:lang w:val="en-US"/>
              </w:rPr>
            </w:pPr>
            <w:r>
              <w:rPr>
                <w:rFonts w:ascii="Calibri" w:hAnsi="Calibri" w:cs="Calibri"/>
                <w:b/>
                <w:bCs/>
                <w:color w:val="000000"/>
                <w:szCs w:val="24"/>
                <w:lang w:val="en-US"/>
              </w:rPr>
              <w:t>0 dB</w:t>
            </w:r>
          </w:p>
        </w:tc>
        <w:tc>
          <w:tcPr>
            <w:tcW w:w="639" w:type="dxa"/>
            <w:tcBorders>
              <w:top w:val="single" w:sz="8" w:space="0" w:color="auto"/>
              <w:left w:val="single" w:sz="8" w:space="0" w:color="auto"/>
              <w:bottom w:val="single" w:sz="4" w:space="0" w:color="auto"/>
              <w:right w:val="single" w:sz="4" w:space="0" w:color="auto"/>
            </w:tcBorders>
            <w:noWrap/>
            <w:vAlign w:val="center"/>
            <w:hideMark/>
          </w:tcPr>
          <w:p w14:paraId="3480C5F9" w14:textId="77777777" w:rsidR="00593435" w:rsidRDefault="00593435">
            <w:pPr>
              <w:spacing w:after="0"/>
              <w:jc w:val="center"/>
              <w:rPr>
                <w:rFonts w:ascii="Calibri" w:hAnsi="Calibri" w:cs="Calibri"/>
                <w:color w:val="000000"/>
                <w:szCs w:val="22"/>
                <w:lang w:val="en-US"/>
              </w:rPr>
            </w:pPr>
            <w:r w:rsidRPr="001E3110">
              <w:rPr>
                <w:rFonts w:ascii="Calibri" w:hAnsi="Calibri"/>
                <w:color w:val="000000"/>
                <w:sz w:val="22"/>
                <w:szCs w:val="22"/>
                <w:highlight w:val="green"/>
              </w:rPr>
              <w:t>0%</w:t>
            </w:r>
          </w:p>
        </w:tc>
        <w:tc>
          <w:tcPr>
            <w:tcW w:w="639" w:type="dxa"/>
            <w:tcBorders>
              <w:top w:val="single" w:sz="8" w:space="0" w:color="auto"/>
              <w:left w:val="nil"/>
              <w:bottom w:val="single" w:sz="4" w:space="0" w:color="auto"/>
              <w:right w:val="single" w:sz="4" w:space="0" w:color="auto"/>
            </w:tcBorders>
            <w:noWrap/>
            <w:vAlign w:val="center"/>
            <w:hideMark/>
          </w:tcPr>
          <w:p w14:paraId="4B37C14A" w14:textId="77777777" w:rsidR="00593435" w:rsidRPr="001E3110" w:rsidRDefault="00593435">
            <w:pPr>
              <w:spacing w:after="0"/>
              <w:jc w:val="center"/>
              <w:rPr>
                <w:rFonts w:ascii="Calibri" w:hAnsi="Calibri" w:cs="Calibri"/>
                <w:color w:val="000000"/>
                <w:szCs w:val="22"/>
                <w:highlight w:val="cyan"/>
                <w:lang w:val="en-US"/>
              </w:rPr>
            </w:pPr>
            <w:r w:rsidRPr="001E3110">
              <w:rPr>
                <w:rFonts w:ascii="Calibri" w:hAnsi="Calibri"/>
                <w:color w:val="000000"/>
                <w:sz w:val="22"/>
                <w:szCs w:val="22"/>
                <w:highlight w:val="cyan"/>
              </w:rPr>
              <w:t>1%</w:t>
            </w:r>
          </w:p>
        </w:tc>
        <w:tc>
          <w:tcPr>
            <w:tcW w:w="639" w:type="dxa"/>
            <w:tcBorders>
              <w:top w:val="single" w:sz="8" w:space="0" w:color="auto"/>
              <w:left w:val="nil"/>
              <w:bottom w:val="single" w:sz="4" w:space="0" w:color="auto"/>
              <w:right w:val="single" w:sz="4" w:space="0" w:color="auto"/>
            </w:tcBorders>
            <w:noWrap/>
            <w:vAlign w:val="center"/>
            <w:hideMark/>
          </w:tcPr>
          <w:p w14:paraId="34FF19F0" w14:textId="77777777" w:rsidR="00593435" w:rsidRPr="001E3110" w:rsidRDefault="00593435">
            <w:pPr>
              <w:spacing w:after="0"/>
              <w:jc w:val="center"/>
              <w:rPr>
                <w:rFonts w:ascii="Calibri" w:hAnsi="Calibri" w:cs="Calibri"/>
                <w:color w:val="000000"/>
                <w:szCs w:val="22"/>
                <w:highlight w:val="cyan"/>
                <w:lang w:val="en-US"/>
              </w:rPr>
            </w:pPr>
            <w:r w:rsidRPr="001E3110">
              <w:rPr>
                <w:rFonts w:ascii="Calibri" w:hAnsi="Calibri"/>
                <w:color w:val="000000"/>
                <w:sz w:val="22"/>
                <w:szCs w:val="22"/>
                <w:highlight w:val="cyan"/>
              </w:rPr>
              <w:t>1%</w:t>
            </w:r>
          </w:p>
        </w:tc>
        <w:tc>
          <w:tcPr>
            <w:tcW w:w="640" w:type="dxa"/>
            <w:tcBorders>
              <w:top w:val="single" w:sz="8" w:space="0" w:color="auto"/>
              <w:left w:val="nil"/>
              <w:bottom w:val="single" w:sz="4" w:space="0" w:color="auto"/>
              <w:right w:val="single" w:sz="8" w:space="0" w:color="auto"/>
            </w:tcBorders>
            <w:noWrap/>
            <w:vAlign w:val="center"/>
            <w:hideMark/>
          </w:tcPr>
          <w:p w14:paraId="3992CECD" w14:textId="77777777" w:rsidR="00593435" w:rsidRPr="001E3110" w:rsidRDefault="00593435">
            <w:pPr>
              <w:spacing w:after="0"/>
              <w:jc w:val="center"/>
              <w:rPr>
                <w:rFonts w:ascii="Calibri" w:hAnsi="Calibri" w:cs="Calibri"/>
                <w:color w:val="000000"/>
                <w:szCs w:val="22"/>
                <w:highlight w:val="cyan"/>
                <w:lang w:val="en-US"/>
              </w:rPr>
            </w:pPr>
            <w:r w:rsidRPr="001E3110">
              <w:rPr>
                <w:rFonts w:ascii="Calibri" w:hAnsi="Calibri"/>
                <w:color w:val="000000"/>
                <w:sz w:val="22"/>
                <w:szCs w:val="22"/>
                <w:highlight w:val="cyan"/>
              </w:rPr>
              <w:t>2%</w:t>
            </w:r>
          </w:p>
        </w:tc>
      </w:tr>
      <w:tr w:rsidR="00593435" w14:paraId="6676F15E" w14:textId="77777777" w:rsidTr="00593435">
        <w:trPr>
          <w:trHeight w:val="297"/>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6F31944" w14:textId="77777777" w:rsidR="00593435" w:rsidRDefault="00593435">
            <w:pPr>
              <w:spacing w:after="0"/>
              <w:rPr>
                <w:rFonts w:ascii="Calibri" w:hAnsi="Calibri" w:cs="Calibri"/>
                <w:b/>
                <w:bCs/>
                <w:color w:val="000000"/>
                <w:szCs w:val="22"/>
                <w:lang w:val="en-US"/>
              </w:rPr>
            </w:pPr>
          </w:p>
        </w:tc>
        <w:tc>
          <w:tcPr>
            <w:tcW w:w="792" w:type="dxa"/>
            <w:tcBorders>
              <w:top w:val="nil"/>
              <w:left w:val="nil"/>
              <w:bottom w:val="single" w:sz="8" w:space="0" w:color="auto"/>
              <w:right w:val="nil"/>
            </w:tcBorders>
            <w:vAlign w:val="bottom"/>
            <w:hideMark/>
          </w:tcPr>
          <w:p w14:paraId="271D12E2" w14:textId="77777777" w:rsidR="00593435" w:rsidRDefault="00593435">
            <w:pPr>
              <w:spacing w:after="0"/>
              <w:jc w:val="center"/>
              <w:rPr>
                <w:rFonts w:ascii="Calibri" w:hAnsi="Calibri" w:cs="Calibri"/>
                <w:b/>
                <w:bCs/>
                <w:color w:val="000000"/>
                <w:szCs w:val="24"/>
                <w:lang w:val="en-US"/>
              </w:rPr>
            </w:pPr>
            <w:r>
              <w:rPr>
                <w:rFonts w:ascii="Calibri" w:hAnsi="Calibri" w:cs="Calibri"/>
                <w:b/>
                <w:bCs/>
                <w:color w:val="000000"/>
                <w:szCs w:val="24"/>
                <w:lang w:val="en-US"/>
              </w:rPr>
              <w:t>1 dB</w:t>
            </w:r>
          </w:p>
        </w:tc>
        <w:tc>
          <w:tcPr>
            <w:tcW w:w="639" w:type="dxa"/>
            <w:tcBorders>
              <w:top w:val="nil"/>
              <w:left w:val="single" w:sz="8" w:space="0" w:color="auto"/>
              <w:bottom w:val="single" w:sz="4" w:space="0" w:color="auto"/>
              <w:right w:val="single" w:sz="4" w:space="0" w:color="auto"/>
            </w:tcBorders>
            <w:noWrap/>
            <w:vAlign w:val="center"/>
            <w:hideMark/>
          </w:tcPr>
          <w:p w14:paraId="216A1F07" w14:textId="77777777" w:rsidR="00593435" w:rsidRPr="001E3110" w:rsidRDefault="00593435">
            <w:pPr>
              <w:spacing w:after="0"/>
              <w:jc w:val="center"/>
              <w:rPr>
                <w:rFonts w:ascii="Calibri" w:hAnsi="Calibri" w:cs="Calibri"/>
                <w:color w:val="000000"/>
                <w:szCs w:val="22"/>
                <w:highlight w:val="yellow"/>
                <w:lang w:val="en-US"/>
              </w:rPr>
            </w:pPr>
            <w:r w:rsidRPr="001E3110">
              <w:rPr>
                <w:rFonts w:ascii="Calibri" w:hAnsi="Calibri"/>
                <w:color w:val="000000"/>
                <w:sz w:val="22"/>
                <w:szCs w:val="22"/>
                <w:highlight w:val="yellow"/>
              </w:rPr>
              <w:t>4%</w:t>
            </w:r>
          </w:p>
        </w:tc>
        <w:tc>
          <w:tcPr>
            <w:tcW w:w="639" w:type="dxa"/>
            <w:tcBorders>
              <w:top w:val="nil"/>
              <w:left w:val="nil"/>
              <w:bottom w:val="single" w:sz="4" w:space="0" w:color="auto"/>
              <w:right w:val="single" w:sz="4" w:space="0" w:color="auto"/>
            </w:tcBorders>
            <w:noWrap/>
            <w:vAlign w:val="center"/>
            <w:hideMark/>
          </w:tcPr>
          <w:p w14:paraId="7F35087C" w14:textId="77777777" w:rsidR="00593435" w:rsidRDefault="00593435">
            <w:pPr>
              <w:spacing w:after="0"/>
              <w:jc w:val="center"/>
              <w:rPr>
                <w:rFonts w:ascii="Calibri" w:hAnsi="Calibri" w:cs="Calibri"/>
                <w:color w:val="000000"/>
                <w:szCs w:val="22"/>
                <w:lang w:val="en-US"/>
              </w:rPr>
            </w:pPr>
            <w:r>
              <w:rPr>
                <w:rFonts w:ascii="Calibri" w:hAnsi="Calibri"/>
                <w:color w:val="000000"/>
                <w:sz w:val="22"/>
                <w:szCs w:val="22"/>
              </w:rPr>
              <w:t>4%</w:t>
            </w:r>
          </w:p>
        </w:tc>
        <w:tc>
          <w:tcPr>
            <w:tcW w:w="639" w:type="dxa"/>
            <w:tcBorders>
              <w:top w:val="nil"/>
              <w:left w:val="nil"/>
              <w:bottom w:val="single" w:sz="4" w:space="0" w:color="auto"/>
              <w:right w:val="single" w:sz="4" w:space="0" w:color="auto"/>
            </w:tcBorders>
            <w:noWrap/>
            <w:vAlign w:val="center"/>
            <w:hideMark/>
          </w:tcPr>
          <w:p w14:paraId="30937F0C" w14:textId="77777777" w:rsidR="00593435" w:rsidRDefault="00593435">
            <w:pPr>
              <w:spacing w:after="0"/>
              <w:jc w:val="center"/>
              <w:rPr>
                <w:rFonts w:ascii="Calibri" w:hAnsi="Calibri" w:cs="Calibri"/>
                <w:color w:val="000000"/>
                <w:szCs w:val="22"/>
                <w:lang w:val="en-US"/>
              </w:rPr>
            </w:pPr>
            <w:r>
              <w:rPr>
                <w:rFonts w:ascii="Calibri" w:hAnsi="Calibri"/>
                <w:color w:val="000000"/>
                <w:sz w:val="22"/>
                <w:szCs w:val="22"/>
              </w:rPr>
              <w:t>5%</w:t>
            </w:r>
          </w:p>
        </w:tc>
        <w:tc>
          <w:tcPr>
            <w:tcW w:w="640" w:type="dxa"/>
            <w:tcBorders>
              <w:top w:val="nil"/>
              <w:left w:val="nil"/>
              <w:bottom w:val="single" w:sz="4" w:space="0" w:color="auto"/>
              <w:right w:val="single" w:sz="8" w:space="0" w:color="auto"/>
            </w:tcBorders>
            <w:noWrap/>
            <w:vAlign w:val="center"/>
            <w:hideMark/>
          </w:tcPr>
          <w:p w14:paraId="257DCEE5" w14:textId="77777777" w:rsidR="00593435" w:rsidRDefault="00593435">
            <w:pPr>
              <w:spacing w:after="0"/>
              <w:jc w:val="center"/>
              <w:rPr>
                <w:rFonts w:ascii="Calibri" w:hAnsi="Calibri" w:cs="Calibri"/>
                <w:color w:val="000000"/>
                <w:szCs w:val="22"/>
                <w:lang w:val="en-US"/>
              </w:rPr>
            </w:pPr>
            <w:r>
              <w:rPr>
                <w:rFonts w:ascii="Calibri" w:hAnsi="Calibri"/>
                <w:color w:val="000000"/>
                <w:sz w:val="22"/>
                <w:szCs w:val="22"/>
              </w:rPr>
              <w:t>6%</w:t>
            </w:r>
          </w:p>
        </w:tc>
      </w:tr>
      <w:tr w:rsidR="00593435" w14:paraId="7F388E21" w14:textId="77777777" w:rsidTr="00593435">
        <w:trPr>
          <w:trHeight w:val="297"/>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C169C9B" w14:textId="77777777" w:rsidR="00593435" w:rsidRDefault="00593435">
            <w:pPr>
              <w:spacing w:after="0"/>
              <w:rPr>
                <w:rFonts w:ascii="Calibri" w:hAnsi="Calibri" w:cs="Calibri"/>
                <w:b/>
                <w:bCs/>
                <w:color w:val="000000"/>
                <w:szCs w:val="22"/>
                <w:lang w:val="en-US"/>
              </w:rPr>
            </w:pPr>
          </w:p>
        </w:tc>
        <w:tc>
          <w:tcPr>
            <w:tcW w:w="792" w:type="dxa"/>
            <w:tcBorders>
              <w:top w:val="nil"/>
              <w:left w:val="nil"/>
              <w:bottom w:val="single" w:sz="8" w:space="0" w:color="auto"/>
              <w:right w:val="nil"/>
            </w:tcBorders>
            <w:vAlign w:val="bottom"/>
            <w:hideMark/>
          </w:tcPr>
          <w:p w14:paraId="0A82D103" w14:textId="77777777" w:rsidR="00593435" w:rsidRDefault="00593435">
            <w:pPr>
              <w:spacing w:after="0"/>
              <w:jc w:val="center"/>
              <w:rPr>
                <w:rFonts w:ascii="Calibri" w:hAnsi="Calibri" w:cs="Calibri"/>
                <w:b/>
                <w:bCs/>
                <w:color w:val="000000"/>
                <w:szCs w:val="24"/>
                <w:lang w:val="en-US"/>
              </w:rPr>
            </w:pPr>
            <w:r>
              <w:rPr>
                <w:rFonts w:ascii="Calibri" w:hAnsi="Calibri" w:cs="Calibri"/>
                <w:b/>
                <w:bCs/>
                <w:color w:val="000000"/>
                <w:szCs w:val="24"/>
                <w:lang w:val="en-US"/>
              </w:rPr>
              <w:t>2 dB</w:t>
            </w:r>
          </w:p>
        </w:tc>
        <w:tc>
          <w:tcPr>
            <w:tcW w:w="639" w:type="dxa"/>
            <w:tcBorders>
              <w:top w:val="nil"/>
              <w:left w:val="single" w:sz="8" w:space="0" w:color="auto"/>
              <w:bottom w:val="single" w:sz="4" w:space="0" w:color="auto"/>
              <w:right w:val="single" w:sz="4" w:space="0" w:color="auto"/>
            </w:tcBorders>
            <w:noWrap/>
            <w:vAlign w:val="center"/>
            <w:hideMark/>
          </w:tcPr>
          <w:p w14:paraId="57990661" w14:textId="77777777" w:rsidR="00593435" w:rsidRPr="001E3110" w:rsidRDefault="00593435">
            <w:pPr>
              <w:spacing w:after="0"/>
              <w:jc w:val="center"/>
              <w:rPr>
                <w:rFonts w:ascii="Calibri" w:hAnsi="Calibri" w:cs="Calibri"/>
                <w:color w:val="000000"/>
                <w:szCs w:val="22"/>
                <w:highlight w:val="yellow"/>
                <w:lang w:val="en-US"/>
              </w:rPr>
            </w:pPr>
            <w:r w:rsidRPr="001E3110">
              <w:rPr>
                <w:rFonts w:ascii="Calibri" w:hAnsi="Calibri"/>
                <w:color w:val="000000"/>
                <w:sz w:val="22"/>
                <w:szCs w:val="22"/>
                <w:highlight w:val="yellow"/>
              </w:rPr>
              <w:t>8%</w:t>
            </w:r>
          </w:p>
        </w:tc>
        <w:tc>
          <w:tcPr>
            <w:tcW w:w="639" w:type="dxa"/>
            <w:tcBorders>
              <w:top w:val="nil"/>
              <w:left w:val="nil"/>
              <w:bottom w:val="single" w:sz="4" w:space="0" w:color="auto"/>
              <w:right w:val="single" w:sz="4" w:space="0" w:color="auto"/>
            </w:tcBorders>
            <w:noWrap/>
            <w:vAlign w:val="center"/>
            <w:hideMark/>
          </w:tcPr>
          <w:p w14:paraId="24968A1C" w14:textId="77777777" w:rsidR="00593435" w:rsidRDefault="00593435">
            <w:pPr>
              <w:spacing w:after="0"/>
              <w:jc w:val="center"/>
              <w:rPr>
                <w:rFonts w:ascii="Calibri" w:hAnsi="Calibri" w:cs="Calibri"/>
                <w:color w:val="000000"/>
                <w:szCs w:val="22"/>
                <w:lang w:val="en-US"/>
              </w:rPr>
            </w:pPr>
            <w:r>
              <w:rPr>
                <w:rFonts w:ascii="Calibri" w:hAnsi="Calibri"/>
                <w:color w:val="000000"/>
                <w:sz w:val="22"/>
                <w:szCs w:val="22"/>
              </w:rPr>
              <w:t>8%</w:t>
            </w:r>
          </w:p>
        </w:tc>
        <w:tc>
          <w:tcPr>
            <w:tcW w:w="639" w:type="dxa"/>
            <w:tcBorders>
              <w:top w:val="nil"/>
              <w:left w:val="nil"/>
              <w:bottom w:val="single" w:sz="4" w:space="0" w:color="auto"/>
              <w:right w:val="single" w:sz="4" w:space="0" w:color="auto"/>
            </w:tcBorders>
            <w:noWrap/>
            <w:vAlign w:val="center"/>
            <w:hideMark/>
          </w:tcPr>
          <w:p w14:paraId="3E3D29F7" w14:textId="77777777" w:rsidR="00593435" w:rsidRDefault="00593435">
            <w:pPr>
              <w:spacing w:after="0"/>
              <w:jc w:val="center"/>
              <w:rPr>
                <w:rFonts w:ascii="Calibri" w:hAnsi="Calibri" w:cs="Calibri"/>
                <w:color w:val="000000"/>
                <w:szCs w:val="22"/>
                <w:lang w:val="en-US"/>
              </w:rPr>
            </w:pPr>
            <w:r>
              <w:rPr>
                <w:rFonts w:ascii="Calibri" w:hAnsi="Calibri"/>
                <w:color w:val="000000"/>
                <w:sz w:val="22"/>
                <w:szCs w:val="22"/>
              </w:rPr>
              <w:t>8%</w:t>
            </w:r>
          </w:p>
        </w:tc>
        <w:tc>
          <w:tcPr>
            <w:tcW w:w="640" w:type="dxa"/>
            <w:tcBorders>
              <w:top w:val="nil"/>
              <w:left w:val="nil"/>
              <w:bottom w:val="single" w:sz="4" w:space="0" w:color="auto"/>
              <w:right w:val="single" w:sz="8" w:space="0" w:color="auto"/>
            </w:tcBorders>
            <w:noWrap/>
            <w:vAlign w:val="center"/>
            <w:hideMark/>
          </w:tcPr>
          <w:p w14:paraId="4B7FC1BF" w14:textId="77777777" w:rsidR="00593435" w:rsidRDefault="00593435">
            <w:pPr>
              <w:spacing w:after="0"/>
              <w:jc w:val="center"/>
              <w:rPr>
                <w:rFonts w:ascii="Calibri" w:hAnsi="Calibri" w:cs="Calibri"/>
                <w:color w:val="000000"/>
                <w:szCs w:val="22"/>
                <w:lang w:val="en-US"/>
              </w:rPr>
            </w:pPr>
            <w:r>
              <w:rPr>
                <w:rFonts w:ascii="Calibri" w:hAnsi="Calibri"/>
                <w:color w:val="000000"/>
                <w:sz w:val="22"/>
                <w:szCs w:val="22"/>
              </w:rPr>
              <w:t>9%</w:t>
            </w:r>
          </w:p>
        </w:tc>
      </w:tr>
      <w:tr w:rsidR="00593435" w14:paraId="0D1FF849" w14:textId="77777777" w:rsidTr="00593435">
        <w:trPr>
          <w:trHeight w:val="297"/>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7B18EB6" w14:textId="77777777" w:rsidR="00593435" w:rsidRDefault="00593435">
            <w:pPr>
              <w:spacing w:after="0"/>
              <w:rPr>
                <w:rFonts w:ascii="Calibri" w:hAnsi="Calibri" w:cs="Calibri"/>
                <w:b/>
                <w:bCs/>
                <w:color w:val="000000"/>
                <w:szCs w:val="22"/>
                <w:lang w:val="en-US"/>
              </w:rPr>
            </w:pPr>
          </w:p>
        </w:tc>
        <w:tc>
          <w:tcPr>
            <w:tcW w:w="792" w:type="dxa"/>
            <w:tcBorders>
              <w:top w:val="nil"/>
              <w:left w:val="nil"/>
              <w:bottom w:val="single" w:sz="8" w:space="0" w:color="auto"/>
              <w:right w:val="nil"/>
            </w:tcBorders>
            <w:vAlign w:val="bottom"/>
            <w:hideMark/>
          </w:tcPr>
          <w:p w14:paraId="31BCA65F" w14:textId="77777777" w:rsidR="00593435" w:rsidRDefault="00593435">
            <w:pPr>
              <w:spacing w:after="0"/>
              <w:jc w:val="center"/>
              <w:rPr>
                <w:rFonts w:ascii="Calibri" w:hAnsi="Calibri" w:cs="Calibri"/>
                <w:b/>
                <w:bCs/>
                <w:color w:val="000000"/>
                <w:szCs w:val="24"/>
                <w:lang w:val="en-US"/>
              </w:rPr>
            </w:pPr>
            <w:r>
              <w:rPr>
                <w:rFonts w:ascii="Calibri" w:hAnsi="Calibri" w:cs="Calibri"/>
                <w:b/>
                <w:bCs/>
                <w:color w:val="000000"/>
                <w:szCs w:val="24"/>
                <w:lang w:val="en-US"/>
              </w:rPr>
              <w:t>3 dB</w:t>
            </w:r>
          </w:p>
        </w:tc>
        <w:tc>
          <w:tcPr>
            <w:tcW w:w="639" w:type="dxa"/>
            <w:tcBorders>
              <w:top w:val="nil"/>
              <w:left w:val="single" w:sz="8" w:space="0" w:color="auto"/>
              <w:bottom w:val="single" w:sz="8" w:space="0" w:color="auto"/>
              <w:right w:val="single" w:sz="4" w:space="0" w:color="auto"/>
            </w:tcBorders>
            <w:noWrap/>
            <w:vAlign w:val="center"/>
            <w:hideMark/>
          </w:tcPr>
          <w:p w14:paraId="2D476494" w14:textId="77777777" w:rsidR="00593435" w:rsidRPr="001E3110" w:rsidRDefault="00593435">
            <w:pPr>
              <w:spacing w:after="0"/>
              <w:jc w:val="center"/>
              <w:rPr>
                <w:rFonts w:ascii="Calibri" w:hAnsi="Calibri" w:cs="Calibri"/>
                <w:color w:val="000000"/>
                <w:szCs w:val="22"/>
                <w:highlight w:val="yellow"/>
                <w:lang w:val="en-US"/>
              </w:rPr>
            </w:pPr>
            <w:r w:rsidRPr="001E3110">
              <w:rPr>
                <w:rFonts w:ascii="Calibri" w:hAnsi="Calibri"/>
                <w:color w:val="000000"/>
                <w:sz w:val="22"/>
                <w:szCs w:val="22"/>
                <w:highlight w:val="yellow"/>
              </w:rPr>
              <w:t>11%</w:t>
            </w:r>
          </w:p>
        </w:tc>
        <w:tc>
          <w:tcPr>
            <w:tcW w:w="639" w:type="dxa"/>
            <w:tcBorders>
              <w:top w:val="nil"/>
              <w:left w:val="nil"/>
              <w:bottom w:val="single" w:sz="8" w:space="0" w:color="auto"/>
              <w:right w:val="single" w:sz="4" w:space="0" w:color="auto"/>
            </w:tcBorders>
            <w:noWrap/>
            <w:vAlign w:val="center"/>
            <w:hideMark/>
          </w:tcPr>
          <w:p w14:paraId="26EA41FB" w14:textId="77777777" w:rsidR="00593435" w:rsidRDefault="00593435">
            <w:pPr>
              <w:spacing w:after="0"/>
              <w:jc w:val="center"/>
              <w:rPr>
                <w:rFonts w:ascii="Calibri" w:hAnsi="Calibri" w:cs="Calibri"/>
                <w:color w:val="000000"/>
                <w:szCs w:val="22"/>
                <w:lang w:val="en-US"/>
              </w:rPr>
            </w:pPr>
            <w:r>
              <w:rPr>
                <w:rFonts w:ascii="Calibri" w:hAnsi="Calibri"/>
                <w:color w:val="000000"/>
                <w:sz w:val="22"/>
                <w:szCs w:val="22"/>
              </w:rPr>
              <w:t>12%</w:t>
            </w:r>
          </w:p>
        </w:tc>
        <w:tc>
          <w:tcPr>
            <w:tcW w:w="639" w:type="dxa"/>
            <w:tcBorders>
              <w:top w:val="nil"/>
              <w:left w:val="nil"/>
              <w:bottom w:val="single" w:sz="8" w:space="0" w:color="auto"/>
              <w:right w:val="single" w:sz="4" w:space="0" w:color="auto"/>
            </w:tcBorders>
            <w:noWrap/>
            <w:vAlign w:val="center"/>
            <w:hideMark/>
          </w:tcPr>
          <w:p w14:paraId="03F20737" w14:textId="77777777" w:rsidR="00593435" w:rsidRDefault="00593435">
            <w:pPr>
              <w:spacing w:after="0"/>
              <w:jc w:val="center"/>
              <w:rPr>
                <w:rFonts w:ascii="Calibri" w:hAnsi="Calibri" w:cs="Calibri"/>
                <w:color w:val="000000"/>
                <w:szCs w:val="22"/>
                <w:lang w:val="en-US"/>
              </w:rPr>
            </w:pPr>
            <w:r>
              <w:rPr>
                <w:rFonts w:ascii="Calibri" w:hAnsi="Calibri"/>
                <w:color w:val="000000"/>
                <w:sz w:val="22"/>
                <w:szCs w:val="22"/>
              </w:rPr>
              <w:t>13%</w:t>
            </w:r>
          </w:p>
        </w:tc>
        <w:tc>
          <w:tcPr>
            <w:tcW w:w="640" w:type="dxa"/>
            <w:tcBorders>
              <w:top w:val="nil"/>
              <w:left w:val="nil"/>
              <w:bottom w:val="single" w:sz="8" w:space="0" w:color="auto"/>
              <w:right w:val="single" w:sz="8" w:space="0" w:color="auto"/>
            </w:tcBorders>
            <w:noWrap/>
            <w:vAlign w:val="center"/>
            <w:hideMark/>
          </w:tcPr>
          <w:p w14:paraId="770B71F7" w14:textId="77777777" w:rsidR="00593435" w:rsidRDefault="00593435">
            <w:pPr>
              <w:spacing w:after="0"/>
              <w:jc w:val="center"/>
              <w:rPr>
                <w:rFonts w:ascii="Calibri" w:hAnsi="Calibri" w:cs="Calibri"/>
                <w:color w:val="000000"/>
                <w:szCs w:val="22"/>
                <w:lang w:val="en-US"/>
              </w:rPr>
            </w:pPr>
            <w:r>
              <w:rPr>
                <w:rFonts w:ascii="Calibri" w:hAnsi="Calibri"/>
                <w:color w:val="000000"/>
                <w:sz w:val="22"/>
                <w:szCs w:val="22"/>
              </w:rPr>
              <w:t>13%</w:t>
            </w:r>
          </w:p>
        </w:tc>
      </w:tr>
    </w:tbl>
    <w:p w14:paraId="1E84BD32" w14:textId="77777777" w:rsidR="00593435" w:rsidRDefault="00593435" w:rsidP="00593435">
      <w:pPr>
        <w:rPr>
          <w:lang w:val="en-US"/>
        </w:rPr>
      </w:pPr>
    </w:p>
    <w:p w14:paraId="655AF53D" w14:textId="1F9C93DB" w:rsidR="00593435" w:rsidRDefault="00593435" w:rsidP="00593435">
      <w:pPr>
        <w:pStyle w:val="Caption"/>
        <w:keepNext/>
        <w:jc w:val="center"/>
      </w:pPr>
      <w:bookmarkStart w:id="2" w:name="_Ref528766695"/>
      <w:r>
        <w:t xml:space="preserve">Table </w:t>
      </w:r>
      <w:r w:rsidR="00C624BB">
        <w:t>2.2-</w:t>
      </w:r>
      <w:r>
        <w:fldChar w:fldCharType="begin"/>
      </w:r>
      <w:r>
        <w:instrText xml:space="preserve"> SEQ Table \* ARABIC </w:instrText>
      </w:r>
      <w:r>
        <w:fldChar w:fldCharType="separate"/>
      </w:r>
      <w:r>
        <w:rPr>
          <w:noProof/>
        </w:rPr>
        <w:t>2</w:t>
      </w:r>
      <w:r>
        <w:fldChar w:fldCharType="end"/>
      </w:r>
      <w:bookmarkEnd w:id="2"/>
      <w:r>
        <w:t xml:space="preserve">. Cell-edge throughput loss for different CDF 50%-tile and peak </w:t>
      </w:r>
      <w:r>
        <w:br/>
        <w:t>relaxation combinations in UMa scenario with ISD = 200m</w:t>
      </w:r>
    </w:p>
    <w:tbl>
      <w:tblPr>
        <w:tblW w:w="4499" w:type="dxa"/>
        <w:jc w:val="center"/>
        <w:tblLook w:val="04A0" w:firstRow="1" w:lastRow="0" w:firstColumn="1" w:lastColumn="0" w:noHBand="0" w:noVBand="1"/>
      </w:tblPr>
      <w:tblGrid>
        <w:gridCol w:w="1150"/>
        <w:gridCol w:w="792"/>
        <w:gridCol w:w="639"/>
        <w:gridCol w:w="639"/>
        <w:gridCol w:w="639"/>
        <w:gridCol w:w="640"/>
      </w:tblGrid>
      <w:tr w:rsidR="00593435" w14:paraId="25037295" w14:textId="77777777" w:rsidTr="00593435">
        <w:trPr>
          <w:trHeight w:val="541"/>
          <w:jc w:val="center"/>
        </w:trPr>
        <w:tc>
          <w:tcPr>
            <w:tcW w:w="1150" w:type="dxa"/>
            <w:noWrap/>
            <w:vAlign w:val="bottom"/>
            <w:hideMark/>
          </w:tcPr>
          <w:p w14:paraId="6D7F0956" w14:textId="77777777" w:rsidR="00593435" w:rsidRDefault="00593435"/>
        </w:tc>
        <w:tc>
          <w:tcPr>
            <w:tcW w:w="792" w:type="dxa"/>
            <w:noWrap/>
            <w:vAlign w:val="bottom"/>
            <w:hideMark/>
          </w:tcPr>
          <w:p w14:paraId="3D9622D3" w14:textId="77777777" w:rsidR="00593435" w:rsidRDefault="00593435">
            <w:pPr>
              <w:spacing w:after="0"/>
              <w:rPr>
                <w:rFonts w:ascii="Tms Rmn" w:hAnsi="Tms Rmn"/>
                <w:lang w:val="en-US"/>
              </w:rPr>
            </w:pPr>
          </w:p>
        </w:tc>
        <w:tc>
          <w:tcPr>
            <w:tcW w:w="2557" w:type="dxa"/>
            <w:gridSpan w:val="4"/>
            <w:tcBorders>
              <w:top w:val="single" w:sz="8" w:space="0" w:color="auto"/>
              <w:left w:val="single" w:sz="8" w:space="0" w:color="auto"/>
              <w:bottom w:val="single" w:sz="8" w:space="0" w:color="auto"/>
              <w:right w:val="single" w:sz="8" w:space="0" w:color="000000"/>
            </w:tcBorders>
            <w:vAlign w:val="bottom"/>
            <w:hideMark/>
          </w:tcPr>
          <w:p w14:paraId="43C2D8C9" w14:textId="77777777" w:rsidR="00593435" w:rsidRDefault="00593435">
            <w:pPr>
              <w:spacing w:after="0"/>
              <w:jc w:val="center"/>
              <w:rPr>
                <w:rFonts w:ascii="Calibri" w:hAnsi="Calibri" w:cs="Calibri"/>
                <w:b/>
                <w:bCs/>
                <w:color w:val="000000"/>
                <w:sz w:val="22"/>
                <w:szCs w:val="24"/>
                <w:lang w:val="en-US"/>
              </w:rPr>
            </w:pPr>
            <w:r>
              <w:rPr>
                <w:rFonts w:ascii="Calibri" w:hAnsi="Calibri" w:cs="Calibri"/>
                <w:b/>
                <w:bCs/>
                <w:color w:val="000000"/>
                <w:sz w:val="22"/>
                <w:szCs w:val="24"/>
                <w:lang w:val="en-US"/>
              </w:rPr>
              <w:t xml:space="preserve">Cell-edge Throughput </w:t>
            </w:r>
            <w:r>
              <w:rPr>
                <w:rFonts w:ascii="Calibri" w:hAnsi="Calibri" w:cs="Calibri"/>
                <w:b/>
                <w:bCs/>
                <w:color w:val="000000"/>
                <w:sz w:val="22"/>
                <w:szCs w:val="24"/>
                <w:lang w:val="en-US"/>
              </w:rPr>
              <w:br/>
              <w:t>Loss [%]</w:t>
            </w:r>
          </w:p>
        </w:tc>
      </w:tr>
      <w:tr w:rsidR="00593435" w14:paraId="7C7F4FCA" w14:textId="77777777" w:rsidTr="00593435">
        <w:trPr>
          <w:trHeight w:val="297"/>
          <w:jc w:val="center"/>
        </w:trPr>
        <w:tc>
          <w:tcPr>
            <w:tcW w:w="1150" w:type="dxa"/>
            <w:noWrap/>
            <w:vAlign w:val="bottom"/>
            <w:hideMark/>
          </w:tcPr>
          <w:p w14:paraId="104F969F" w14:textId="77777777" w:rsidR="00593435" w:rsidRDefault="00593435">
            <w:pPr>
              <w:rPr>
                <w:rFonts w:ascii="Calibri" w:hAnsi="Calibri" w:cs="Calibri"/>
                <w:b/>
                <w:bCs/>
                <w:color w:val="000000"/>
                <w:sz w:val="22"/>
                <w:szCs w:val="24"/>
                <w:lang w:val="en-US"/>
              </w:rPr>
            </w:pPr>
          </w:p>
        </w:tc>
        <w:tc>
          <w:tcPr>
            <w:tcW w:w="792" w:type="dxa"/>
            <w:noWrap/>
            <w:vAlign w:val="bottom"/>
            <w:hideMark/>
          </w:tcPr>
          <w:p w14:paraId="58521918" w14:textId="77777777" w:rsidR="00593435" w:rsidRDefault="00593435">
            <w:pPr>
              <w:spacing w:after="0"/>
              <w:rPr>
                <w:rFonts w:ascii="Tms Rmn" w:hAnsi="Tms Rmn"/>
                <w:lang w:val="en-US"/>
              </w:rPr>
            </w:pPr>
          </w:p>
        </w:tc>
        <w:tc>
          <w:tcPr>
            <w:tcW w:w="2557" w:type="dxa"/>
            <w:gridSpan w:val="4"/>
            <w:tcBorders>
              <w:top w:val="single" w:sz="8" w:space="0" w:color="auto"/>
              <w:left w:val="single" w:sz="8" w:space="0" w:color="auto"/>
              <w:bottom w:val="single" w:sz="8" w:space="0" w:color="auto"/>
              <w:right w:val="single" w:sz="8" w:space="0" w:color="000000"/>
            </w:tcBorders>
            <w:vAlign w:val="bottom"/>
            <w:hideMark/>
          </w:tcPr>
          <w:p w14:paraId="6099848F" w14:textId="77777777" w:rsidR="00593435" w:rsidRDefault="00593435">
            <w:pPr>
              <w:spacing w:after="0"/>
              <w:jc w:val="center"/>
              <w:rPr>
                <w:rFonts w:ascii="Calibri" w:hAnsi="Calibri" w:cs="Calibri"/>
                <w:b/>
                <w:bCs/>
                <w:color w:val="000000"/>
                <w:sz w:val="22"/>
                <w:szCs w:val="24"/>
                <w:lang w:val="en-US"/>
              </w:rPr>
            </w:pPr>
            <w:r>
              <w:rPr>
                <w:rFonts w:ascii="Calibri" w:hAnsi="Calibri" w:cs="Calibri"/>
                <w:b/>
                <w:bCs/>
                <w:color w:val="000000"/>
                <w:sz w:val="22"/>
                <w:szCs w:val="24"/>
                <w:lang w:val="en-US"/>
              </w:rPr>
              <w:t>Peak EIRP relaxation</w:t>
            </w:r>
          </w:p>
        </w:tc>
      </w:tr>
      <w:tr w:rsidR="00593435" w14:paraId="2493085B" w14:textId="77777777" w:rsidTr="00593435">
        <w:trPr>
          <w:trHeight w:val="297"/>
          <w:jc w:val="center"/>
        </w:trPr>
        <w:tc>
          <w:tcPr>
            <w:tcW w:w="1150" w:type="dxa"/>
            <w:noWrap/>
            <w:vAlign w:val="bottom"/>
            <w:hideMark/>
          </w:tcPr>
          <w:p w14:paraId="3B250386" w14:textId="77777777" w:rsidR="00593435" w:rsidRDefault="00593435">
            <w:pPr>
              <w:rPr>
                <w:rFonts w:ascii="Calibri" w:hAnsi="Calibri" w:cs="Calibri"/>
                <w:b/>
                <w:bCs/>
                <w:color w:val="000000"/>
                <w:sz w:val="22"/>
                <w:szCs w:val="24"/>
                <w:lang w:val="en-US"/>
              </w:rPr>
            </w:pPr>
          </w:p>
        </w:tc>
        <w:tc>
          <w:tcPr>
            <w:tcW w:w="792" w:type="dxa"/>
            <w:hideMark/>
          </w:tcPr>
          <w:p w14:paraId="1605115C" w14:textId="77777777" w:rsidR="00593435" w:rsidRDefault="00593435">
            <w:pPr>
              <w:spacing w:after="0"/>
              <w:rPr>
                <w:rFonts w:ascii="Tms Rmn" w:hAnsi="Tms Rmn"/>
                <w:lang w:val="en-US"/>
              </w:rPr>
            </w:pPr>
          </w:p>
        </w:tc>
        <w:tc>
          <w:tcPr>
            <w:tcW w:w="639" w:type="dxa"/>
            <w:tcBorders>
              <w:top w:val="nil"/>
              <w:left w:val="single" w:sz="8" w:space="0" w:color="auto"/>
              <w:bottom w:val="nil"/>
              <w:right w:val="single" w:sz="8" w:space="0" w:color="auto"/>
            </w:tcBorders>
            <w:vAlign w:val="bottom"/>
            <w:hideMark/>
          </w:tcPr>
          <w:p w14:paraId="5B77BC8E" w14:textId="77777777" w:rsidR="00593435" w:rsidRDefault="00593435">
            <w:pPr>
              <w:spacing w:after="0"/>
              <w:jc w:val="center"/>
              <w:rPr>
                <w:rFonts w:ascii="Calibri" w:hAnsi="Calibri" w:cs="Calibri"/>
                <w:b/>
                <w:bCs/>
                <w:color w:val="000000"/>
                <w:sz w:val="22"/>
                <w:szCs w:val="24"/>
                <w:lang w:val="en-US"/>
              </w:rPr>
            </w:pPr>
            <w:r>
              <w:rPr>
                <w:rFonts w:ascii="Calibri" w:hAnsi="Calibri" w:cs="Calibri"/>
                <w:b/>
                <w:bCs/>
                <w:color w:val="000000"/>
                <w:sz w:val="22"/>
                <w:szCs w:val="24"/>
                <w:lang w:val="en-US"/>
              </w:rPr>
              <w:t>0 dB</w:t>
            </w:r>
          </w:p>
        </w:tc>
        <w:tc>
          <w:tcPr>
            <w:tcW w:w="639" w:type="dxa"/>
            <w:vAlign w:val="bottom"/>
            <w:hideMark/>
          </w:tcPr>
          <w:p w14:paraId="1B896E07" w14:textId="77777777" w:rsidR="00593435" w:rsidRDefault="00593435">
            <w:pPr>
              <w:spacing w:after="0"/>
              <w:jc w:val="center"/>
              <w:rPr>
                <w:rFonts w:ascii="Calibri" w:hAnsi="Calibri" w:cs="Calibri"/>
                <w:b/>
                <w:bCs/>
                <w:color w:val="000000"/>
                <w:sz w:val="22"/>
                <w:szCs w:val="24"/>
                <w:lang w:val="en-US"/>
              </w:rPr>
            </w:pPr>
            <w:r>
              <w:rPr>
                <w:rFonts w:ascii="Calibri" w:hAnsi="Calibri" w:cs="Calibri"/>
                <w:b/>
                <w:bCs/>
                <w:color w:val="000000"/>
                <w:sz w:val="22"/>
                <w:szCs w:val="24"/>
                <w:lang w:val="en-US"/>
              </w:rPr>
              <w:t>1 dB</w:t>
            </w:r>
          </w:p>
        </w:tc>
        <w:tc>
          <w:tcPr>
            <w:tcW w:w="639" w:type="dxa"/>
            <w:tcBorders>
              <w:top w:val="nil"/>
              <w:left w:val="single" w:sz="8" w:space="0" w:color="auto"/>
              <w:bottom w:val="nil"/>
              <w:right w:val="nil"/>
            </w:tcBorders>
            <w:vAlign w:val="bottom"/>
            <w:hideMark/>
          </w:tcPr>
          <w:p w14:paraId="024EBF3D" w14:textId="77777777" w:rsidR="00593435" w:rsidRDefault="00593435">
            <w:pPr>
              <w:spacing w:after="0"/>
              <w:jc w:val="center"/>
              <w:rPr>
                <w:rFonts w:ascii="Calibri" w:hAnsi="Calibri" w:cs="Calibri"/>
                <w:b/>
                <w:bCs/>
                <w:color w:val="000000"/>
                <w:sz w:val="22"/>
                <w:szCs w:val="24"/>
                <w:lang w:val="en-US"/>
              </w:rPr>
            </w:pPr>
            <w:r>
              <w:rPr>
                <w:rFonts w:ascii="Calibri" w:hAnsi="Calibri" w:cs="Calibri"/>
                <w:b/>
                <w:bCs/>
                <w:color w:val="000000"/>
                <w:sz w:val="22"/>
                <w:szCs w:val="24"/>
                <w:lang w:val="en-US"/>
              </w:rPr>
              <w:t>2 dB</w:t>
            </w:r>
          </w:p>
        </w:tc>
        <w:tc>
          <w:tcPr>
            <w:tcW w:w="640" w:type="dxa"/>
            <w:tcBorders>
              <w:top w:val="nil"/>
              <w:left w:val="single" w:sz="8" w:space="0" w:color="auto"/>
              <w:bottom w:val="nil"/>
              <w:right w:val="single" w:sz="8" w:space="0" w:color="auto"/>
            </w:tcBorders>
            <w:vAlign w:val="bottom"/>
            <w:hideMark/>
          </w:tcPr>
          <w:p w14:paraId="220B3F95" w14:textId="77777777" w:rsidR="00593435" w:rsidRDefault="00593435">
            <w:pPr>
              <w:spacing w:after="0"/>
              <w:jc w:val="center"/>
              <w:rPr>
                <w:rFonts w:ascii="Calibri" w:hAnsi="Calibri" w:cs="Calibri"/>
                <w:b/>
                <w:bCs/>
                <w:color w:val="000000"/>
                <w:sz w:val="22"/>
                <w:szCs w:val="24"/>
                <w:lang w:val="en-US"/>
              </w:rPr>
            </w:pPr>
            <w:r>
              <w:rPr>
                <w:rFonts w:ascii="Calibri" w:hAnsi="Calibri" w:cs="Calibri"/>
                <w:b/>
                <w:bCs/>
                <w:color w:val="000000"/>
                <w:sz w:val="22"/>
                <w:szCs w:val="24"/>
                <w:lang w:val="en-US"/>
              </w:rPr>
              <w:t>3 dB</w:t>
            </w:r>
          </w:p>
        </w:tc>
      </w:tr>
      <w:tr w:rsidR="00593435" w14:paraId="61AFA8D1" w14:textId="77777777" w:rsidTr="00593435">
        <w:trPr>
          <w:trHeight w:val="297"/>
          <w:jc w:val="center"/>
        </w:trPr>
        <w:tc>
          <w:tcPr>
            <w:tcW w:w="1150" w:type="dxa"/>
            <w:vMerge w:val="restart"/>
            <w:tcBorders>
              <w:top w:val="single" w:sz="8" w:space="0" w:color="auto"/>
              <w:left w:val="single" w:sz="8" w:space="0" w:color="auto"/>
              <w:bottom w:val="single" w:sz="8" w:space="0" w:color="000000"/>
              <w:right w:val="single" w:sz="8" w:space="0" w:color="auto"/>
            </w:tcBorders>
            <w:vAlign w:val="center"/>
            <w:hideMark/>
          </w:tcPr>
          <w:p w14:paraId="37B451A4" w14:textId="77777777" w:rsidR="00593435" w:rsidRDefault="00593435">
            <w:pPr>
              <w:spacing w:after="0"/>
              <w:jc w:val="center"/>
              <w:rPr>
                <w:rFonts w:ascii="Calibri" w:hAnsi="Calibri" w:cs="Calibri"/>
                <w:b/>
                <w:bCs/>
                <w:color w:val="000000"/>
                <w:szCs w:val="22"/>
                <w:lang w:val="en-US"/>
              </w:rPr>
            </w:pPr>
            <w:r>
              <w:rPr>
                <w:rFonts w:ascii="Calibri" w:hAnsi="Calibri" w:cs="Calibri"/>
                <w:b/>
                <w:bCs/>
                <w:color w:val="000000"/>
                <w:szCs w:val="22"/>
                <w:lang w:val="en-US"/>
              </w:rPr>
              <w:t xml:space="preserve">50%-tile </w:t>
            </w:r>
          </w:p>
          <w:p w14:paraId="1BACDE77" w14:textId="77777777" w:rsidR="00593435" w:rsidRDefault="00593435">
            <w:pPr>
              <w:spacing w:after="0"/>
              <w:jc w:val="center"/>
              <w:rPr>
                <w:rFonts w:ascii="Calibri" w:hAnsi="Calibri" w:cs="Calibri"/>
                <w:b/>
                <w:bCs/>
                <w:color w:val="000000"/>
                <w:szCs w:val="22"/>
                <w:lang w:val="en-US"/>
              </w:rPr>
            </w:pPr>
            <w:r>
              <w:rPr>
                <w:rFonts w:ascii="Calibri" w:hAnsi="Calibri" w:cs="Calibri"/>
                <w:b/>
                <w:bCs/>
                <w:color w:val="000000"/>
                <w:szCs w:val="22"/>
                <w:lang w:val="en-US"/>
              </w:rPr>
              <w:t>EIRP relaxation</w:t>
            </w:r>
          </w:p>
        </w:tc>
        <w:tc>
          <w:tcPr>
            <w:tcW w:w="792" w:type="dxa"/>
            <w:tcBorders>
              <w:top w:val="single" w:sz="8" w:space="0" w:color="auto"/>
              <w:left w:val="nil"/>
              <w:bottom w:val="single" w:sz="8" w:space="0" w:color="auto"/>
              <w:right w:val="nil"/>
            </w:tcBorders>
            <w:vAlign w:val="bottom"/>
            <w:hideMark/>
          </w:tcPr>
          <w:p w14:paraId="51DF458F" w14:textId="77777777" w:rsidR="00593435" w:rsidRDefault="00593435">
            <w:pPr>
              <w:spacing w:after="0"/>
              <w:jc w:val="center"/>
              <w:rPr>
                <w:rFonts w:ascii="Calibri" w:hAnsi="Calibri" w:cs="Calibri"/>
                <w:b/>
                <w:bCs/>
                <w:color w:val="000000"/>
                <w:szCs w:val="24"/>
                <w:lang w:val="en-US"/>
              </w:rPr>
            </w:pPr>
            <w:r>
              <w:rPr>
                <w:rFonts w:ascii="Calibri" w:hAnsi="Calibri" w:cs="Calibri"/>
                <w:b/>
                <w:bCs/>
                <w:color w:val="000000"/>
                <w:szCs w:val="24"/>
                <w:lang w:val="en-US"/>
              </w:rPr>
              <w:t>0 dB</w:t>
            </w:r>
          </w:p>
        </w:tc>
        <w:tc>
          <w:tcPr>
            <w:tcW w:w="639" w:type="dxa"/>
            <w:tcBorders>
              <w:top w:val="single" w:sz="8" w:space="0" w:color="auto"/>
              <w:left w:val="single" w:sz="8" w:space="0" w:color="auto"/>
              <w:bottom w:val="single" w:sz="4" w:space="0" w:color="auto"/>
              <w:right w:val="single" w:sz="4" w:space="0" w:color="auto"/>
            </w:tcBorders>
            <w:noWrap/>
            <w:vAlign w:val="center"/>
            <w:hideMark/>
          </w:tcPr>
          <w:p w14:paraId="7D7C5FFA" w14:textId="77777777" w:rsidR="00593435" w:rsidRPr="001E3110" w:rsidRDefault="00593435">
            <w:pPr>
              <w:spacing w:after="0"/>
              <w:jc w:val="center"/>
              <w:rPr>
                <w:rFonts w:ascii="Calibri" w:hAnsi="Calibri" w:cs="Calibri"/>
                <w:color w:val="000000"/>
                <w:szCs w:val="22"/>
                <w:lang w:val="en-US"/>
              </w:rPr>
            </w:pPr>
            <w:r w:rsidRPr="001E3110">
              <w:rPr>
                <w:rFonts w:ascii="Calibri" w:hAnsi="Calibri"/>
                <w:color w:val="000000"/>
                <w:sz w:val="22"/>
                <w:szCs w:val="22"/>
              </w:rPr>
              <w:t>0%</w:t>
            </w:r>
          </w:p>
        </w:tc>
        <w:tc>
          <w:tcPr>
            <w:tcW w:w="639" w:type="dxa"/>
            <w:tcBorders>
              <w:top w:val="single" w:sz="8" w:space="0" w:color="auto"/>
              <w:left w:val="nil"/>
              <w:bottom w:val="single" w:sz="4" w:space="0" w:color="auto"/>
              <w:right w:val="single" w:sz="4" w:space="0" w:color="auto"/>
            </w:tcBorders>
            <w:noWrap/>
            <w:vAlign w:val="center"/>
            <w:hideMark/>
          </w:tcPr>
          <w:p w14:paraId="277B02A4" w14:textId="77777777" w:rsidR="00593435" w:rsidRPr="001E3110" w:rsidRDefault="00593435">
            <w:pPr>
              <w:spacing w:after="0"/>
              <w:jc w:val="center"/>
              <w:rPr>
                <w:rFonts w:ascii="Calibri" w:hAnsi="Calibri" w:cs="Calibri"/>
                <w:color w:val="000000"/>
                <w:szCs w:val="22"/>
                <w:lang w:val="en-US"/>
              </w:rPr>
            </w:pPr>
            <w:r w:rsidRPr="001E3110">
              <w:rPr>
                <w:rFonts w:ascii="Calibri" w:hAnsi="Calibri"/>
                <w:color w:val="000000"/>
                <w:sz w:val="22"/>
                <w:szCs w:val="22"/>
              </w:rPr>
              <w:t>0%</w:t>
            </w:r>
          </w:p>
        </w:tc>
        <w:tc>
          <w:tcPr>
            <w:tcW w:w="639" w:type="dxa"/>
            <w:tcBorders>
              <w:top w:val="single" w:sz="8" w:space="0" w:color="auto"/>
              <w:left w:val="nil"/>
              <w:bottom w:val="single" w:sz="4" w:space="0" w:color="auto"/>
              <w:right w:val="single" w:sz="4" w:space="0" w:color="auto"/>
            </w:tcBorders>
            <w:noWrap/>
            <w:vAlign w:val="center"/>
            <w:hideMark/>
          </w:tcPr>
          <w:p w14:paraId="35211B21" w14:textId="77777777" w:rsidR="00593435" w:rsidRPr="001E3110" w:rsidRDefault="00593435">
            <w:pPr>
              <w:spacing w:after="0"/>
              <w:jc w:val="center"/>
              <w:rPr>
                <w:rFonts w:ascii="Calibri" w:hAnsi="Calibri" w:cs="Calibri"/>
                <w:color w:val="000000"/>
                <w:szCs w:val="22"/>
                <w:lang w:val="en-US"/>
              </w:rPr>
            </w:pPr>
            <w:r w:rsidRPr="001E3110">
              <w:rPr>
                <w:rFonts w:ascii="Calibri" w:hAnsi="Calibri"/>
                <w:color w:val="000000"/>
                <w:sz w:val="22"/>
                <w:szCs w:val="22"/>
              </w:rPr>
              <w:t>1%</w:t>
            </w:r>
          </w:p>
        </w:tc>
        <w:tc>
          <w:tcPr>
            <w:tcW w:w="640" w:type="dxa"/>
            <w:tcBorders>
              <w:top w:val="single" w:sz="8" w:space="0" w:color="auto"/>
              <w:left w:val="nil"/>
              <w:bottom w:val="single" w:sz="4" w:space="0" w:color="auto"/>
              <w:right w:val="single" w:sz="8" w:space="0" w:color="auto"/>
            </w:tcBorders>
            <w:noWrap/>
            <w:vAlign w:val="center"/>
            <w:hideMark/>
          </w:tcPr>
          <w:p w14:paraId="521A9AC0" w14:textId="77777777" w:rsidR="00593435" w:rsidRPr="001E3110" w:rsidRDefault="00593435">
            <w:pPr>
              <w:spacing w:after="0"/>
              <w:jc w:val="center"/>
              <w:rPr>
                <w:rFonts w:ascii="Calibri" w:hAnsi="Calibri" w:cs="Calibri"/>
                <w:color w:val="000000"/>
                <w:szCs w:val="22"/>
                <w:lang w:val="en-US"/>
              </w:rPr>
            </w:pPr>
            <w:r w:rsidRPr="001E3110">
              <w:rPr>
                <w:rFonts w:ascii="Calibri" w:hAnsi="Calibri"/>
                <w:color w:val="000000"/>
                <w:sz w:val="22"/>
                <w:szCs w:val="22"/>
              </w:rPr>
              <w:t>3%</w:t>
            </w:r>
          </w:p>
        </w:tc>
      </w:tr>
      <w:tr w:rsidR="00593435" w14:paraId="590687D8" w14:textId="77777777" w:rsidTr="00593435">
        <w:trPr>
          <w:trHeight w:val="297"/>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AEC3770" w14:textId="77777777" w:rsidR="00593435" w:rsidRDefault="00593435">
            <w:pPr>
              <w:spacing w:after="0"/>
              <w:rPr>
                <w:rFonts w:ascii="Calibri" w:hAnsi="Calibri" w:cs="Calibri"/>
                <w:b/>
                <w:bCs/>
                <w:color w:val="000000"/>
                <w:szCs w:val="22"/>
                <w:lang w:val="en-US"/>
              </w:rPr>
            </w:pPr>
          </w:p>
        </w:tc>
        <w:tc>
          <w:tcPr>
            <w:tcW w:w="792" w:type="dxa"/>
            <w:tcBorders>
              <w:top w:val="nil"/>
              <w:left w:val="nil"/>
              <w:bottom w:val="single" w:sz="8" w:space="0" w:color="auto"/>
              <w:right w:val="nil"/>
            </w:tcBorders>
            <w:vAlign w:val="bottom"/>
            <w:hideMark/>
          </w:tcPr>
          <w:p w14:paraId="4317918A" w14:textId="77777777" w:rsidR="00593435" w:rsidRDefault="00593435">
            <w:pPr>
              <w:spacing w:after="0"/>
              <w:jc w:val="center"/>
              <w:rPr>
                <w:rFonts w:ascii="Calibri" w:hAnsi="Calibri" w:cs="Calibri"/>
                <w:b/>
                <w:bCs/>
                <w:color w:val="000000"/>
                <w:szCs w:val="24"/>
                <w:lang w:val="en-US"/>
              </w:rPr>
            </w:pPr>
            <w:r>
              <w:rPr>
                <w:rFonts w:ascii="Calibri" w:hAnsi="Calibri" w:cs="Calibri"/>
                <w:b/>
                <w:bCs/>
                <w:color w:val="000000"/>
                <w:szCs w:val="24"/>
                <w:lang w:val="en-US"/>
              </w:rPr>
              <w:t>1 dB</w:t>
            </w:r>
          </w:p>
        </w:tc>
        <w:tc>
          <w:tcPr>
            <w:tcW w:w="639" w:type="dxa"/>
            <w:tcBorders>
              <w:top w:val="nil"/>
              <w:left w:val="single" w:sz="8" w:space="0" w:color="auto"/>
              <w:bottom w:val="single" w:sz="4" w:space="0" w:color="auto"/>
              <w:right w:val="single" w:sz="4" w:space="0" w:color="auto"/>
            </w:tcBorders>
            <w:noWrap/>
            <w:vAlign w:val="center"/>
            <w:hideMark/>
          </w:tcPr>
          <w:p w14:paraId="7A372A67" w14:textId="77777777" w:rsidR="00593435" w:rsidRPr="001E3110" w:rsidRDefault="00593435">
            <w:pPr>
              <w:spacing w:after="0"/>
              <w:jc w:val="center"/>
              <w:rPr>
                <w:rFonts w:ascii="Calibri" w:hAnsi="Calibri" w:cs="Calibri"/>
                <w:color w:val="000000"/>
                <w:szCs w:val="22"/>
                <w:lang w:val="en-US"/>
              </w:rPr>
            </w:pPr>
            <w:r w:rsidRPr="001E3110">
              <w:rPr>
                <w:rFonts w:ascii="Calibri" w:hAnsi="Calibri"/>
                <w:color w:val="000000"/>
                <w:sz w:val="22"/>
                <w:szCs w:val="22"/>
              </w:rPr>
              <w:t>13%</w:t>
            </w:r>
          </w:p>
        </w:tc>
        <w:tc>
          <w:tcPr>
            <w:tcW w:w="639" w:type="dxa"/>
            <w:tcBorders>
              <w:top w:val="nil"/>
              <w:left w:val="nil"/>
              <w:bottom w:val="single" w:sz="4" w:space="0" w:color="auto"/>
              <w:right w:val="single" w:sz="4" w:space="0" w:color="auto"/>
            </w:tcBorders>
            <w:noWrap/>
            <w:vAlign w:val="center"/>
            <w:hideMark/>
          </w:tcPr>
          <w:p w14:paraId="3162B85D" w14:textId="77777777" w:rsidR="00593435" w:rsidRPr="001E3110" w:rsidRDefault="00593435">
            <w:pPr>
              <w:spacing w:after="0"/>
              <w:jc w:val="center"/>
              <w:rPr>
                <w:rFonts w:ascii="Calibri" w:hAnsi="Calibri" w:cs="Calibri"/>
                <w:color w:val="000000"/>
                <w:szCs w:val="22"/>
                <w:lang w:val="en-US"/>
              </w:rPr>
            </w:pPr>
            <w:r w:rsidRPr="001E3110">
              <w:rPr>
                <w:rFonts w:ascii="Calibri" w:hAnsi="Calibri"/>
                <w:color w:val="000000"/>
                <w:sz w:val="22"/>
                <w:szCs w:val="22"/>
              </w:rPr>
              <w:t>14%</w:t>
            </w:r>
          </w:p>
        </w:tc>
        <w:tc>
          <w:tcPr>
            <w:tcW w:w="639" w:type="dxa"/>
            <w:tcBorders>
              <w:top w:val="nil"/>
              <w:left w:val="nil"/>
              <w:bottom w:val="single" w:sz="4" w:space="0" w:color="auto"/>
              <w:right w:val="single" w:sz="4" w:space="0" w:color="auto"/>
            </w:tcBorders>
            <w:noWrap/>
            <w:vAlign w:val="center"/>
            <w:hideMark/>
          </w:tcPr>
          <w:p w14:paraId="3347A6DF" w14:textId="77777777" w:rsidR="00593435" w:rsidRPr="001E3110" w:rsidRDefault="00593435">
            <w:pPr>
              <w:spacing w:after="0"/>
              <w:jc w:val="center"/>
              <w:rPr>
                <w:rFonts w:ascii="Calibri" w:hAnsi="Calibri" w:cs="Calibri"/>
                <w:color w:val="000000"/>
                <w:szCs w:val="22"/>
                <w:lang w:val="en-US"/>
              </w:rPr>
            </w:pPr>
            <w:r w:rsidRPr="001E3110">
              <w:rPr>
                <w:rFonts w:ascii="Calibri" w:hAnsi="Calibri"/>
                <w:color w:val="000000"/>
                <w:sz w:val="22"/>
                <w:szCs w:val="22"/>
              </w:rPr>
              <w:t>18%</w:t>
            </w:r>
          </w:p>
        </w:tc>
        <w:tc>
          <w:tcPr>
            <w:tcW w:w="640" w:type="dxa"/>
            <w:tcBorders>
              <w:top w:val="nil"/>
              <w:left w:val="nil"/>
              <w:bottom w:val="single" w:sz="4" w:space="0" w:color="auto"/>
              <w:right w:val="single" w:sz="8" w:space="0" w:color="auto"/>
            </w:tcBorders>
            <w:noWrap/>
            <w:vAlign w:val="center"/>
            <w:hideMark/>
          </w:tcPr>
          <w:p w14:paraId="5ED97FBE" w14:textId="77777777" w:rsidR="00593435" w:rsidRPr="001E3110" w:rsidRDefault="00593435">
            <w:pPr>
              <w:spacing w:after="0"/>
              <w:jc w:val="center"/>
              <w:rPr>
                <w:rFonts w:ascii="Calibri" w:hAnsi="Calibri" w:cs="Calibri"/>
                <w:color w:val="000000"/>
                <w:szCs w:val="22"/>
                <w:lang w:val="en-US"/>
              </w:rPr>
            </w:pPr>
            <w:r w:rsidRPr="001E3110">
              <w:rPr>
                <w:rFonts w:ascii="Calibri" w:hAnsi="Calibri"/>
                <w:color w:val="000000"/>
                <w:sz w:val="22"/>
                <w:szCs w:val="22"/>
              </w:rPr>
              <w:t>17%</w:t>
            </w:r>
          </w:p>
        </w:tc>
      </w:tr>
      <w:tr w:rsidR="00593435" w14:paraId="58093494" w14:textId="77777777" w:rsidTr="00593435">
        <w:trPr>
          <w:trHeight w:val="297"/>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A9651EB" w14:textId="77777777" w:rsidR="00593435" w:rsidRDefault="00593435">
            <w:pPr>
              <w:spacing w:after="0"/>
              <w:rPr>
                <w:rFonts w:ascii="Calibri" w:hAnsi="Calibri" w:cs="Calibri"/>
                <w:b/>
                <w:bCs/>
                <w:color w:val="000000"/>
                <w:szCs w:val="22"/>
                <w:lang w:val="en-US"/>
              </w:rPr>
            </w:pPr>
          </w:p>
        </w:tc>
        <w:tc>
          <w:tcPr>
            <w:tcW w:w="792" w:type="dxa"/>
            <w:tcBorders>
              <w:top w:val="nil"/>
              <w:left w:val="nil"/>
              <w:bottom w:val="single" w:sz="8" w:space="0" w:color="auto"/>
              <w:right w:val="nil"/>
            </w:tcBorders>
            <w:vAlign w:val="bottom"/>
            <w:hideMark/>
          </w:tcPr>
          <w:p w14:paraId="23D18628" w14:textId="77777777" w:rsidR="00593435" w:rsidRDefault="00593435">
            <w:pPr>
              <w:spacing w:after="0"/>
              <w:jc w:val="center"/>
              <w:rPr>
                <w:rFonts w:ascii="Calibri" w:hAnsi="Calibri" w:cs="Calibri"/>
                <w:b/>
                <w:bCs/>
                <w:color w:val="000000"/>
                <w:szCs w:val="24"/>
                <w:lang w:val="en-US"/>
              </w:rPr>
            </w:pPr>
            <w:r>
              <w:rPr>
                <w:rFonts w:ascii="Calibri" w:hAnsi="Calibri" w:cs="Calibri"/>
                <w:b/>
                <w:bCs/>
                <w:color w:val="000000"/>
                <w:szCs w:val="24"/>
                <w:lang w:val="en-US"/>
              </w:rPr>
              <w:t>2 dB</w:t>
            </w:r>
          </w:p>
        </w:tc>
        <w:tc>
          <w:tcPr>
            <w:tcW w:w="639" w:type="dxa"/>
            <w:tcBorders>
              <w:top w:val="nil"/>
              <w:left w:val="single" w:sz="8" w:space="0" w:color="auto"/>
              <w:bottom w:val="single" w:sz="4" w:space="0" w:color="auto"/>
              <w:right w:val="single" w:sz="4" w:space="0" w:color="auto"/>
            </w:tcBorders>
            <w:noWrap/>
            <w:vAlign w:val="center"/>
            <w:hideMark/>
          </w:tcPr>
          <w:p w14:paraId="38146195" w14:textId="77777777" w:rsidR="00593435" w:rsidRPr="001E3110" w:rsidRDefault="00593435">
            <w:pPr>
              <w:spacing w:after="0"/>
              <w:jc w:val="center"/>
              <w:rPr>
                <w:rFonts w:ascii="Calibri" w:hAnsi="Calibri" w:cs="Calibri"/>
                <w:color w:val="000000"/>
                <w:szCs w:val="22"/>
                <w:lang w:val="en-US"/>
              </w:rPr>
            </w:pPr>
            <w:r w:rsidRPr="001E3110">
              <w:rPr>
                <w:rFonts w:ascii="Calibri" w:hAnsi="Calibri"/>
                <w:color w:val="000000"/>
                <w:sz w:val="22"/>
                <w:szCs w:val="22"/>
              </w:rPr>
              <w:t>27%</w:t>
            </w:r>
          </w:p>
        </w:tc>
        <w:tc>
          <w:tcPr>
            <w:tcW w:w="639" w:type="dxa"/>
            <w:tcBorders>
              <w:top w:val="nil"/>
              <w:left w:val="nil"/>
              <w:bottom w:val="single" w:sz="4" w:space="0" w:color="auto"/>
              <w:right w:val="single" w:sz="4" w:space="0" w:color="auto"/>
            </w:tcBorders>
            <w:noWrap/>
            <w:vAlign w:val="center"/>
            <w:hideMark/>
          </w:tcPr>
          <w:p w14:paraId="00F05BB0" w14:textId="77777777" w:rsidR="00593435" w:rsidRPr="001E3110" w:rsidRDefault="00593435">
            <w:pPr>
              <w:spacing w:after="0"/>
              <w:jc w:val="center"/>
              <w:rPr>
                <w:rFonts w:ascii="Calibri" w:hAnsi="Calibri" w:cs="Calibri"/>
                <w:color w:val="000000"/>
                <w:szCs w:val="22"/>
                <w:lang w:val="en-US"/>
              </w:rPr>
            </w:pPr>
            <w:r w:rsidRPr="001E3110">
              <w:rPr>
                <w:rFonts w:ascii="Calibri" w:hAnsi="Calibri"/>
                <w:color w:val="000000"/>
                <w:sz w:val="22"/>
                <w:szCs w:val="22"/>
              </w:rPr>
              <w:t>29%</w:t>
            </w:r>
          </w:p>
        </w:tc>
        <w:tc>
          <w:tcPr>
            <w:tcW w:w="639" w:type="dxa"/>
            <w:tcBorders>
              <w:top w:val="nil"/>
              <w:left w:val="nil"/>
              <w:bottom w:val="single" w:sz="4" w:space="0" w:color="auto"/>
              <w:right w:val="single" w:sz="4" w:space="0" w:color="auto"/>
            </w:tcBorders>
            <w:noWrap/>
            <w:vAlign w:val="center"/>
            <w:hideMark/>
          </w:tcPr>
          <w:p w14:paraId="1FFA1826" w14:textId="77777777" w:rsidR="00593435" w:rsidRPr="001E3110" w:rsidRDefault="00593435">
            <w:pPr>
              <w:spacing w:after="0"/>
              <w:jc w:val="center"/>
              <w:rPr>
                <w:rFonts w:ascii="Calibri" w:hAnsi="Calibri" w:cs="Calibri"/>
                <w:color w:val="000000"/>
                <w:szCs w:val="22"/>
                <w:lang w:val="en-US"/>
              </w:rPr>
            </w:pPr>
            <w:r w:rsidRPr="001E3110">
              <w:rPr>
                <w:rFonts w:ascii="Calibri" w:hAnsi="Calibri"/>
                <w:color w:val="000000"/>
                <w:sz w:val="22"/>
                <w:szCs w:val="22"/>
              </w:rPr>
              <w:t>28%</w:t>
            </w:r>
          </w:p>
        </w:tc>
        <w:tc>
          <w:tcPr>
            <w:tcW w:w="640" w:type="dxa"/>
            <w:tcBorders>
              <w:top w:val="nil"/>
              <w:left w:val="nil"/>
              <w:bottom w:val="single" w:sz="4" w:space="0" w:color="auto"/>
              <w:right w:val="single" w:sz="8" w:space="0" w:color="auto"/>
            </w:tcBorders>
            <w:noWrap/>
            <w:vAlign w:val="center"/>
            <w:hideMark/>
          </w:tcPr>
          <w:p w14:paraId="587D3FE6" w14:textId="77777777" w:rsidR="00593435" w:rsidRPr="001E3110" w:rsidRDefault="00593435">
            <w:pPr>
              <w:spacing w:after="0"/>
              <w:jc w:val="center"/>
              <w:rPr>
                <w:rFonts w:ascii="Calibri" w:hAnsi="Calibri" w:cs="Calibri"/>
                <w:color w:val="000000"/>
                <w:szCs w:val="22"/>
                <w:lang w:val="en-US"/>
              </w:rPr>
            </w:pPr>
            <w:r w:rsidRPr="001E3110">
              <w:rPr>
                <w:rFonts w:ascii="Calibri" w:hAnsi="Calibri"/>
                <w:color w:val="000000"/>
                <w:sz w:val="22"/>
                <w:szCs w:val="22"/>
              </w:rPr>
              <w:t>32%</w:t>
            </w:r>
          </w:p>
        </w:tc>
      </w:tr>
      <w:tr w:rsidR="00593435" w14:paraId="0E1A4C4C" w14:textId="77777777" w:rsidTr="00593435">
        <w:trPr>
          <w:trHeight w:val="297"/>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4330800" w14:textId="77777777" w:rsidR="00593435" w:rsidRDefault="00593435">
            <w:pPr>
              <w:spacing w:after="0"/>
              <w:rPr>
                <w:rFonts w:ascii="Calibri" w:hAnsi="Calibri" w:cs="Calibri"/>
                <w:b/>
                <w:bCs/>
                <w:color w:val="000000"/>
                <w:szCs w:val="22"/>
                <w:lang w:val="en-US"/>
              </w:rPr>
            </w:pPr>
          </w:p>
        </w:tc>
        <w:tc>
          <w:tcPr>
            <w:tcW w:w="792" w:type="dxa"/>
            <w:tcBorders>
              <w:top w:val="nil"/>
              <w:left w:val="nil"/>
              <w:bottom w:val="single" w:sz="8" w:space="0" w:color="auto"/>
              <w:right w:val="nil"/>
            </w:tcBorders>
            <w:vAlign w:val="bottom"/>
            <w:hideMark/>
          </w:tcPr>
          <w:p w14:paraId="64C6D9F7" w14:textId="77777777" w:rsidR="00593435" w:rsidRDefault="00593435">
            <w:pPr>
              <w:spacing w:after="0"/>
              <w:jc w:val="center"/>
              <w:rPr>
                <w:rFonts w:ascii="Calibri" w:hAnsi="Calibri" w:cs="Calibri"/>
                <w:b/>
                <w:bCs/>
                <w:color w:val="000000"/>
                <w:szCs w:val="24"/>
                <w:lang w:val="en-US"/>
              </w:rPr>
            </w:pPr>
            <w:r>
              <w:rPr>
                <w:rFonts w:ascii="Calibri" w:hAnsi="Calibri" w:cs="Calibri"/>
                <w:b/>
                <w:bCs/>
                <w:color w:val="000000"/>
                <w:szCs w:val="24"/>
                <w:lang w:val="en-US"/>
              </w:rPr>
              <w:t>3 dB</w:t>
            </w:r>
          </w:p>
        </w:tc>
        <w:tc>
          <w:tcPr>
            <w:tcW w:w="639" w:type="dxa"/>
            <w:tcBorders>
              <w:top w:val="nil"/>
              <w:left w:val="single" w:sz="8" w:space="0" w:color="auto"/>
              <w:bottom w:val="single" w:sz="8" w:space="0" w:color="auto"/>
              <w:right w:val="single" w:sz="4" w:space="0" w:color="auto"/>
            </w:tcBorders>
            <w:noWrap/>
            <w:vAlign w:val="center"/>
            <w:hideMark/>
          </w:tcPr>
          <w:p w14:paraId="3BA4BD36" w14:textId="77777777" w:rsidR="00593435" w:rsidRPr="001E3110" w:rsidRDefault="00593435">
            <w:pPr>
              <w:spacing w:after="0"/>
              <w:jc w:val="center"/>
              <w:rPr>
                <w:rFonts w:ascii="Calibri" w:hAnsi="Calibri" w:cs="Calibri"/>
                <w:color w:val="000000"/>
                <w:szCs w:val="22"/>
                <w:lang w:val="en-US"/>
              </w:rPr>
            </w:pPr>
            <w:r w:rsidRPr="001E3110">
              <w:rPr>
                <w:rFonts w:ascii="Calibri" w:hAnsi="Calibri"/>
                <w:color w:val="000000"/>
                <w:sz w:val="22"/>
                <w:szCs w:val="22"/>
              </w:rPr>
              <w:t>38%</w:t>
            </w:r>
          </w:p>
        </w:tc>
        <w:tc>
          <w:tcPr>
            <w:tcW w:w="639" w:type="dxa"/>
            <w:tcBorders>
              <w:top w:val="nil"/>
              <w:left w:val="nil"/>
              <w:bottom w:val="single" w:sz="8" w:space="0" w:color="auto"/>
              <w:right w:val="single" w:sz="4" w:space="0" w:color="auto"/>
            </w:tcBorders>
            <w:noWrap/>
            <w:vAlign w:val="center"/>
            <w:hideMark/>
          </w:tcPr>
          <w:p w14:paraId="39FB8A59" w14:textId="77777777" w:rsidR="00593435" w:rsidRPr="001E3110" w:rsidRDefault="00593435">
            <w:pPr>
              <w:spacing w:after="0"/>
              <w:jc w:val="center"/>
              <w:rPr>
                <w:rFonts w:ascii="Calibri" w:hAnsi="Calibri" w:cs="Calibri"/>
                <w:color w:val="000000"/>
                <w:szCs w:val="22"/>
                <w:lang w:val="en-US"/>
              </w:rPr>
            </w:pPr>
            <w:r w:rsidRPr="001E3110">
              <w:rPr>
                <w:rFonts w:ascii="Calibri" w:hAnsi="Calibri"/>
                <w:color w:val="000000"/>
                <w:sz w:val="22"/>
                <w:szCs w:val="22"/>
              </w:rPr>
              <w:t>42%</w:t>
            </w:r>
          </w:p>
        </w:tc>
        <w:tc>
          <w:tcPr>
            <w:tcW w:w="639" w:type="dxa"/>
            <w:tcBorders>
              <w:top w:val="nil"/>
              <w:left w:val="nil"/>
              <w:bottom w:val="single" w:sz="8" w:space="0" w:color="auto"/>
              <w:right w:val="single" w:sz="4" w:space="0" w:color="auto"/>
            </w:tcBorders>
            <w:noWrap/>
            <w:vAlign w:val="center"/>
            <w:hideMark/>
          </w:tcPr>
          <w:p w14:paraId="01F747FC" w14:textId="77777777" w:rsidR="00593435" w:rsidRPr="001E3110" w:rsidRDefault="00593435">
            <w:pPr>
              <w:spacing w:after="0"/>
              <w:jc w:val="center"/>
              <w:rPr>
                <w:rFonts w:ascii="Calibri" w:hAnsi="Calibri" w:cs="Calibri"/>
                <w:color w:val="000000"/>
                <w:szCs w:val="22"/>
                <w:lang w:val="en-US"/>
              </w:rPr>
            </w:pPr>
            <w:r w:rsidRPr="001E3110">
              <w:rPr>
                <w:rFonts w:ascii="Calibri" w:hAnsi="Calibri"/>
                <w:color w:val="000000"/>
                <w:sz w:val="22"/>
                <w:szCs w:val="22"/>
              </w:rPr>
              <w:t>41%</w:t>
            </w:r>
          </w:p>
        </w:tc>
        <w:tc>
          <w:tcPr>
            <w:tcW w:w="640" w:type="dxa"/>
            <w:tcBorders>
              <w:top w:val="nil"/>
              <w:left w:val="nil"/>
              <w:bottom w:val="single" w:sz="8" w:space="0" w:color="auto"/>
              <w:right w:val="single" w:sz="8" w:space="0" w:color="auto"/>
            </w:tcBorders>
            <w:noWrap/>
            <w:vAlign w:val="center"/>
            <w:hideMark/>
          </w:tcPr>
          <w:p w14:paraId="06914540" w14:textId="77777777" w:rsidR="00593435" w:rsidRPr="001E3110" w:rsidRDefault="00593435">
            <w:pPr>
              <w:spacing w:after="0"/>
              <w:jc w:val="center"/>
              <w:rPr>
                <w:rFonts w:ascii="Calibri" w:hAnsi="Calibri" w:cs="Calibri"/>
                <w:color w:val="000000"/>
                <w:szCs w:val="22"/>
                <w:lang w:val="en-US"/>
              </w:rPr>
            </w:pPr>
            <w:r w:rsidRPr="001E3110">
              <w:rPr>
                <w:rFonts w:ascii="Calibri" w:hAnsi="Calibri"/>
                <w:color w:val="000000"/>
                <w:sz w:val="22"/>
                <w:szCs w:val="22"/>
              </w:rPr>
              <w:t>42%</w:t>
            </w:r>
          </w:p>
        </w:tc>
      </w:tr>
    </w:tbl>
    <w:p w14:paraId="6AE3C9F4" w14:textId="3FC79159" w:rsidR="00A73AEC" w:rsidRDefault="00A73AEC" w:rsidP="00036482">
      <w:pPr>
        <w:rPr>
          <w:lang w:eastAsia="en-US"/>
        </w:rPr>
      </w:pPr>
    </w:p>
    <w:p w14:paraId="661FD8F9" w14:textId="663B8B2E" w:rsidR="00A73AEC" w:rsidRDefault="0019558D" w:rsidP="00036482">
      <w:pPr>
        <w:rPr>
          <w:lang w:eastAsia="en-US"/>
        </w:rPr>
      </w:pPr>
      <w:r>
        <w:rPr>
          <w:lang w:eastAsia="en-US"/>
        </w:rPr>
        <w:t>In the context of this discussion, t</w:t>
      </w:r>
      <w:r w:rsidR="00FD5ACB">
        <w:rPr>
          <w:lang w:eastAsia="en-US"/>
        </w:rPr>
        <w:t xml:space="preserve">he trends are </w:t>
      </w:r>
      <w:r w:rsidR="00D21FF6">
        <w:rPr>
          <w:lang w:eastAsia="en-US"/>
        </w:rPr>
        <w:t xml:space="preserve">more useful than the actual numbers, and results </w:t>
      </w:r>
      <w:r w:rsidR="00F830AC">
        <w:rPr>
          <w:lang w:eastAsia="en-US"/>
        </w:rPr>
        <w:t xml:space="preserve">point to the importance of </w:t>
      </w:r>
      <w:r w:rsidR="00F830AC" w:rsidRPr="00093F3B">
        <w:rPr>
          <w:highlight w:val="yellow"/>
          <w:lang w:eastAsia="en-US"/>
        </w:rPr>
        <w:t>off-peak EIRP</w:t>
      </w:r>
      <w:r w:rsidR="00F830AC">
        <w:rPr>
          <w:lang w:eastAsia="en-US"/>
        </w:rPr>
        <w:t>.</w:t>
      </w:r>
      <w:r w:rsidR="008F6372">
        <w:rPr>
          <w:lang w:eastAsia="en-US"/>
        </w:rPr>
        <w:t xml:space="preserve"> </w:t>
      </w:r>
      <w:r w:rsidR="0067167C">
        <w:rPr>
          <w:lang w:eastAsia="en-US"/>
        </w:rPr>
        <w:t xml:space="preserve">There is relative insensitivity </w:t>
      </w:r>
      <w:r w:rsidR="0067167C" w:rsidRPr="00093F3B">
        <w:rPr>
          <w:highlight w:val="cyan"/>
          <w:lang w:eastAsia="en-US"/>
        </w:rPr>
        <w:t>to increased peak</w:t>
      </w:r>
      <w:r w:rsidR="0067167C">
        <w:rPr>
          <w:lang w:eastAsia="en-US"/>
        </w:rPr>
        <w:t xml:space="preserve"> direction performance</w:t>
      </w:r>
      <w:r w:rsidR="00093F3B">
        <w:rPr>
          <w:lang w:eastAsia="en-US"/>
        </w:rPr>
        <w:t xml:space="preserve">. </w:t>
      </w:r>
      <w:r w:rsidR="00CF5177">
        <w:rPr>
          <w:lang w:eastAsia="en-US"/>
        </w:rPr>
        <w:t xml:space="preserve">For example, for PC3, </w:t>
      </w:r>
      <w:r w:rsidR="008F6372">
        <w:rPr>
          <w:lang w:eastAsia="en-US"/>
        </w:rPr>
        <w:t xml:space="preserve">Peak EIRP improvement </w:t>
      </w:r>
      <w:r w:rsidR="00C32173">
        <w:rPr>
          <w:lang w:eastAsia="en-US"/>
        </w:rPr>
        <w:t xml:space="preserve">is meaningful </w:t>
      </w:r>
      <w:r w:rsidR="00CF5177">
        <w:rPr>
          <w:lang w:eastAsia="en-US"/>
        </w:rPr>
        <w:t>only if</w:t>
      </w:r>
      <w:r w:rsidR="00C32173">
        <w:rPr>
          <w:lang w:eastAsia="en-US"/>
        </w:rPr>
        <w:t xml:space="preserve"> it </w:t>
      </w:r>
      <w:r w:rsidR="006F24DA">
        <w:rPr>
          <w:lang w:eastAsia="en-US"/>
        </w:rPr>
        <w:t xml:space="preserve">is </w:t>
      </w:r>
      <w:r w:rsidR="00C32173">
        <w:rPr>
          <w:lang w:eastAsia="en-US"/>
        </w:rPr>
        <w:t xml:space="preserve">also accompanied by a </w:t>
      </w:r>
      <w:r w:rsidR="004C60CF">
        <w:rPr>
          <w:lang w:eastAsia="en-US"/>
        </w:rPr>
        <w:t>similar</w:t>
      </w:r>
      <w:r w:rsidR="00C32173">
        <w:rPr>
          <w:lang w:eastAsia="en-US"/>
        </w:rPr>
        <w:t xml:space="preserve"> increase in </w:t>
      </w:r>
      <w:r w:rsidR="006F24DA">
        <w:rPr>
          <w:lang w:eastAsia="en-US"/>
        </w:rPr>
        <w:t>the EIRP along the 50</w:t>
      </w:r>
      <w:r w:rsidR="006F24DA" w:rsidRPr="006F24DA">
        <w:rPr>
          <w:vertAlign w:val="superscript"/>
          <w:lang w:eastAsia="en-US"/>
        </w:rPr>
        <w:t>th</w:t>
      </w:r>
      <w:r w:rsidR="006F24DA">
        <w:rPr>
          <w:lang w:eastAsia="en-US"/>
        </w:rPr>
        <w:t>%ile direction</w:t>
      </w:r>
      <w:r w:rsidR="00BA5433">
        <w:rPr>
          <w:lang w:eastAsia="en-US"/>
        </w:rPr>
        <w:t>.</w:t>
      </w:r>
    </w:p>
    <w:p w14:paraId="4B8F868B" w14:textId="71B7C31A" w:rsidR="00A73AEC" w:rsidRDefault="0010024A" w:rsidP="00036482">
      <w:pPr>
        <w:rPr>
          <w:b/>
          <w:bCs/>
          <w:lang w:eastAsia="en-US"/>
        </w:rPr>
      </w:pPr>
      <w:r w:rsidRPr="00C31B96">
        <w:rPr>
          <w:b/>
          <w:bCs/>
          <w:lang w:eastAsia="en-US"/>
        </w:rPr>
        <w:t>Observation</w:t>
      </w:r>
      <w:r w:rsidR="004D29E7">
        <w:rPr>
          <w:b/>
          <w:bCs/>
          <w:lang w:eastAsia="en-US"/>
        </w:rPr>
        <w:t xml:space="preserve"> 2</w:t>
      </w:r>
      <w:r w:rsidRPr="00C31B96">
        <w:rPr>
          <w:b/>
          <w:bCs/>
          <w:lang w:eastAsia="en-US"/>
        </w:rPr>
        <w:t xml:space="preserve">: </w:t>
      </w:r>
      <w:r w:rsidR="005A546C" w:rsidRPr="00C31B96">
        <w:rPr>
          <w:b/>
          <w:bCs/>
          <w:lang w:eastAsia="en-US"/>
        </w:rPr>
        <w:t>Meaningful</w:t>
      </w:r>
      <w:r w:rsidRPr="00C31B96">
        <w:rPr>
          <w:b/>
          <w:bCs/>
          <w:lang w:eastAsia="en-US"/>
        </w:rPr>
        <w:t xml:space="preserve"> enhancement of </w:t>
      </w:r>
      <w:r w:rsidR="005A546C" w:rsidRPr="00C31B96">
        <w:rPr>
          <w:b/>
          <w:bCs/>
          <w:lang w:eastAsia="en-US"/>
        </w:rPr>
        <w:t xml:space="preserve">a UE’s spherical coverage involves improvement of EIRP </w:t>
      </w:r>
      <w:r w:rsidR="004C60CF">
        <w:rPr>
          <w:b/>
          <w:bCs/>
          <w:lang w:eastAsia="en-US"/>
        </w:rPr>
        <w:t>in</w:t>
      </w:r>
      <w:r w:rsidR="005A546C" w:rsidRPr="00C31B96">
        <w:rPr>
          <w:b/>
          <w:bCs/>
          <w:lang w:eastAsia="en-US"/>
        </w:rPr>
        <w:t xml:space="preserve"> </w:t>
      </w:r>
      <w:r w:rsidR="00E05B36">
        <w:rPr>
          <w:b/>
          <w:bCs/>
          <w:lang w:eastAsia="en-US"/>
        </w:rPr>
        <w:t xml:space="preserve">off-peak directions, for example at the </w:t>
      </w:r>
      <w:r w:rsidR="005A546C" w:rsidRPr="00C31B96">
        <w:rPr>
          <w:b/>
          <w:bCs/>
          <w:lang w:eastAsia="en-US"/>
        </w:rPr>
        <w:t>50</w:t>
      </w:r>
      <w:r w:rsidR="005A546C" w:rsidRPr="00C31B96">
        <w:rPr>
          <w:b/>
          <w:bCs/>
          <w:vertAlign w:val="superscript"/>
          <w:lang w:eastAsia="en-US"/>
        </w:rPr>
        <w:t>th</w:t>
      </w:r>
      <w:r w:rsidR="005A546C" w:rsidRPr="00C31B96">
        <w:rPr>
          <w:b/>
          <w:bCs/>
          <w:lang w:eastAsia="en-US"/>
        </w:rPr>
        <w:t xml:space="preserve">%ile point </w:t>
      </w:r>
      <w:r w:rsidR="00C31B96" w:rsidRPr="00C31B96">
        <w:rPr>
          <w:b/>
          <w:bCs/>
          <w:lang w:eastAsia="en-US"/>
        </w:rPr>
        <w:t>of the spherical coverage CDF curve</w:t>
      </w:r>
      <w:r w:rsidR="00E05B36">
        <w:rPr>
          <w:b/>
          <w:bCs/>
          <w:lang w:eastAsia="en-US"/>
        </w:rPr>
        <w:t xml:space="preserve"> for PC</w:t>
      </w:r>
      <w:r w:rsidR="00C75B40">
        <w:rPr>
          <w:b/>
          <w:bCs/>
          <w:lang w:eastAsia="en-US"/>
        </w:rPr>
        <w:t>3.</w:t>
      </w:r>
    </w:p>
    <w:p w14:paraId="48040B6A" w14:textId="691DEC45" w:rsidR="00603C2B" w:rsidRPr="003461A5" w:rsidRDefault="00603C2B" w:rsidP="00603C2B">
      <w:pPr>
        <w:pStyle w:val="Heading2"/>
        <w:rPr>
          <w:lang w:eastAsia="en-US"/>
        </w:rPr>
      </w:pPr>
      <w:r>
        <w:rPr>
          <w:lang w:eastAsia="en-US"/>
        </w:rPr>
        <w:t>2.3</w:t>
      </w:r>
      <w:r>
        <w:rPr>
          <w:lang w:eastAsia="en-US"/>
        </w:rPr>
        <w:tab/>
        <w:t>Another avenue for enhancement – multi-band relaxations</w:t>
      </w:r>
    </w:p>
    <w:p w14:paraId="31C4B109" w14:textId="17093B00" w:rsidR="00603C2B" w:rsidRDefault="00603C2B" w:rsidP="00603C2B">
      <w:pPr>
        <w:rPr>
          <w:lang w:eastAsia="en-US"/>
        </w:rPr>
      </w:pPr>
      <w:r>
        <w:rPr>
          <w:lang w:eastAsia="en-US"/>
        </w:rPr>
        <w:t xml:space="preserve">In rel-15 multi-band relaxations were introduced to accommodate early UE implementations and their design brief to cover multiple bands. Unfortunately, the eventual multi-band agreement turned out to be very complicated to </w:t>
      </w:r>
      <w:r>
        <w:rPr>
          <w:lang w:eastAsia="en-US"/>
        </w:rPr>
        <w:lastRenderedPageBreak/>
        <w:t>implement and police. It also adds a further dimension to the complexity of introducing a new band.</w:t>
      </w:r>
      <w:r w:rsidR="001E3110">
        <w:rPr>
          <w:lang w:eastAsia="en-US"/>
        </w:rPr>
        <w:t xml:space="preserve"> Also, the UE declared relaxations detract from network planning, due to uncertainty in expected UE performance in any band.</w:t>
      </w:r>
      <w:bookmarkStart w:id="3" w:name="_GoBack"/>
      <w:bookmarkEnd w:id="3"/>
    </w:p>
    <w:p w14:paraId="3107F70D" w14:textId="2C9583AF" w:rsidR="00EA06D5" w:rsidRPr="00EA06D5" w:rsidRDefault="00603C2B" w:rsidP="00603C2B">
      <w:pPr>
        <w:rPr>
          <w:lang w:eastAsia="en-US"/>
        </w:rPr>
      </w:pPr>
      <w:r>
        <w:rPr>
          <w:lang w:eastAsia="en-US"/>
        </w:rPr>
        <w:t xml:space="preserve">One possibility for RAN4 to consider, as part of the spherical coverage enhancement feature, is disbanding multiband relaxations altogether. </w:t>
      </w:r>
      <w:r w:rsidR="00EA06D5" w:rsidRPr="00EA06D5">
        <w:rPr>
          <w:lang w:eastAsia="en-US"/>
        </w:rPr>
        <w:t>We hence propose:</w:t>
      </w:r>
    </w:p>
    <w:p w14:paraId="7FE983CB" w14:textId="7DFEC967" w:rsidR="00EA06D5" w:rsidRPr="00603C2B" w:rsidRDefault="00EA06D5" w:rsidP="00603C2B">
      <w:pPr>
        <w:rPr>
          <w:b/>
          <w:bCs/>
          <w:lang w:eastAsia="en-US"/>
        </w:rPr>
      </w:pPr>
      <w:r>
        <w:rPr>
          <w:b/>
          <w:bCs/>
          <w:lang w:eastAsia="en-US"/>
        </w:rPr>
        <w:t>Proposal 1: Multi-band relaxations for FR2 UEs to EIRP and EIS requirements shall be removed for rel-16</w:t>
      </w:r>
    </w:p>
    <w:p w14:paraId="341E9DD8" w14:textId="3C8B554B" w:rsidR="009E54DA" w:rsidRPr="001E4305" w:rsidRDefault="00527894" w:rsidP="00240F55">
      <w:pPr>
        <w:pStyle w:val="Heading1"/>
        <w:ind w:left="0" w:firstLine="0"/>
      </w:pPr>
      <w:r>
        <w:t>3.</w:t>
      </w:r>
      <w:r>
        <w:tab/>
      </w:r>
      <w:r w:rsidR="009E54DA">
        <w:t>Conclusion</w:t>
      </w:r>
    </w:p>
    <w:p w14:paraId="1CF71FA4" w14:textId="0F53BE03" w:rsidR="0016620E" w:rsidRDefault="0016620E" w:rsidP="0016620E">
      <w:pPr>
        <w:rPr>
          <w:lang w:eastAsia="en-US"/>
        </w:rPr>
      </w:pPr>
      <w:r>
        <w:rPr>
          <w:lang w:eastAsia="en-US"/>
        </w:rPr>
        <w:t>There is strong correlation between the spherical coverage CDF values at the 20</w:t>
      </w:r>
      <w:r w:rsidRPr="00E4525A">
        <w:rPr>
          <w:vertAlign w:val="superscript"/>
          <w:lang w:eastAsia="en-US"/>
        </w:rPr>
        <w:t>th</w:t>
      </w:r>
      <w:r>
        <w:rPr>
          <w:lang w:eastAsia="en-US"/>
        </w:rPr>
        <w:t xml:space="preserve"> and 50</w:t>
      </w:r>
      <w:r w:rsidRPr="00AD4E84">
        <w:rPr>
          <w:vertAlign w:val="superscript"/>
          <w:lang w:eastAsia="en-US"/>
        </w:rPr>
        <w:t>th</w:t>
      </w:r>
      <w:r>
        <w:rPr>
          <w:lang w:eastAsia="en-US"/>
        </w:rPr>
        <w:t>%ile directions</w:t>
      </w:r>
      <w:r w:rsidR="005B6B97">
        <w:rPr>
          <w:lang w:eastAsia="en-US"/>
        </w:rPr>
        <w:t>, respectively</w:t>
      </w:r>
      <w:r w:rsidR="004D29E7">
        <w:rPr>
          <w:lang w:eastAsia="en-US"/>
        </w:rPr>
        <w:t>.</w:t>
      </w:r>
    </w:p>
    <w:p w14:paraId="71367976" w14:textId="77777777" w:rsidR="004D29E7" w:rsidRPr="008367AF" w:rsidRDefault="004D29E7" w:rsidP="004D29E7">
      <w:pPr>
        <w:rPr>
          <w:b/>
          <w:bCs/>
          <w:lang w:eastAsia="en-US"/>
        </w:rPr>
      </w:pPr>
      <w:r w:rsidRPr="00C31B96">
        <w:rPr>
          <w:b/>
          <w:bCs/>
          <w:lang w:eastAsia="en-US"/>
        </w:rPr>
        <w:t>Observation</w:t>
      </w:r>
      <w:r>
        <w:rPr>
          <w:b/>
          <w:bCs/>
          <w:lang w:eastAsia="en-US"/>
        </w:rPr>
        <w:t xml:space="preserve"> </w:t>
      </w:r>
      <w:r w:rsidRPr="008367AF">
        <w:rPr>
          <w:b/>
          <w:bCs/>
          <w:lang w:eastAsia="en-US"/>
        </w:rPr>
        <w:t xml:space="preserve">1: </w:t>
      </w:r>
      <w:r>
        <w:rPr>
          <w:b/>
          <w:bCs/>
          <w:lang w:eastAsia="en-US"/>
        </w:rPr>
        <w:t>S</w:t>
      </w:r>
      <w:r w:rsidRPr="008367AF">
        <w:rPr>
          <w:b/>
          <w:bCs/>
          <w:lang w:eastAsia="en-US"/>
        </w:rPr>
        <w:t xml:space="preserve">pherical coverage specification </w:t>
      </w:r>
      <w:r>
        <w:rPr>
          <w:b/>
          <w:bCs/>
          <w:lang w:eastAsia="en-US"/>
        </w:rPr>
        <w:t>can</w:t>
      </w:r>
      <w:r w:rsidRPr="008367AF">
        <w:rPr>
          <w:b/>
          <w:bCs/>
          <w:lang w:eastAsia="en-US"/>
        </w:rPr>
        <w:t xml:space="preserve"> be limited to any one point on the CDF curve, rather than multiple points.</w:t>
      </w:r>
    </w:p>
    <w:p w14:paraId="69AFE3BE" w14:textId="7808200A" w:rsidR="00AA2D60" w:rsidRDefault="007300F4" w:rsidP="004D17AA">
      <w:pPr>
        <w:rPr>
          <w:lang w:eastAsia="en-US"/>
        </w:rPr>
      </w:pPr>
      <w:r>
        <w:rPr>
          <w:lang w:eastAsia="en-US"/>
        </w:rPr>
        <w:t>Based on previous system studies, we obser</w:t>
      </w:r>
      <w:r w:rsidR="006878D5">
        <w:rPr>
          <w:lang w:eastAsia="en-US"/>
        </w:rPr>
        <w:t>ved stronger dependence on off-peak performance</w:t>
      </w:r>
      <w:r w:rsidR="00937612">
        <w:rPr>
          <w:lang w:eastAsia="en-US"/>
        </w:rPr>
        <w:t xml:space="preserve"> than peak-direction performance.</w:t>
      </w:r>
    </w:p>
    <w:p w14:paraId="6F5DA204" w14:textId="405D68DD" w:rsidR="00C75B40" w:rsidRDefault="00C75B40" w:rsidP="00C75B40">
      <w:pPr>
        <w:rPr>
          <w:b/>
          <w:bCs/>
          <w:lang w:eastAsia="en-US"/>
        </w:rPr>
      </w:pPr>
      <w:r w:rsidRPr="00C31B96">
        <w:rPr>
          <w:b/>
          <w:bCs/>
          <w:lang w:eastAsia="en-US"/>
        </w:rPr>
        <w:t>Observation</w:t>
      </w:r>
      <w:r w:rsidR="004D29E7">
        <w:rPr>
          <w:b/>
          <w:bCs/>
          <w:lang w:eastAsia="en-US"/>
        </w:rPr>
        <w:t xml:space="preserve"> 2</w:t>
      </w:r>
      <w:r w:rsidRPr="00C31B96">
        <w:rPr>
          <w:b/>
          <w:bCs/>
          <w:lang w:eastAsia="en-US"/>
        </w:rPr>
        <w:t xml:space="preserve">: Meaningful enhancement of a UE’s spherical coverage involves improvement of EIRP </w:t>
      </w:r>
      <w:r w:rsidR="004C60CF">
        <w:rPr>
          <w:b/>
          <w:bCs/>
          <w:lang w:eastAsia="en-US"/>
        </w:rPr>
        <w:t>in</w:t>
      </w:r>
      <w:r w:rsidRPr="00C31B96">
        <w:rPr>
          <w:b/>
          <w:bCs/>
          <w:lang w:eastAsia="en-US"/>
        </w:rPr>
        <w:t xml:space="preserve"> </w:t>
      </w:r>
      <w:r>
        <w:rPr>
          <w:b/>
          <w:bCs/>
          <w:lang w:eastAsia="en-US"/>
        </w:rPr>
        <w:t xml:space="preserve">off-peak directions, for example at the </w:t>
      </w:r>
      <w:r w:rsidRPr="00C31B96">
        <w:rPr>
          <w:b/>
          <w:bCs/>
          <w:lang w:eastAsia="en-US"/>
        </w:rPr>
        <w:t>50</w:t>
      </w:r>
      <w:r w:rsidRPr="00C31B96">
        <w:rPr>
          <w:b/>
          <w:bCs/>
          <w:vertAlign w:val="superscript"/>
          <w:lang w:eastAsia="en-US"/>
        </w:rPr>
        <w:t>th</w:t>
      </w:r>
      <w:r w:rsidRPr="00C31B96">
        <w:rPr>
          <w:b/>
          <w:bCs/>
          <w:lang w:eastAsia="en-US"/>
        </w:rPr>
        <w:t>%ile point of the spherical coverage CDF curve</w:t>
      </w:r>
      <w:r>
        <w:rPr>
          <w:b/>
          <w:bCs/>
          <w:lang w:eastAsia="en-US"/>
        </w:rPr>
        <w:t xml:space="preserve"> for PC3.</w:t>
      </w:r>
    </w:p>
    <w:p w14:paraId="5A8CBBED" w14:textId="25EAE34F" w:rsidR="00603C2B" w:rsidRPr="00603C2B" w:rsidRDefault="00603C2B" w:rsidP="00C75B40">
      <w:pPr>
        <w:rPr>
          <w:lang w:eastAsia="en-US"/>
        </w:rPr>
      </w:pPr>
      <w:r>
        <w:rPr>
          <w:lang w:eastAsia="en-US"/>
        </w:rPr>
        <w:t>Finally, we recognize that the multi-band relaxations of rel-15 are complicated, and difficult to verify.</w:t>
      </w:r>
      <w:r w:rsidR="003C55EB">
        <w:rPr>
          <w:lang w:eastAsia="en-US"/>
        </w:rPr>
        <w:t xml:space="preserve"> A possible avenue to enhance the standard is captured in a proposal:</w:t>
      </w:r>
    </w:p>
    <w:p w14:paraId="24EC71F7" w14:textId="7DE58117" w:rsidR="00EA06D5" w:rsidRPr="00C31B96" w:rsidRDefault="00EA06D5" w:rsidP="00C75B40">
      <w:pPr>
        <w:rPr>
          <w:b/>
          <w:bCs/>
          <w:lang w:eastAsia="en-US"/>
        </w:rPr>
      </w:pPr>
      <w:r>
        <w:rPr>
          <w:b/>
          <w:bCs/>
          <w:lang w:eastAsia="en-US"/>
        </w:rPr>
        <w:t>Proposal 1: Multi-band relaxations for FR2 UEs to EIRP and EIS requirements shall be removed for rel-16</w:t>
      </w:r>
    </w:p>
    <w:p w14:paraId="432A6B97" w14:textId="77777777" w:rsidR="0045428D" w:rsidRDefault="00534C0E" w:rsidP="00534C0E">
      <w:pPr>
        <w:pStyle w:val="Heading1"/>
        <w:rPr>
          <w:b/>
          <w:sz w:val="24"/>
        </w:rPr>
      </w:pPr>
      <w:r>
        <w:t xml:space="preserve">4. </w:t>
      </w:r>
      <w:r>
        <w:tab/>
      </w:r>
      <w:r w:rsidR="00934DE1" w:rsidRPr="00534C0E">
        <w:t>References</w:t>
      </w:r>
    </w:p>
    <w:p w14:paraId="08116B98" w14:textId="1EDA1A9B" w:rsidR="00240F55" w:rsidRDefault="00240F55" w:rsidP="00240F55">
      <w:pPr>
        <w:pStyle w:val="List"/>
      </w:pPr>
      <w:r>
        <w:t>[</w:t>
      </w:r>
      <w:r w:rsidR="00E3577E">
        <w:t>1</w:t>
      </w:r>
      <w:r>
        <w:t>]</w:t>
      </w:r>
      <w:r>
        <w:tab/>
        <w:t>R4-191</w:t>
      </w:r>
      <w:r w:rsidR="00CA3A48">
        <w:t>1594</w:t>
      </w:r>
      <w:r>
        <w:t>, ‘</w:t>
      </w:r>
      <w:r w:rsidR="00CA3A48" w:rsidRPr="00CA3A48">
        <w:t>Enhanced spherical coverage requirement for FR2 PC3 UE</w:t>
      </w:r>
      <w:r>
        <w:t>’,</w:t>
      </w:r>
      <w:r w:rsidRPr="00414CE5">
        <w:t xml:space="preserve"> </w:t>
      </w:r>
      <w:r w:rsidR="00CA3A48">
        <w:t>Nokia</w:t>
      </w:r>
      <w:r>
        <w:t xml:space="preserve">, </w:t>
      </w:r>
      <w:r w:rsidRPr="00414CE5">
        <w:t>3GPP TSG-RAN WG4 Meeting #9</w:t>
      </w:r>
      <w:r>
        <w:t>2-Bis, Chongqing, CN</w:t>
      </w:r>
      <w:r w:rsidRPr="00414CE5">
        <w:t xml:space="preserve">, </w:t>
      </w:r>
      <w:r>
        <w:t>Oct</w:t>
      </w:r>
      <w:r w:rsidRPr="00414CE5">
        <w:t xml:space="preserve"> 2019</w:t>
      </w:r>
    </w:p>
    <w:p w14:paraId="71468EA5" w14:textId="2783FE1B" w:rsidR="00CA3A48" w:rsidRDefault="00CA3A48" w:rsidP="00CA3A48">
      <w:pPr>
        <w:pStyle w:val="List"/>
      </w:pPr>
      <w:r>
        <w:t>[2]</w:t>
      </w:r>
      <w:r>
        <w:tab/>
        <w:t>R4-1911715, ‘</w:t>
      </w:r>
      <w:r w:rsidRPr="00CA3A48">
        <w:t>Power class frame work in FR2</w:t>
      </w:r>
      <w:r>
        <w:t>’,</w:t>
      </w:r>
      <w:r w:rsidRPr="00414CE5">
        <w:t xml:space="preserve"> </w:t>
      </w:r>
      <w:r>
        <w:t xml:space="preserve">NTT Docomo, </w:t>
      </w:r>
      <w:r w:rsidRPr="00414CE5">
        <w:t>3GPP TSG-RAN WG4 Meeting #9</w:t>
      </w:r>
      <w:r>
        <w:t>2-Bis, Chongqing, CN</w:t>
      </w:r>
      <w:r w:rsidRPr="00414CE5">
        <w:t xml:space="preserve">, </w:t>
      </w:r>
      <w:r>
        <w:t>Oct</w:t>
      </w:r>
      <w:r w:rsidRPr="00414CE5">
        <w:t xml:space="preserve"> 2019</w:t>
      </w:r>
    </w:p>
    <w:p w14:paraId="6A7E32DC" w14:textId="48A06E74" w:rsidR="00364D5D" w:rsidRDefault="00364D5D" w:rsidP="00364D5D">
      <w:pPr>
        <w:pStyle w:val="List"/>
      </w:pPr>
      <w:r>
        <w:t>[3]</w:t>
      </w:r>
      <w:r>
        <w:tab/>
        <w:t>R4-1816034, ‘</w:t>
      </w:r>
      <w:r w:rsidR="005E0DF6" w:rsidRPr="005E0DF6">
        <w:t>Impact of multi-band spherical relaxation on network performance</w:t>
      </w:r>
      <w:r>
        <w:t>’,</w:t>
      </w:r>
      <w:r w:rsidRPr="00414CE5">
        <w:t xml:space="preserve"> </w:t>
      </w:r>
      <w:r w:rsidR="005E0DF6">
        <w:t>Qualcomm</w:t>
      </w:r>
      <w:r>
        <w:t xml:space="preserve">, </w:t>
      </w:r>
      <w:r w:rsidRPr="00414CE5">
        <w:t>3GPP TSG-RAN WG4 Meeting #</w:t>
      </w:r>
      <w:r w:rsidR="005E0DF6">
        <w:t>89</w:t>
      </w:r>
      <w:r>
        <w:t xml:space="preserve">, </w:t>
      </w:r>
      <w:r w:rsidR="005E0DF6">
        <w:t>Spokane, WA</w:t>
      </w:r>
      <w:r w:rsidRPr="00414CE5">
        <w:t xml:space="preserve">, </w:t>
      </w:r>
      <w:r w:rsidR="005E0DF6">
        <w:t>Nov</w:t>
      </w:r>
      <w:r w:rsidRPr="00414CE5">
        <w:t xml:space="preserve"> 201</w:t>
      </w:r>
      <w:r w:rsidR="005E0DF6">
        <w:t>8</w:t>
      </w:r>
    </w:p>
    <w:p w14:paraId="0DB81805" w14:textId="77777777" w:rsidR="00364D5D" w:rsidRDefault="00364D5D" w:rsidP="00CA3A48">
      <w:pPr>
        <w:pStyle w:val="List"/>
      </w:pPr>
    </w:p>
    <w:p w14:paraId="303B62B5" w14:textId="77777777" w:rsidR="00CA3A48" w:rsidRDefault="00CA3A48" w:rsidP="00240F55">
      <w:pPr>
        <w:pStyle w:val="List"/>
      </w:pPr>
    </w:p>
    <w:p w14:paraId="38318E81" w14:textId="1B0C9D78" w:rsidR="002F0FC5" w:rsidRDefault="002F0FC5" w:rsidP="002F0FC5">
      <w:pPr>
        <w:pStyle w:val="Heading1"/>
      </w:pPr>
      <w:r>
        <w:lastRenderedPageBreak/>
        <w:t>5.0</w:t>
      </w:r>
      <w:r>
        <w:tab/>
        <w:t>Annex</w:t>
      </w:r>
    </w:p>
    <w:p w14:paraId="4E01CD59" w14:textId="31DAEF0F" w:rsidR="002F0FC5" w:rsidRPr="002F0FC5" w:rsidRDefault="00CA3A48" w:rsidP="002F0FC5">
      <w:r w:rsidRPr="00CA3A48">
        <w:rPr>
          <w:noProof/>
        </w:rPr>
        <w:drawing>
          <wp:inline distT="0" distB="0" distL="0" distR="0" wp14:anchorId="3711EF36" wp14:editId="6FD91AD6">
            <wp:extent cx="6116320" cy="4541520"/>
            <wp:effectExtent l="152400" t="152400" r="360680" b="3543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6320" cy="4541520"/>
                    </a:xfrm>
                    <a:prstGeom prst="rect">
                      <a:avLst/>
                    </a:prstGeom>
                    <a:ln>
                      <a:noFill/>
                    </a:ln>
                    <a:effectLst>
                      <a:outerShdw blurRad="292100" dist="139700" dir="2700000" algn="tl" rotWithShape="0">
                        <a:srgbClr val="333333">
                          <a:alpha val="65000"/>
                        </a:srgbClr>
                      </a:outerShdw>
                    </a:effectLst>
                  </pic:spPr>
                </pic:pic>
              </a:graphicData>
            </a:graphic>
          </wp:inline>
        </w:drawing>
      </w:r>
    </w:p>
    <w:sectPr w:rsidR="002F0FC5" w:rsidRPr="002F0FC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E6D21" w14:textId="77777777" w:rsidR="00F03612" w:rsidRDefault="00F03612" w:rsidP="009939B7">
      <w:pPr>
        <w:spacing w:after="0"/>
      </w:pPr>
      <w:r>
        <w:separator/>
      </w:r>
    </w:p>
  </w:endnote>
  <w:endnote w:type="continuationSeparator" w:id="0">
    <w:p w14:paraId="3C1ACC84" w14:textId="77777777" w:rsidR="00F03612" w:rsidRDefault="00F03612"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687AD" w14:textId="77777777" w:rsidR="00F03612" w:rsidRDefault="00F03612" w:rsidP="009939B7">
      <w:pPr>
        <w:spacing w:after="0"/>
      </w:pPr>
      <w:r>
        <w:separator/>
      </w:r>
    </w:p>
  </w:footnote>
  <w:footnote w:type="continuationSeparator" w:id="0">
    <w:p w14:paraId="58474D39" w14:textId="77777777" w:rsidR="00F03612" w:rsidRDefault="00F03612"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266E22"/>
    <w:multiLevelType w:val="hybridMultilevel"/>
    <w:tmpl w:val="4E4E71C0"/>
    <w:lvl w:ilvl="0" w:tplc="BD24C23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9"/>
  </w:num>
  <w:num w:numId="9">
    <w:abstractNumId w:val="16"/>
  </w:num>
  <w:num w:numId="10">
    <w:abstractNumId w:val="15"/>
  </w:num>
  <w:num w:numId="11">
    <w:abstractNumId w:val="14"/>
  </w:num>
  <w:num w:numId="12">
    <w:abstractNumId w:val="9"/>
  </w:num>
  <w:num w:numId="13">
    <w:abstractNumId w:val="17"/>
  </w:num>
  <w:num w:numId="14">
    <w:abstractNumId w:val="13"/>
  </w:num>
  <w:num w:numId="15">
    <w:abstractNumId w:val="8"/>
  </w:num>
  <w:num w:numId="16">
    <w:abstractNumId w:val="22"/>
  </w:num>
  <w:num w:numId="17">
    <w:abstractNumId w:val="20"/>
  </w:num>
  <w:num w:numId="18">
    <w:abstractNumId w:val="10"/>
  </w:num>
  <w:num w:numId="19">
    <w:abstractNumId w:val="7"/>
  </w:num>
  <w:num w:numId="20">
    <w:abstractNumId w:val="18"/>
  </w:num>
  <w:num w:numId="21">
    <w:abstractNumId w:val="11"/>
  </w:num>
  <w:num w:numId="22">
    <w:abstractNumId w:val="21"/>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21CED"/>
    <w:rsid w:val="000262B9"/>
    <w:rsid w:val="0003097A"/>
    <w:rsid w:val="00032669"/>
    <w:rsid w:val="0003617C"/>
    <w:rsid w:val="00036482"/>
    <w:rsid w:val="00037A84"/>
    <w:rsid w:val="000454A9"/>
    <w:rsid w:val="00050DE1"/>
    <w:rsid w:val="00052300"/>
    <w:rsid w:val="0006136D"/>
    <w:rsid w:val="00077EB3"/>
    <w:rsid w:val="00081EA7"/>
    <w:rsid w:val="000831CC"/>
    <w:rsid w:val="000908D9"/>
    <w:rsid w:val="00093F3B"/>
    <w:rsid w:val="000A567D"/>
    <w:rsid w:val="000A643B"/>
    <w:rsid w:val="000B0067"/>
    <w:rsid w:val="000B3FA1"/>
    <w:rsid w:val="000B45CB"/>
    <w:rsid w:val="000B7BD5"/>
    <w:rsid w:val="000C678D"/>
    <w:rsid w:val="000D18EC"/>
    <w:rsid w:val="000E0A10"/>
    <w:rsid w:val="000E26BD"/>
    <w:rsid w:val="000E4512"/>
    <w:rsid w:val="000E4C0A"/>
    <w:rsid w:val="000E596C"/>
    <w:rsid w:val="000E7763"/>
    <w:rsid w:val="000F502F"/>
    <w:rsid w:val="000F519D"/>
    <w:rsid w:val="000F60E7"/>
    <w:rsid w:val="000F65D1"/>
    <w:rsid w:val="000F7ECB"/>
    <w:rsid w:val="0010024A"/>
    <w:rsid w:val="00102C06"/>
    <w:rsid w:val="001036C6"/>
    <w:rsid w:val="0010618D"/>
    <w:rsid w:val="00112950"/>
    <w:rsid w:val="00115D5B"/>
    <w:rsid w:val="00116429"/>
    <w:rsid w:val="001214AE"/>
    <w:rsid w:val="00122190"/>
    <w:rsid w:val="0012277A"/>
    <w:rsid w:val="0012615B"/>
    <w:rsid w:val="00126E1A"/>
    <w:rsid w:val="00131AFF"/>
    <w:rsid w:val="001351EB"/>
    <w:rsid w:val="0014152E"/>
    <w:rsid w:val="001448F1"/>
    <w:rsid w:val="00144FDD"/>
    <w:rsid w:val="001512D7"/>
    <w:rsid w:val="00161C73"/>
    <w:rsid w:val="0016620E"/>
    <w:rsid w:val="00166E70"/>
    <w:rsid w:val="00182C7E"/>
    <w:rsid w:val="00193FEC"/>
    <w:rsid w:val="00194778"/>
    <w:rsid w:val="0019558D"/>
    <w:rsid w:val="0019722C"/>
    <w:rsid w:val="001B3183"/>
    <w:rsid w:val="001B4872"/>
    <w:rsid w:val="001D4399"/>
    <w:rsid w:val="001E3110"/>
    <w:rsid w:val="001E4305"/>
    <w:rsid w:val="00200596"/>
    <w:rsid w:val="00201520"/>
    <w:rsid w:val="00201FB4"/>
    <w:rsid w:val="00203D36"/>
    <w:rsid w:val="002041F9"/>
    <w:rsid w:val="00214B13"/>
    <w:rsid w:val="00216428"/>
    <w:rsid w:val="002167A7"/>
    <w:rsid w:val="00222D66"/>
    <w:rsid w:val="00240F55"/>
    <w:rsid w:val="002414AB"/>
    <w:rsid w:val="00241773"/>
    <w:rsid w:val="00241864"/>
    <w:rsid w:val="00244785"/>
    <w:rsid w:val="00246BDF"/>
    <w:rsid w:val="002476C8"/>
    <w:rsid w:val="00251CFA"/>
    <w:rsid w:val="00253CE9"/>
    <w:rsid w:val="00254F74"/>
    <w:rsid w:val="002575A2"/>
    <w:rsid w:val="0026064B"/>
    <w:rsid w:val="002611B2"/>
    <w:rsid w:val="002702A8"/>
    <w:rsid w:val="00271236"/>
    <w:rsid w:val="002715F5"/>
    <w:rsid w:val="00272536"/>
    <w:rsid w:val="002777A3"/>
    <w:rsid w:val="002820E8"/>
    <w:rsid w:val="00293E95"/>
    <w:rsid w:val="002960BC"/>
    <w:rsid w:val="002A08FE"/>
    <w:rsid w:val="002A1C01"/>
    <w:rsid w:val="002B09A1"/>
    <w:rsid w:val="002B2954"/>
    <w:rsid w:val="002B3F06"/>
    <w:rsid w:val="002B5C0E"/>
    <w:rsid w:val="002B76BD"/>
    <w:rsid w:val="002C2394"/>
    <w:rsid w:val="002C65B6"/>
    <w:rsid w:val="002D4CC7"/>
    <w:rsid w:val="002D4FBE"/>
    <w:rsid w:val="002D6A81"/>
    <w:rsid w:val="002E35EE"/>
    <w:rsid w:val="002E7011"/>
    <w:rsid w:val="002F0FC5"/>
    <w:rsid w:val="002F1C8C"/>
    <w:rsid w:val="002F28ED"/>
    <w:rsid w:val="00302E72"/>
    <w:rsid w:val="0030770F"/>
    <w:rsid w:val="00322E11"/>
    <w:rsid w:val="00324D06"/>
    <w:rsid w:val="00333C34"/>
    <w:rsid w:val="003461A5"/>
    <w:rsid w:val="0034635A"/>
    <w:rsid w:val="003476B3"/>
    <w:rsid w:val="00364D5D"/>
    <w:rsid w:val="003665F7"/>
    <w:rsid w:val="00373653"/>
    <w:rsid w:val="00375AA5"/>
    <w:rsid w:val="003859D6"/>
    <w:rsid w:val="0038770D"/>
    <w:rsid w:val="003A13FC"/>
    <w:rsid w:val="003A1D5C"/>
    <w:rsid w:val="003A43B2"/>
    <w:rsid w:val="003A4CD3"/>
    <w:rsid w:val="003B4BF2"/>
    <w:rsid w:val="003B67D9"/>
    <w:rsid w:val="003B6F17"/>
    <w:rsid w:val="003C1F38"/>
    <w:rsid w:val="003C3383"/>
    <w:rsid w:val="003C55EB"/>
    <w:rsid w:val="003D4F3B"/>
    <w:rsid w:val="003E4CBC"/>
    <w:rsid w:val="003E722B"/>
    <w:rsid w:val="003F0660"/>
    <w:rsid w:val="003F6DA5"/>
    <w:rsid w:val="004127B2"/>
    <w:rsid w:val="00414CE5"/>
    <w:rsid w:val="00417134"/>
    <w:rsid w:val="004257F0"/>
    <w:rsid w:val="00432734"/>
    <w:rsid w:val="00435B76"/>
    <w:rsid w:val="004541E5"/>
    <w:rsid w:val="0045428D"/>
    <w:rsid w:val="004544D6"/>
    <w:rsid w:val="00457F94"/>
    <w:rsid w:val="004609D7"/>
    <w:rsid w:val="00462017"/>
    <w:rsid w:val="004673F2"/>
    <w:rsid w:val="00471253"/>
    <w:rsid w:val="00472E94"/>
    <w:rsid w:val="00474FE5"/>
    <w:rsid w:val="00481250"/>
    <w:rsid w:val="00484A20"/>
    <w:rsid w:val="00493100"/>
    <w:rsid w:val="00496FBC"/>
    <w:rsid w:val="004A1075"/>
    <w:rsid w:val="004C1484"/>
    <w:rsid w:val="004C60CF"/>
    <w:rsid w:val="004D01C2"/>
    <w:rsid w:val="004D17AA"/>
    <w:rsid w:val="004D29E7"/>
    <w:rsid w:val="004D3585"/>
    <w:rsid w:val="004D43C9"/>
    <w:rsid w:val="004D59D7"/>
    <w:rsid w:val="004F3366"/>
    <w:rsid w:val="004F4CD0"/>
    <w:rsid w:val="004F6C74"/>
    <w:rsid w:val="005120D5"/>
    <w:rsid w:val="00527894"/>
    <w:rsid w:val="00532DE4"/>
    <w:rsid w:val="005341AC"/>
    <w:rsid w:val="00534C0E"/>
    <w:rsid w:val="005366DB"/>
    <w:rsid w:val="00540001"/>
    <w:rsid w:val="005520D7"/>
    <w:rsid w:val="00552796"/>
    <w:rsid w:val="005536D9"/>
    <w:rsid w:val="00561AF5"/>
    <w:rsid w:val="00562430"/>
    <w:rsid w:val="00562DA2"/>
    <w:rsid w:val="005738AE"/>
    <w:rsid w:val="005839AE"/>
    <w:rsid w:val="0059257A"/>
    <w:rsid w:val="00593435"/>
    <w:rsid w:val="0059794A"/>
    <w:rsid w:val="00597FAA"/>
    <w:rsid w:val="005A0F40"/>
    <w:rsid w:val="005A18F4"/>
    <w:rsid w:val="005A546C"/>
    <w:rsid w:val="005A5500"/>
    <w:rsid w:val="005B03DB"/>
    <w:rsid w:val="005B16F2"/>
    <w:rsid w:val="005B4A28"/>
    <w:rsid w:val="005B4AD4"/>
    <w:rsid w:val="005B6B97"/>
    <w:rsid w:val="005D1530"/>
    <w:rsid w:val="005D3879"/>
    <w:rsid w:val="005E0DF6"/>
    <w:rsid w:val="005E1DB3"/>
    <w:rsid w:val="005E2B0B"/>
    <w:rsid w:val="005E4466"/>
    <w:rsid w:val="005F023D"/>
    <w:rsid w:val="005F33D7"/>
    <w:rsid w:val="005F35A7"/>
    <w:rsid w:val="00600A82"/>
    <w:rsid w:val="00603C2B"/>
    <w:rsid w:val="0060402D"/>
    <w:rsid w:val="00606A5C"/>
    <w:rsid w:val="006149EB"/>
    <w:rsid w:val="00615ED5"/>
    <w:rsid w:val="00616060"/>
    <w:rsid w:val="006248AF"/>
    <w:rsid w:val="0062617C"/>
    <w:rsid w:val="0063129C"/>
    <w:rsid w:val="00642F51"/>
    <w:rsid w:val="00652416"/>
    <w:rsid w:val="00663E54"/>
    <w:rsid w:val="00664963"/>
    <w:rsid w:val="0066674C"/>
    <w:rsid w:val="0067167C"/>
    <w:rsid w:val="006741F1"/>
    <w:rsid w:val="00674D9B"/>
    <w:rsid w:val="006834CE"/>
    <w:rsid w:val="006838F6"/>
    <w:rsid w:val="006878D5"/>
    <w:rsid w:val="00691155"/>
    <w:rsid w:val="00691500"/>
    <w:rsid w:val="00693267"/>
    <w:rsid w:val="00694771"/>
    <w:rsid w:val="00695F3B"/>
    <w:rsid w:val="006A3DD3"/>
    <w:rsid w:val="006B3E20"/>
    <w:rsid w:val="006B4A0C"/>
    <w:rsid w:val="006B592B"/>
    <w:rsid w:val="006C0280"/>
    <w:rsid w:val="006C3160"/>
    <w:rsid w:val="006C3B8D"/>
    <w:rsid w:val="006D244C"/>
    <w:rsid w:val="006D5E7B"/>
    <w:rsid w:val="006D720F"/>
    <w:rsid w:val="006E0500"/>
    <w:rsid w:val="006E274D"/>
    <w:rsid w:val="006F2300"/>
    <w:rsid w:val="006F24DA"/>
    <w:rsid w:val="007009E6"/>
    <w:rsid w:val="0070538D"/>
    <w:rsid w:val="00711DC3"/>
    <w:rsid w:val="00721F34"/>
    <w:rsid w:val="007244F1"/>
    <w:rsid w:val="007254B7"/>
    <w:rsid w:val="007300F4"/>
    <w:rsid w:val="00733CD6"/>
    <w:rsid w:val="007477B0"/>
    <w:rsid w:val="00751878"/>
    <w:rsid w:val="0075700D"/>
    <w:rsid w:val="00757789"/>
    <w:rsid w:val="00757E61"/>
    <w:rsid w:val="00774F6F"/>
    <w:rsid w:val="007816A2"/>
    <w:rsid w:val="00790952"/>
    <w:rsid w:val="00791CE3"/>
    <w:rsid w:val="00792165"/>
    <w:rsid w:val="00795AC4"/>
    <w:rsid w:val="007A1A88"/>
    <w:rsid w:val="007A5FE3"/>
    <w:rsid w:val="007B0169"/>
    <w:rsid w:val="007B13F9"/>
    <w:rsid w:val="007B605F"/>
    <w:rsid w:val="007B6FCF"/>
    <w:rsid w:val="007C6050"/>
    <w:rsid w:val="007D7F6F"/>
    <w:rsid w:val="007E62D2"/>
    <w:rsid w:val="007E62DA"/>
    <w:rsid w:val="007F568A"/>
    <w:rsid w:val="007F5A2D"/>
    <w:rsid w:val="0080109A"/>
    <w:rsid w:val="0080320A"/>
    <w:rsid w:val="0082323B"/>
    <w:rsid w:val="00830C2E"/>
    <w:rsid w:val="008367AF"/>
    <w:rsid w:val="008403F9"/>
    <w:rsid w:val="00841F46"/>
    <w:rsid w:val="00843682"/>
    <w:rsid w:val="00843945"/>
    <w:rsid w:val="00850213"/>
    <w:rsid w:val="00881ABF"/>
    <w:rsid w:val="00885E3A"/>
    <w:rsid w:val="0088756B"/>
    <w:rsid w:val="008A4C1E"/>
    <w:rsid w:val="008B5B7D"/>
    <w:rsid w:val="008C48DA"/>
    <w:rsid w:val="008D228D"/>
    <w:rsid w:val="008D305A"/>
    <w:rsid w:val="008E1A41"/>
    <w:rsid w:val="008E4929"/>
    <w:rsid w:val="008F13B3"/>
    <w:rsid w:val="008F302B"/>
    <w:rsid w:val="008F3089"/>
    <w:rsid w:val="008F3EA8"/>
    <w:rsid w:val="008F6372"/>
    <w:rsid w:val="008F63B0"/>
    <w:rsid w:val="0090240B"/>
    <w:rsid w:val="009054F2"/>
    <w:rsid w:val="00906CD4"/>
    <w:rsid w:val="00934DE1"/>
    <w:rsid w:val="00937612"/>
    <w:rsid w:val="00954D53"/>
    <w:rsid w:val="0096054F"/>
    <w:rsid w:val="00962566"/>
    <w:rsid w:val="009673C2"/>
    <w:rsid w:val="00970373"/>
    <w:rsid w:val="0097355E"/>
    <w:rsid w:val="0097566C"/>
    <w:rsid w:val="00977122"/>
    <w:rsid w:val="0098447D"/>
    <w:rsid w:val="009939B7"/>
    <w:rsid w:val="009A2557"/>
    <w:rsid w:val="009A2691"/>
    <w:rsid w:val="009B0424"/>
    <w:rsid w:val="009B100E"/>
    <w:rsid w:val="009B4544"/>
    <w:rsid w:val="009C054C"/>
    <w:rsid w:val="009C4F78"/>
    <w:rsid w:val="009D0833"/>
    <w:rsid w:val="009D21B1"/>
    <w:rsid w:val="009D51F8"/>
    <w:rsid w:val="009D6F57"/>
    <w:rsid w:val="009E08C2"/>
    <w:rsid w:val="009E54DA"/>
    <w:rsid w:val="009E60F6"/>
    <w:rsid w:val="009E6DAC"/>
    <w:rsid w:val="00A02A4C"/>
    <w:rsid w:val="00A04F2A"/>
    <w:rsid w:val="00A122B0"/>
    <w:rsid w:val="00A167BE"/>
    <w:rsid w:val="00A17D67"/>
    <w:rsid w:val="00A26753"/>
    <w:rsid w:val="00A307F8"/>
    <w:rsid w:val="00A30923"/>
    <w:rsid w:val="00A4545A"/>
    <w:rsid w:val="00A47107"/>
    <w:rsid w:val="00A517EF"/>
    <w:rsid w:val="00A51DCB"/>
    <w:rsid w:val="00A53D14"/>
    <w:rsid w:val="00A72135"/>
    <w:rsid w:val="00A73AEC"/>
    <w:rsid w:val="00A812C2"/>
    <w:rsid w:val="00A87B08"/>
    <w:rsid w:val="00A92091"/>
    <w:rsid w:val="00A948A5"/>
    <w:rsid w:val="00AA2D60"/>
    <w:rsid w:val="00AA33EC"/>
    <w:rsid w:val="00AA6C2D"/>
    <w:rsid w:val="00AB1027"/>
    <w:rsid w:val="00AB2727"/>
    <w:rsid w:val="00AB6DDF"/>
    <w:rsid w:val="00AC33B4"/>
    <w:rsid w:val="00AD4E84"/>
    <w:rsid w:val="00AD6423"/>
    <w:rsid w:val="00AD73C1"/>
    <w:rsid w:val="00AD7D8B"/>
    <w:rsid w:val="00AE0DB0"/>
    <w:rsid w:val="00AF2933"/>
    <w:rsid w:val="00AF5CBA"/>
    <w:rsid w:val="00AF5E77"/>
    <w:rsid w:val="00AF6414"/>
    <w:rsid w:val="00B03E3A"/>
    <w:rsid w:val="00B074EB"/>
    <w:rsid w:val="00B10065"/>
    <w:rsid w:val="00B10A08"/>
    <w:rsid w:val="00B23705"/>
    <w:rsid w:val="00B259C1"/>
    <w:rsid w:val="00B31916"/>
    <w:rsid w:val="00B33522"/>
    <w:rsid w:val="00B3741F"/>
    <w:rsid w:val="00B420A4"/>
    <w:rsid w:val="00B42867"/>
    <w:rsid w:val="00B4352E"/>
    <w:rsid w:val="00B45164"/>
    <w:rsid w:val="00B46B41"/>
    <w:rsid w:val="00B5499F"/>
    <w:rsid w:val="00B57E31"/>
    <w:rsid w:val="00B60568"/>
    <w:rsid w:val="00B65D58"/>
    <w:rsid w:val="00B74655"/>
    <w:rsid w:val="00B753CF"/>
    <w:rsid w:val="00B77567"/>
    <w:rsid w:val="00B81F12"/>
    <w:rsid w:val="00B90EDB"/>
    <w:rsid w:val="00B9250E"/>
    <w:rsid w:val="00B94B0F"/>
    <w:rsid w:val="00B97463"/>
    <w:rsid w:val="00BA3C61"/>
    <w:rsid w:val="00BA4DF2"/>
    <w:rsid w:val="00BA5433"/>
    <w:rsid w:val="00BA7246"/>
    <w:rsid w:val="00BB2DCE"/>
    <w:rsid w:val="00BD1470"/>
    <w:rsid w:val="00BE3C14"/>
    <w:rsid w:val="00BF3C2F"/>
    <w:rsid w:val="00C01262"/>
    <w:rsid w:val="00C03FE3"/>
    <w:rsid w:val="00C06D5E"/>
    <w:rsid w:val="00C07551"/>
    <w:rsid w:val="00C10C7E"/>
    <w:rsid w:val="00C1219E"/>
    <w:rsid w:val="00C21D61"/>
    <w:rsid w:val="00C225FD"/>
    <w:rsid w:val="00C2400B"/>
    <w:rsid w:val="00C2401D"/>
    <w:rsid w:val="00C31B96"/>
    <w:rsid w:val="00C32014"/>
    <w:rsid w:val="00C32114"/>
    <w:rsid w:val="00C32173"/>
    <w:rsid w:val="00C3557A"/>
    <w:rsid w:val="00C37A18"/>
    <w:rsid w:val="00C45FFE"/>
    <w:rsid w:val="00C46617"/>
    <w:rsid w:val="00C51D0C"/>
    <w:rsid w:val="00C56833"/>
    <w:rsid w:val="00C62295"/>
    <w:rsid w:val="00C624BB"/>
    <w:rsid w:val="00C65FC9"/>
    <w:rsid w:val="00C7440A"/>
    <w:rsid w:val="00C75B40"/>
    <w:rsid w:val="00C83E56"/>
    <w:rsid w:val="00C908CF"/>
    <w:rsid w:val="00C9521B"/>
    <w:rsid w:val="00CA134D"/>
    <w:rsid w:val="00CA3A48"/>
    <w:rsid w:val="00CB171D"/>
    <w:rsid w:val="00CC1CFE"/>
    <w:rsid w:val="00CC358C"/>
    <w:rsid w:val="00CD230E"/>
    <w:rsid w:val="00CE3E8B"/>
    <w:rsid w:val="00CE5127"/>
    <w:rsid w:val="00CE6916"/>
    <w:rsid w:val="00CE6D8D"/>
    <w:rsid w:val="00CF3819"/>
    <w:rsid w:val="00CF5177"/>
    <w:rsid w:val="00CF7E6E"/>
    <w:rsid w:val="00D21FF6"/>
    <w:rsid w:val="00D2529E"/>
    <w:rsid w:val="00D35B3D"/>
    <w:rsid w:val="00D3699F"/>
    <w:rsid w:val="00D43454"/>
    <w:rsid w:val="00D45657"/>
    <w:rsid w:val="00D5108E"/>
    <w:rsid w:val="00D5246F"/>
    <w:rsid w:val="00D57735"/>
    <w:rsid w:val="00D62530"/>
    <w:rsid w:val="00D65CEF"/>
    <w:rsid w:val="00D66097"/>
    <w:rsid w:val="00D70D7D"/>
    <w:rsid w:val="00D74CA8"/>
    <w:rsid w:val="00D81C65"/>
    <w:rsid w:val="00D84406"/>
    <w:rsid w:val="00D92533"/>
    <w:rsid w:val="00DA3470"/>
    <w:rsid w:val="00DA34F0"/>
    <w:rsid w:val="00DA7088"/>
    <w:rsid w:val="00DC278D"/>
    <w:rsid w:val="00DC3625"/>
    <w:rsid w:val="00DC5180"/>
    <w:rsid w:val="00DD34BB"/>
    <w:rsid w:val="00DF014A"/>
    <w:rsid w:val="00E05B36"/>
    <w:rsid w:val="00E07822"/>
    <w:rsid w:val="00E07880"/>
    <w:rsid w:val="00E166DD"/>
    <w:rsid w:val="00E202C5"/>
    <w:rsid w:val="00E25476"/>
    <w:rsid w:val="00E30BA1"/>
    <w:rsid w:val="00E35269"/>
    <w:rsid w:val="00E35657"/>
    <w:rsid w:val="00E3577E"/>
    <w:rsid w:val="00E4525A"/>
    <w:rsid w:val="00E509F8"/>
    <w:rsid w:val="00E54351"/>
    <w:rsid w:val="00E5616F"/>
    <w:rsid w:val="00E56DB5"/>
    <w:rsid w:val="00E7044C"/>
    <w:rsid w:val="00E70D23"/>
    <w:rsid w:val="00E727F4"/>
    <w:rsid w:val="00E733D3"/>
    <w:rsid w:val="00E73A82"/>
    <w:rsid w:val="00E82C4B"/>
    <w:rsid w:val="00E82F3C"/>
    <w:rsid w:val="00E85F30"/>
    <w:rsid w:val="00E96910"/>
    <w:rsid w:val="00EA06D5"/>
    <w:rsid w:val="00EA33CB"/>
    <w:rsid w:val="00EA438F"/>
    <w:rsid w:val="00EB2720"/>
    <w:rsid w:val="00EB73E3"/>
    <w:rsid w:val="00EB750D"/>
    <w:rsid w:val="00ED414A"/>
    <w:rsid w:val="00EE4179"/>
    <w:rsid w:val="00EE45C2"/>
    <w:rsid w:val="00EF4DBE"/>
    <w:rsid w:val="00EF60CC"/>
    <w:rsid w:val="00EF7949"/>
    <w:rsid w:val="00F00686"/>
    <w:rsid w:val="00F02B68"/>
    <w:rsid w:val="00F03612"/>
    <w:rsid w:val="00F03916"/>
    <w:rsid w:val="00F03E83"/>
    <w:rsid w:val="00F06E5E"/>
    <w:rsid w:val="00F11522"/>
    <w:rsid w:val="00F13034"/>
    <w:rsid w:val="00F44D73"/>
    <w:rsid w:val="00F636AB"/>
    <w:rsid w:val="00F72219"/>
    <w:rsid w:val="00F72902"/>
    <w:rsid w:val="00F830AC"/>
    <w:rsid w:val="00F8462C"/>
    <w:rsid w:val="00F86A43"/>
    <w:rsid w:val="00F91D60"/>
    <w:rsid w:val="00FA0787"/>
    <w:rsid w:val="00FA4811"/>
    <w:rsid w:val="00FA6FCA"/>
    <w:rsid w:val="00FB2922"/>
    <w:rsid w:val="00FB388A"/>
    <w:rsid w:val="00FC1C17"/>
    <w:rsid w:val="00FC66D7"/>
    <w:rsid w:val="00FC7B97"/>
    <w:rsid w:val="00FD5ACB"/>
    <w:rsid w:val="00FD7C6A"/>
    <w:rsid w:val="00FE023B"/>
    <w:rsid w:val="00FE2D98"/>
    <w:rsid w:val="00FE3315"/>
    <w:rsid w:val="00FE3E52"/>
    <w:rsid w:val="00FE61C1"/>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locked/>
    <w:rsid w:val="00593435"/>
    <w:rPr>
      <w:b/>
      <w:bCs/>
      <w:lang w:val="en-GB" w:eastAsia="ko-KR"/>
    </w:rPr>
  </w:style>
  <w:style w:type="paragraph" w:styleId="ListParagraph">
    <w:name w:val="List Paragraph"/>
    <w:basedOn w:val="Normal"/>
    <w:uiPriority w:val="34"/>
    <w:qFormat/>
    <w:rsid w:val="00F86A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022684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26690375">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5ADB62-09CE-4B37-A0DD-CAF10B370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875</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Qualcomm2</cp:lastModifiedBy>
  <cp:revision>5</cp:revision>
  <dcterms:created xsi:type="dcterms:W3CDTF">2019-11-04T17:10:00Z</dcterms:created>
  <dcterms:modified xsi:type="dcterms:W3CDTF">2019-11-08T20:46:00Z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