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9CA" w:rsidRPr="004949E4" w:rsidRDefault="006B59CA" w:rsidP="006B59CA">
      <w:pPr>
        <w:tabs>
          <w:tab w:val="right" w:pos="9216"/>
        </w:tabs>
        <w:spacing w:after="0"/>
        <w:rPr>
          <w:b/>
        </w:rPr>
      </w:pPr>
      <w:r w:rsidRPr="004949E4">
        <w:rPr>
          <w:b/>
        </w:rPr>
        <w:t>3GPP TSG</w:t>
      </w:r>
      <w:r>
        <w:rPr>
          <w:b/>
        </w:rPr>
        <w:t xml:space="preserve"> </w:t>
      </w:r>
      <w:r w:rsidRPr="004949E4">
        <w:rPr>
          <w:b/>
        </w:rPr>
        <w:t>RAN WG4 Meeting #90</w:t>
      </w:r>
      <w:r>
        <w:rPr>
          <w:b/>
        </w:rPr>
        <w:t>Bis</w:t>
      </w:r>
      <w:r w:rsidRPr="004949E4">
        <w:rPr>
          <w:b/>
        </w:rPr>
        <w:tab/>
      </w:r>
      <w:r w:rsidR="00A93CA4" w:rsidRPr="00A93CA4">
        <w:rPr>
          <w:b/>
        </w:rPr>
        <w:t>R4-1904188</w:t>
      </w:r>
    </w:p>
    <w:p w:rsidR="006B59CA" w:rsidRPr="004949E4" w:rsidRDefault="00B26589" w:rsidP="006B59CA">
      <w:pPr>
        <w:rPr>
          <w:b/>
        </w:rPr>
      </w:pPr>
      <w:r>
        <w:rPr>
          <w:b/>
        </w:rPr>
        <w:t>Xi</w:t>
      </w:r>
      <w:r w:rsidR="004654D0">
        <w:rPr>
          <w:b/>
        </w:rPr>
        <w:t>’</w:t>
      </w:r>
      <w:r>
        <w:rPr>
          <w:b/>
        </w:rPr>
        <w:t>an, China, April 8</w:t>
      </w:r>
      <w:r w:rsidR="006B59CA" w:rsidRPr="004949E4">
        <w:rPr>
          <w:b/>
        </w:rPr>
        <w:t xml:space="preserve"> –1</w:t>
      </w:r>
      <w:r>
        <w:rPr>
          <w:b/>
        </w:rPr>
        <w:t>2</w:t>
      </w:r>
      <w:r w:rsidR="006B59CA" w:rsidRPr="004949E4">
        <w:rPr>
          <w:b/>
        </w:rPr>
        <w:t>, 2019</w:t>
      </w:r>
    </w:p>
    <w:p w:rsidR="006B59CA" w:rsidRPr="004949E4" w:rsidRDefault="006B59CA" w:rsidP="006B59CA">
      <w:pPr>
        <w:pBdr>
          <w:top w:val="single" w:sz="4" w:space="1" w:color="auto"/>
        </w:pBdr>
        <w:spacing w:after="0"/>
        <w:rPr>
          <w:b/>
          <w:sz w:val="16"/>
        </w:rPr>
      </w:pPr>
    </w:p>
    <w:p w:rsidR="006B59CA" w:rsidRPr="004949E4" w:rsidRDefault="006B59CA" w:rsidP="006B59CA">
      <w:pPr>
        <w:spacing w:after="60"/>
        <w:ind w:left="1555" w:hanging="1555"/>
        <w:rPr>
          <w:b/>
        </w:rPr>
      </w:pPr>
      <w:r w:rsidRPr="004949E4">
        <w:rPr>
          <w:b/>
        </w:rPr>
        <w:t>Agenda Item:</w:t>
      </w:r>
      <w:r w:rsidRPr="004949E4">
        <w:rPr>
          <w:b/>
        </w:rPr>
        <w:tab/>
      </w:r>
      <w:r w:rsidR="008D6F93" w:rsidRPr="008D6F93">
        <w:rPr>
          <w:b/>
        </w:rPr>
        <w:t>6.3.2.3</w:t>
      </w:r>
    </w:p>
    <w:p w:rsidR="006B59CA" w:rsidRPr="004949E4" w:rsidRDefault="006B59CA" w:rsidP="006B59CA">
      <w:pPr>
        <w:spacing w:after="60"/>
        <w:ind w:left="1555" w:hanging="1555"/>
        <w:rPr>
          <w:b/>
        </w:rPr>
      </w:pPr>
      <w:r>
        <w:rPr>
          <w:b/>
        </w:rPr>
        <w:t>Source:</w:t>
      </w:r>
      <w:r w:rsidRPr="004949E4">
        <w:rPr>
          <w:b/>
        </w:rPr>
        <w:tab/>
        <w:t>Huawei, HiSilicon</w:t>
      </w:r>
    </w:p>
    <w:p w:rsidR="006B59CA" w:rsidRPr="004949E4" w:rsidRDefault="006B59CA" w:rsidP="006B59CA">
      <w:pPr>
        <w:spacing w:after="60"/>
        <w:ind w:left="1555" w:hanging="1555"/>
        <w:rPr>
          <w:b/>
        </w:rPr>
      </w:pPr>
      <w:r>
        <w:rPr>
          <w:b/>
        </w:rPr>
        <w:t>Title:</w:t>
      </w:r>
      <w:r w:rsidRPr="004949E4">
        <w:rPr>
          <w:b/>
        </w:rPr>
        <w:tab/>
      </w:r>
      <w:r w:rsidR="00217863">
        <w:rPr>
          <w:b/>
        </w:rPr>
        <w:t>Corrections to the Sync Raster Spreadsheet</w:t>
      </w:r>
    </w:p>
    <w:p w:rsidR="006B59CA" w:rsidRPr="004949E4" w:rsidRDefault="006B59CA" w:rsidP="006B59CA">
      <w:pPr>
        <w:spacing w:after="60"/>
        <w:ind w:left="1555" w:hanging="1555"/>
        <w:rPr>
          <w:b/>
        </w:rPr>
      </w:pPr>
      <w:r w:rsidRPr="004949E4">
        <w:rPr>
          <w:b/>
        </w:rPr>
        <w:t>Document for:</w:t>
      </w:r>
      <w:r w:rsidRPr="004949E4">
        <w:rPr>
          <w:b/>
        </w:rPr>
        <w:tab/>
        <w:t>Approval</w:t>
      </w:r>
    </w:p>
    <w:p w:rsidR="006B59CA" w:rsidRPr="004949E4" w:rsidRDefault="006B59CA" w:rsidP="006B59CA">
      <w:pPr>
        <w:pBdr>
          <w:bottom w:val="single" w:sz="4" w:space="1" w:color="auto"/>
        </w:pBdr>
        <w:spacing w:after="0"/>
        <w:rPr>
          <w:b/>
          <w:sz w:val="16"/>
        </w:rPr>
      </w:pPr>
    </w:p>
    <w:p w:rsidR="006B59CA" w:rsidRPr="004949E4" w:rsidRDefault="006B59CA" w:rsidP="006B59CA">
      <w:bookmarkStart w:id="0" w:name="_GoBack"/>
      <w:bookmarkEnd w:id="0"/>
    </w:p>
    <w:p w:rsidR="00B615C4" w:rsidRPr="00B615C4" w:rsidRDefault="00B615C4" w:rsidP="00B615C4">
      <w:pPr>
        <w:pStyle w:val="Heading1"/>
      </w:pPr>
      <w:r w:rsidRPr="00B615C4">
        <w:t>Introduction</w:t>
      </w:r>
    </w:p>
    <w:p w:rsidR="0006193E" w:rsidRPr="00B615C4" w:rsidRDefault="004654D0">
      <w:r>
        <w:t>In RAN4#90</w:t>
      </w:r>
      <w:r w:rsidR="0006193E" w:rsidRPr="00B615C4">
        <w:t xml:space="preserve">, the spreadsheet for computing the </w:t>
      </w:r>
      <w:r w:rsidR="00217863">
        <w:t>sync raster (GSCN)</w:t>
      </w:r>
      <w:r w:rsidR="0006193E" w:rsidRPr="00B615C4">
        <w:t xml:space="preserve"> ranges was </w:t>
      </w:r>
      <w:r w:rsidR="00E61274">
        <w:t xml:space="preserve">agreed </w:t>
      </w:r>
      <w:r w:rsidR="00E61274">
        <w:fldChar w:fldCharType="begin"/>
      </w:r>
      <w:r w:rsidR="00E61274">
        <w:instrText xml:space="preserve"> REF _Ref3787254 \r \h </w:instrText>
      </w:r>
      <w:r w:rsidR="00E61274">
        <w:fldChar w:fldCharType="separate"/>
      </w:r>
      <w:r w:rsidR="00E61274">
        <w:t>[3]</w:t>
      </w:r>
      <w:r w:rsidR="00E61274">
        <w:fldChar w:fldCharType="end"/>
      </w:r>
      <w:r w:rsidR="0006193E" w:rsidRPr="00B615C4">
        <w:t xml:space="preserve"> and captured as part of the technical report </w:t>
      </w:r>
      <w:r w:rsidR="00B615C4">
        <w:fldChar w:fldCharType="begin"/>
      </w:r>
      <w:r w:rsidR="00B615C4">
        <w:instrText xml:space="preserve"> REF _Ref3466898 \r \h </w:instrText>
      </w:r>
      <w:r w:rsidR="00B615C4">
        <w:fldChar w:fldCharType="separate"/>
      </w:r>
      <w:r w:rsidR="00B615C4">
        <w:t>[1]</w:t>
      </w:r>
      <w:r w:rsidR="00B615C4">
        <w:fldChar w:fldCharType="end"/>
      </w:r>
      <w:r w:rsidR="0006193E" w:rsidRPr="00B615C4">
        <w:t>. During the drafting of the WID for band n38</w:t>
      </w:r>
      <w:r w:rsidR="00B615C4">
        <w:t xml:space="preserve"> </w:t>
      </w:r>
      <w:r w:rsidR="00B615C4">
        <w:fldChar w:fldCharType="begin"/>
      </w:r>
      <w:r w:rsidR="00B615C4">
        <w:instrText xml:space="preserve"> REF _Ref3466886 \r \h </w:instrText>
      </w:r>
      <w:r w:rsidR="00B615C4">
        <w:fldChar w:fldCharType="separate"/>
      </w:r>
      <w:r w:rsidR="00B615C4">
        <w:t>[2]</w:t>
      </w:r>
      <w:r w:rsidR="00B615C4">
        <w:fldChar w:fldCharType="end"/>
      </w:r>
      <w:r w:rsidR="0006193E" w:rsidRPr="00B615C4">
        <w:t xml:space="preserve">, the spreadsheet was used to compute the GSCN ranges. However, an analysis of the computed values showed some possible </w:t>
      </w:r>
      <w:r w:rsidR="00B26589">
        <w:t>inconsistencies</w:t>
      </w:r>
      <w:r w:rsidR="0006193E" w:rsidRPr="00B615C4">
        <w:t xml:space="preserve"> with </w:t>
      </w:r>
      <w:r w:rsidR="00B26589">
        <w:t xml:space="preserve">the </w:t>
      </w:r>
      <w:r w:rsidR="0006193E" w:rsidRPr="00B615C4">
        <w:t xml:space="preserve">spreadsheet calculation. This contribution identifies those </w:t>
      </w:r>
      <w:r w:rsidR="00B26589">
        <w:t>inconsistencies</w:t>
      </w:r>
      <w:r w:rsidR="00B26589" w:rsidRPr="00B615C4">
        <w:t xml:space="preserve"> </w:t>
      </w:r>
      <w:r w:rsidR="0006193E" w:rsidRPr="00B615C4">
        <w:t>and proposes corrections to the spreadsheet.</w:t>
      </w:r>
    </w:p>
    <w:p w:rsidR="0006193E" w:rsidRPr="00B615C4" w:rsidRDefault="0006193E" w:rsidP="00B615C4">
      <w:pPr>
        <w:pStyle w:val="Heading1"/>
      </w:pPr>
      <w:r w:rsidRPr="00B615C4">
        <w:t>Background</w:t>
      </w:r>
    </w:p>
    <w:p w:rsidR="00B615C4" w:rsidRDefault="00B615C4">
      <w:r w:rsidRPr="00B615C4">
        <w:t xml:space="preserve">For band n38, </w:t>
      </w:r>
      <w:r w:rsidR="00B26589">
        <w:t>there was an exploration of using</w:t>
      </w:r>
      <w:r w:rsidRPr="00B615C4">
        <w:t xml:space="preserve"> 30 kHz SSB</w:t>
      </w:r>
      <w:r w:rsidR="00B26589">
        <w:t xml:space="preserve"> and</w:t>
      </w:r>
      <w:r w:rsidRPr="00B615C4">
        <w:t xml:space="preserve"> a step size of 3 for the GSCN raster.</w:t>
      </w:r>
      <w:r w:rsidR="00B26589">
        <w:t xml:space="preserve"> Each </w:t>
      </w:r>
      <w:r w:rsidR="00217863">
        <w:t>item</w:t>
      </w:r>
      <w:r w:rsidR="00B26589">
        <w:t xml:space="preserve"> identified an inconsistency. </w:t>
      </w:r>
    </w:p>
    <w:p w:rsidR="0006193E" w:rsidRPr="00B615C4" w:rsidRDefault="00B615C4" w:rsidP="00B615C4">
      <w:pPr>
        <w:pStyle w:val="Heading2"/>
      </w:pPr>
      <w:r w:rsidRPr="00B615C4">
        <w:t xml:space="preserve">Step size </w:t>
      </w:r>
    </w:p>
    <w:p w:rsidR="0006193E" w:rsidRDefault="00B26589">
      <w:proofErr w:type="spellStart"/>
      <w:r>
        <w:t>Subclause</w:t>
      </w:r>
      <w:proofErr w:type="spellEnd"/>
      <w:r>
        <w:t xml:space="preserve"> </w:t>
      </w:r>
      <w:r w:rsidRPr="00B26589">
        <w:t>4.3.1.5</w:t>
      </w:r>
      <w:r>
        <w:t xml:space="preserve"> of t</w:t>
      </w:r>
      <w:r w:rsidR="00B615C4">
        <w:t xml:space="preserve">he technical report </w:t>
      </w:r>
      <w:r>
        <w:fldChar w:fldCharType="begin"/>
      </w:r>
      <w:r>
        <w:instrText xml:space="preserve"> REF _Ref3466898 \r \h </w:instrText>
      </w:r>
      <w:r>
        <w:fldChar w:fldCharType="separate"/>
      </w:r>
      <w:r>
        <w:t>[1]</w:t>
      </w:r>
      <w:r>
        <w:fldChar w:fldCharType="end"/>
      </w:r>
      <w:r>
        <w:t xml:space="preserve"> </w:t>
      </w:r>
      <w:r w:rsidR="00B615C4">
        <w:t>indicates how to comput</w:t>
      </w:r>
      <w:r w:rsidR="004E5C9E">
        <w:t>e</w:t>
      </w:r>
      <w:r w:rsidR="00B615C4">
        <w:t xml:space="preserve"> the GS</w:t>
      </w:r>
      <w:r w:rsidR="004E5C9E">
        <w:t>C</w:t>
      </w:r>
      <w:r w:rsidR="00B615C4">
        <w:t>N</w:t>
      </w:r>
      <w:r w:rsidR="004E5C9E">
        <w:t xml:space="preserve"> with a step size &lt;</w:t>
      </w:r>
      <w:r w:rsidR="004E5C9E" w:rsidRPr="004E5C9E">
        <w:rPr>
          <w:i/>
        </w:rPr>
        <w:t>N</w:t>
      </w:r>
      <w:r w:rsidR="004E5C9E" w:rsidRPr="004E5C9E">
        <w:t>&gt;</w:t>
      </w:r>
      <w:r w:rsidR="004E5C9E">
        <w:t xml:space="preserve">. For the low end of the range, the GSCN specified is computed from an intermediate value </w:t>
      </w:r>
      <w:r w:rsidR="004E5C9E" w:rsidRPr="004E5C9E">
        <w:rPr>
          <w:i/>
        </w:rPr>
        <w:t>GSCN</w:t>
      </w:r>
      <w:r w:rsidR="004E5C9E">
        <w:sym w:font="Symbol" w:char="F0A2"/>
      </w:r>
      <w:r w:rsidR="004E5C9E">
        <w:t xml:space="preserve"> as</w:t>
      </w:r>
    </w:p>
    <w:p w:rsidR="004E5C9E" w:rsidRPr="004E5C9E" w:rsidRDefault="00E61274" w:rsidP="00E61274">
      <w:pPr>
        <w:tabs>
          <w:tab w:val="center" w:pos="4680"/>
          <w:tab w:val="right" w:pos="9360"/>
        </w:tabs>
        <w:rPr>
          <w:rFonts w:eastAsiaTheme="minorEastAsia"/>
        </w:rPr>
      </w:pPr>
      <w:r>
        <w:rPr>
          <w:rFonts w:eastAsiaTheme="minorEastAsia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GSCN</m:t>
            </m:r>
          </m:e>
          <m:sub>
            <m:r>
              <w:rPr>
                <w:rFonts w:ascii="Cambria Math" w:hAnsi="Cambria Math"/>
              </w:rPr>
              <m:t>low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〈"/>
            <m:endChr m:val="〉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GSCN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low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num>
              <m:den>
                <m:d>
                  <m:dPr>
                    <m:begChr m:val="〈"/>
                    <m:endChr m:val="〉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</m:den>
            </m:f>
          </m:e>
        </m:d>
      </m:oMath>
      <w:r>
        <w:rPr>
          <w:rFonts w:eastAsiaTheme="minorEastAsia"/>
        </w:rPr>
        <w:tab/>
        <w:t>(1)</w:t>
      </w:r>
    </w:p>
    <w:p w:rsidR="004E5C9E" w:rsidRDefault="004E5C9E">
      <w:proofErr w:type="gramStart"/>
      <w:r>
        <w:rPr>
          <w:rFonts w:eastAsiaTheme="minorEastAsia"/>
        </w:rPr>
        <w:t>while</w:t>
      </w:r>
      <w:proofErr w:type="gramEnd"/>
      <w:r>
        <w:rPr>
          <w:rFonts w:eastAsiaTheme="minorEastAsia"/>
        </w:rPr>
        <w:t xml:space="preserve"> the high end is computed as</w:t>
      </w:r>
    </w:p>
    <w:p w:rsidR="004E5C9E" w:rsidRPr="004E5C9E" w:rsidRDefault="00E61274" w:rsidP="00E61274">
      <w:pPr>
        <w:tabs>
          <w:tab w:val="center" w:pos="4680"/>
          <w:tab w:val="right" w:pos="9360"/>
        </w:tabs>
        <w:rPr>
          <w:rFonts w:eastAsiaTheme="minorEastAsia"/>
        </w:rPr>
      </w:pPr>
      <w:r>
        <w:rPr>
          <w:rFonts w:eastAsiaTheme="minorEastAsia"/>
        </w:rPr>
        <w:tab/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GSCN</m:t>
            </m:r>
          </m:e>
          <m:sub>
            <m:r>
              <w:rPr>
                <w:rFonts w:ascii="Cambria Math" w:eastAsiaTheme="minorEastAsia" w:hAnsi="Cambria Math"/>
              </w:rPr>
              <m:t>high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</m:t>
        </m:r>
        <m:d>
          <m:dPr>
            <m:begChr m:val="〈"/>
            <m:endChr m:val="〉"/>
            <m:ctrlPr>
              <w:rPr>
                <w:rFonts w:ascii="Cambria Math" w:eastAsiaTheme="minorEastAsia" w:hAnsi="Cambria Math"/>
              </w:rPr>
            </m:ctrlPr>
          </m:dPr>
          <m:e>
            <m:r>
              <w:rPr>
                <w:rFonts w:ascii="Cambria Math" w:eastAsiaTheme="minorEastAsia" w:hAnsi="Cambria Math"/>
              </w:rPr>
              <m:t>N</m:t>
            </m:r>
          </m:e>
        </m:d>
        <m:d>
          <m:dPr>
            <m:begChr m:val="⌊"/>
            <m:endChr m:val="⌋"/>
            <m:ctrlPr>
              <w:rPr>
                <w:rFonts w:ascii="Cambria Math" w:eastAsiaTheme="minorEastAsia" w:hAnsi="Cambria Math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Theme="minorEastAsia" w:hAnsi="Cambria Math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Theme="minorEastAsia" w:hAnsi="Cambria Math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</w:rPr>
                      <m:t>GSCN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high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'</m:t>
                    </m:r>
                  </m:sup>
                </m:sSubSup>
              </m:num>
              <m:den>
                <m:d>
                  <m:dPr>
                    <m:begChr m:val="〈"/>
                    <m:endChr m:val="〉"/>
                    <m:ctrlPr>
                      <w:rPr>
                        <w:rFonts w:ascii="Cambria Math" w:eastAsiaTheme="minorEastAsia" w:hAnsi="Cambria Math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</m:d>
              </m:den>
            </m:f>
          </m:e>
        </m:d>
      </m:oMath>
      <w:r>
        <w:rPr>
          <w:rFonts w:eastAsiaTheme="minorEastAsia"/>
        </w:rPr>
        <w:tab/>
        <w:t>(2)</w:t>
      </w:r>
    </w:p>
    <w:p w:rsidR="00B615C4" w:rsidRDefault="004E5C9E">
      <w:r>
        <w:t xml:space="preserve">This computation is incorporated </w:t>
      </w:r>
      <w:r w:rsidR="00B26589">
        <w:t xml:space="preserve">in the spreadsheet </w:t>
      </w:r>
      <w:r>
        <w:t>for all FR2 bands</w:t>
      </w:r>
      <w:r w:rsidR="006C0369">
        <w:t xml:space="preserve"> as well </w:t>
      </w:r>
      <w:r w:rsidR="00FB4CD8">
        <w:t>as bands n77, n78, n79, and n41. The excel functions</w:t>
      </w:r>
    </w:p>
    <w:p w:rsidR="00B26589" w:rsidRPr="004E5C9E" w:rsidRDefault="00B26589" w:rsidP="00B26589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ceiling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x,y</m:t>
              </m:r>
            </m:e>
          </m:d>
          <m:r>
            <w:rPr>
              <w:rFonts w:ascii="Cambria Math" w:hAnsi="Cambria Math"/>
            </w:rPr>
            <m:t>≡</m:t>
          </m:r>
          <m:d>
            <m:dPr>
              <m:begChr m:val="〈"/>
              <m:endChr m:val="〉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y</m:t>
              </m:r>
            </m:e>
          </m:d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x</m:t>
                  </m:r>
                </m:num>
                <m:den>
                  <m:d>
                    <m:dPr>
                      <m:begChr m:val="〈"/>
                      <m:endChr m:val="〉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d>
                </m:den>
              </m:f>
            </m:e>
          </m:d>
        </m:oMath>
      </m:oMathPara>
    </w:p>
    <w:p w:rsidR="00B26589" w:rsidRPr="00FB4CD8" w:rsidRDefault="00B26589" w:rsidP="00B26589">
      <w:pPr>
        <w:rPr>
          <w:rFonts w:eastAsiaTheme="minorEastAsia"/>
        </w:rPr>
      </w:pPr>
      <w:proofErr w:type="gramStart"/>
      <w:r>
        <w:rPr>
          <w:rFonts w:eastAsiaTheme="minorEastAsia"/>
        </w:rPr>
        <w:t>and</w:t>
      </w:r>
      <w:proofErr w:type="gramEnd"/>
      <w:r>
        <w:rPr>
          <w:rFonts w:eastAsiaTheme="minorEastAsia"/>
        </w:rPr>
        <w:t xml:space="preserve"> </w:t>
      </w:r>
    </w:p>
    <w:p w:rsidR="00FB4CD8" w:rsidRPr="00FB4CD8" w:rsidRDefault="00FB4CD8" w:rsidP="00FB4CD8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floor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x,y</m:t>
              </m:r>
            </m:e>
          </m:d>
          <m:r>
            <w:rPr>
              <w:rFonts w:ascii="Cambria Math" w:hAnsi="Cambria Math"/>
            </w:rPr>
            <m:t>≡</m:t>
          </m:r>
          <m:d>
            <m:dPr>
              <m:begChr m:val="〈"/>
              <m:endChr m:val="〉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y</m:t>
              </m:r>
            </m:e>
          </m:d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x</m:t>
                  </m:r>
                </m:num>
                <m:den>
                  <m:d>
                    <m:dPr>
                      <m:begChr m:val="〈"/>
                      <m:endChr m:val="〉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d>
                </m:den>
              </m:f>
            </m:e>
          </m:d>
        </m:oMath>
      </m:oMathPara>
    </w:p>
    <w:p w:rsidR="00FB4CD8" w:rsidRDefault="00FB4CD8" w:rsidP="00FB4CD8">
      <w:pPr>
        <w:rPr>
          <w:rFonts w:eastAsiaTheme="minorEastAsia"/>
        </w:rPr>
      </w:pPr>
      <w:proofErr w:type="gramStart"/>
      <w:r>
        <w:rPr>
          <w:rFonts w:eastAsiaTheme="minorEastAsia"/>
        </w:rPr>
        <w:t>are</w:t>
      </w:r>
      <w:proofErr w:type="gramEnd"/>
      <w:r>
        <w:rPr>
          <w:rFonts w:eastAsiaTheme="minorEastAsia"/>
        </w:rPr>
        <w:t xml:space="preserve"> used for the calculation</w:t>
      </w:r>
      <w:r w:rsidR="00E61274">
        <w:rPr>
          <w:rFonts w:eastAsiaTheme="minorEastAsia"/>
        </w:rPr>
        <w:t>s in (1) and (2), respectively</w:t>
      </w:r>
      <w:r>
        <w:rPr>
          <w:rFonts w:eastAsiaTheme="minorEastAsia"/>
        </w:rPr>
        <w:t>.</w:t>
      </w:r>
    </w:p>
    <w:p w:rsidR="005A269E" w:rsidRPr="00217863" w:rsidRDefault="00FB4CD8" w:rsidP="00FB4CD8">
      <w:pPr>
        <w:rPr>
          <w:rFonts w:eastAsiaTheme="minorEastAsia"/>
          <w:b/>
        </w:rPr>
      </w:pPr>
      <w:r>
        <w:rPr>
          <w:rFonts w:eastAsiaTheme="minorEastAsia"/>
        </w:rPr>
        <w:t>However, the remaining bands do no</w:t>
      </w:r>
      <w:r w:rsidR="005A269E">
        <w:rPr>
          <w:rFonts w:eastAsiaTheme="minorEastAsia"/>
        </w:rPr>
        <w:t>t use these functions</w:t>
      </w:r>
      <w:r w:rsidR="00217863">
        <w:rPr>
          <w:rFonts w:eastAsiaTheme="minorEastAsia"/>
        </w:rPr>
        <w:t>,</w:t>
      </w:r>
      <w:r w:rsidR="005A269E">
        <w:rPr>
          <w:rFonts w:eastAsiaTheme="minorEastAsia"/>
        </w:rPr>
        <w:t xml:space="preserve"> and are not </w:t>
      </w:r>
      <w:r w:rsidR="00217863">
        <w:rPr>
          <w:rFonts w:eastAsiaTheme="minorEastAsia"/>
        </w:rPr>
        <w:t>needed because the step size is 1</w:t>
      </w:r>
      <w:r w:rsidR="00E61274">
        <w:rPr>
          <w:rFonts w:eastAsiaTheme="minorEastAsia"/>
        </w:rPr>
        <w:t>.</w:t>
      </w:r>
      <w:r w:rsidR="005A269E">
        <w:rPr>
          <w:rFonts w:eastAsiaTheme="minorEastAsia"/>
        </w:rPr>
        <w:t xml:space="preserve"> </w:t>
      </w:r>
      <w:r w:rsidR="00E61274">
        <w:rPr>
          <w:rFonts w:eastAsiaTheme="minorEastAsia"/>
        </w:rPr>
        <w:t>T</w:t>
      </w:r>
      <w:r w:rsidR="005A269E">
        <w:rPr>
          <w:rFonts w:eastAsiaTheme="minorEastAsia"/>
        </w:rPr>
        <w:t>o support new bands that have step sizes</w:t>
      </w:r>
      <w:r w:rsidR="00217863">
        <w:rPr>
          <w:rFonts w:eastAsiaTheme="minorEastAsia"/>
        </w:rPr>
        <w:t xml:space="preserve"> greater than 1</w:t>
      </w:r>
      <w:r w:rsidR="005A269E">
        <w:rPr>
          <w:rFonts w:eastAsiaTheme="minorEastAsia"/>
        </w:rPr>
        <w:t xml:space="preserve">, it is proposed to modify the calculations as indicated. </w:t>
      </w:r>
      <w:r w:rsidR="005A269E" w:rsidRPr="00217863">
        <w:rPr>
          <w:rFonts w:eastAsiaTheme="minorEastAsia"/>
          <w:b/>
        </w:rPr>
        <w:t xml:space="preserve">There will be no impact to the </w:t>
      </w:r>
      <w:r w:rsidR="00217863">
        <w:rPr>
          <w:rFonts w:eastAsiaTheme="minorEastAsia"/>
          <w:b/>
        </w:rPr>
        <w:t xml:space="preserve">ranges in the </w:t>
      </w:r>
      <w:r w:rsidR="005A269E" w:rsidRPr="00217863">
        <w:rPr>
          <w:rFonts w:eastAsiaTheme="minorEastAsia"/>
          <w:b/>
        </w:rPr>
        <w:t>existing bands.</w:t>
      </w:r>
    </w:p>
    <w:p w:rsidR="005A269E" w:rsidRPr="005A269E" w:rsidRDefault="005A269E" w:rsidP="00FB4CD8">
      <w:pPr>
        <w:rPr>
          <w:rFonts w:eastAsiaTheme="minorEastAsia"/>
          <w:b/>
          <w:i/>
        </w:rPr>
      </w:pPr>
      <w:r w:rsidRPr="005A269E">
        <w:rPr>
          <w:rFonts w:eastAsiaTheme="minorEastAsia"/>
          <w:b/>
          <w:i/>
        </w:rPr>
        <w:t>Proposal 1: update the spreadsheet calculations to support step sizes for all bands.</w:t>
      </w:r>
    </w:p>
    <w:p w:rsidR="00E61274" w:rsidRDefault="00E61274" w:rsidP="00FB4CD8">
      <w:pPr>
        <w:rPr>
          <w:rFonts w:eastAsiaTheme="minorEastAsia"/>
        </w:rPr>
      </w:pPr>
      <w:r>
        <w:rPr>
          <w:rFonts w:eastAsiaTheme="minorEastAsia"/>
        </w:rPr>
        <w:t>The following steps describe how to update the spreadsheet:</w:t>
      </w:r>
    </w:p>
    <w:p w:rsidR="005A269E" w:rsidRDefault="005A269E" w:rsidP="00E61274">
      <w:pPr>
        <w:numPr>
          <w:ilvl w:val="0"/>
          <w:numId w:val="4"/>
        </w:numPr>
        <w:rPr>
          <w:rFonts w:eastAsiaTheme="minorEastAsia"/>
        </w:rPr>
      </w:pPr>
      <w:r>
        <w:rPr>
          <w:rFonts w:eastAsiaTheme="minorEastAsia"/>
        </w:rPr>
        <w:t xml:space="preserve">In column Q: replace the calculation for row </w:t>
      </w:r>
      <w:r w:rsidRPr="005A269E">
        <w:rPr>
          <w:rFonts w:eastAsiaTheme="minorEastAsia"/>
          <w:i/>
        </w:rPr>
        <w:t>x</w:t>
      </w:r>
      <w:r>
        <w:rPr>
          <w:rFonts w:eastAsiaTheme="minorEastAsia"/>
        </w:rPr>
        <w:t xml:space="preserve"> </w:t>
      </w:r>
    </w:p>
    <w:p w:rsidR="005A269E" w:rsidRPr="005A269E" w:rsidRDefault="005A269E" w:rsidP="005A269E">
      <w:pPr>
        <w:jc w:val="center"/>
        <w:rPr>
          <w:rFonts w:ascii="Cambria Math" w:eastAsiaTheme="minorEastAsia" w:hAnsi="Cambria Math"/>
        </w:rPr>
      </w:pPr>
      <w:r w:rsidRPr="005A269E">
        <w:rPr>
          <w:rFonts w:ascii="Cambria Math" w:eastAsiaTheme="minorEastAsia" w:hAnsi="Cambria Math"/>
          <w:highlight w:val="yellow"/>
        </w:rPr>
        <w:t>=O</w:t>
      </w:r>
      <w:r w:rsidRPr="005A269E">
        <w:rPr>
          <w:rFonts w:ascii="Cambria Math" w:eastAsiaTheme="minorEastAsia" w:hAnsi="Cambria Math"/>
          <w:i/>
          <w:highlight w:val="yellow"/>
        </w:rPr>
        <w:t>x</w:t>
      </w:r>
      <w:r w:rsidRPr="005A269E">
        <w:rPr>
          <w:rFonts w:ascii="Cambria Math" w:eastAsiaTheme="minorEastAsia" w:hAnsi="Cambria Math"/>
          <w:highlight w:val="yellow"/>
        </w:rPr>
        <w:t>*3</w:t>
      </w:r>
      <w:proofErr w:type="gramStart"/>
      <w:r w:rsidRPr="005A269E">
        <w:rPr>
          <w:rFonts w:ascii="Cambria Math" w:eastAsiaTheme="minorEastAsia" w:hAnsi="Cambria Math"/>
          <w:highlight w:val="yellow"/>
        </w:rPr>
        <w:t>+(</w:t>
      </w:r>
      <w:proofErr w:type="gramEnd"/>
      <w:r w:rsidRPr="005A269E">
        <w:rPr>
          <w:rFonts w:ascii="Cambria Math" w:eastAsiaTheme="minorEastAsia" w:hAnsi="Cambria Math"/>
          <w:highlight w:val="yellow"/>
        </w:rPr>
        <w:t>P</w:t>
      </w:r>
      <w:r w:rsidRPr="005A269E">
        <w:rPr>
          <w:rFonts w:ascii="Cambria Math" w:eastAsiaTheme="minorEastAsia" w:hAnsi="Cambria Math"/>
          <w:i/>
          <w:highlight w:val="yellow"/>
        </w:rPr>
        <w:t>x</w:t>
      </w:r>
      <w:r w:rsidRPr="005A269E">
        <w:rPr>
          <w:rFonts w:ascii="Cambria Math" w:eastAsiaTheme="minorEastAsia" w:hAnsi="Cambria Math"/>
          <w:highlight w:val="yellow"/>
        </w:rPr>
        <w:t>-3)/2</w:t>
      </w:r>
      <w:r w:rsidRPr="005A269E">
        <w:rPr>
          <w:rFonts w:eastAsiaTheme="minorEastAsia"/>
        </w:rPr>
        <w:t xml:space="preserve"> by </w:t>
      </w:r>
      <w:r w:rsidRPr="00B37F17">
        <w:rPr>
          <w:rFonts w:ascii="Cambria Math" w:eastAsiaTheme="minorEastAsia" w:hAnsi="Cambria Math"/>
          <w:highlight w:val="green"/>
        </w:rPr>
        <w:t>=ceiling(O</w:t>
      </w:r>
      <w:r w:rsidRPr="00B37F17">
        <w:rPr>
          <w:rFonts w:ascii="Cambria Math" w:eastAsiaTheme="minorEastAsia" w:hAnsi="Cambria Math"/>
          <w:i/>
          <w:highlight w:val="green"/>
        </w:rPr>
        <w:t>x</w:t>
      </w:r>
      <w:r w:rsidRPr="00B37F17">
        <w:rPr>
          <w:rFonts w:ascii="Cambria Math" w:eastAsiaTheme="minorEastAsia" w:hAnsi="Cambria Math"/>
          <w:highlight w:val="green"/>
        </w:rPr>
        <w:t>*3+(P</w:t>
      </w:r>
      <w:r w:rsidRPr="00B37F17">
        <w:rPr>
          <w:rFonts w:ascii="Cambria Math" w:eastAsiaTheme="minorEastAsia" w:hAnsi="Cambria Math"/>
          <w:i/>
          <w:highlight w:val="green"/>
        </w:rPr>
        <w:t>x</w:t>
      </w:r>
      <w:r w:rsidRPr="00B37F17">
        <w:rPr>
          <w:rFonts w:ascii="Cambria Math" w:eastAsiaTheme="minorEastAsia" w:hAnsi="Cambria Math"/>
          <w:highlight w:val="green"/>
        </w:rPr>
        <w:t xml:space="preserve">-3)/2, </w:t>
      </w:r>
      <w:proofErr w:type="spellStart"/>
      <w:r w:rsidRPr="00B37F17">
        <w:rPr>
          <w:rFonts w:ascii="Cambria Math" w:eastAsiaTheme="minorEastAsia" w:hAnsi="Cambria Math"/>
          <w:highlight w:val="green"/>
        </w:rPr>
        <w:t>N</w:t>
      </w:r>
      <w:r w:rsidRPr="00B37F17">
        <w:rPr>
          <w:rFonts w:ascii="Cambria Math" w:eastAsiaTheme="minorEastAsia" w:hAnsi="Cambria Math"/>
          <w:i/>
          <w:highlight w:val="green"/>
        </w:rPr>
        <w:t>x</w:t>
      </w:r>
      <w:proofErr w:type="spellEnd"/>
      <w:r w:rsidRPr="00B37F17">
        <w:rPr>
          <w:rFonts w:ascii="Cambria Math" w:eastAsiaTheme="minorEastAsia" w:hAnsi="Cambria Math"/>
          <w:highlight w:val="green"/>
        </w:rPr>
        <w:t>)</w:t>
      </w:r>
      <w:r>
        <w:rPr>
          <w:rFonts w:ascii="Cambria Math" w:eastAsiaTheme="minorEastAsia" w:hAnsi="Cambria Math"/>
        </w:rPr>
        <w:t xml:space="preserve"> </w:t>
      </w:r>
    </w:p>
    <w:p w:rsidR="005A269E" w:rsidRDefault="005A269E" w:rsidP="00E61274">
      <w:pPr>
        <w:numPr>
          <w:ilvl w:val="0"/>
          <w:numId w:val="4"/>
        </w:numPr>
        <w:rPr>
          <w:rFonts w:eastAsiaTheme="minorEastAsia"/>
        </w:rPr>
      </w:pPr>
      <w:r>
        <w:rPr>
          <w:rFonts w:eastAsiaTheme="minorEastAsia"/>
        </w:rPr>
        <w:t xml:space="preserve">In column T: replace the calculation for row </w:t>
      </w:r>
      <w:r w:rsidRPr="005A269E">
        <w:rPr>
          <w:rFonts w:eastAsiaTheme="minorEastAsia"/>
          <w:i/>
        </w:rPr>
        <w:t>x</w:t>
      </w:r>
      <w:r>
        <w:rPr>
          <w:rFonts w:eastAsiaTheme="minorEastAsia"/>
        </w:rPr>
        <w:t xml:space="preserve"> </w:t>
      </w:r>
    </w:p>
    <w:p w:rsidR="005A269E" w:rsidRPr="005A269E" w:rsidRDefault="005A269E" w:rsidP="005A269E">
      <w:pPr>
        <w:jc w:val="center"/>
        <w:rPr>
          <w:rFonts w:ascii="Cambria Math" w:eastAsiaTheme="minorEastAsia" w:hAnsi="Cambria Math"/>
        </w:rPr>
      </w:pPr>
      <w:r w:rsidRPr="005A269E">
        <w:rPr>
          <w:rFonts w:ascii="Cambria Math" w:eastAsiaTheme="minorEastAsia" w:hAnsi="Cambria Math"/>
          <w:highlight w:val="yellow"/>
        </w:rPr>
        <w:t>=</w:t>
      </w:r>
      <w:r>
        <w:rPr>
          <w:rFonts w:ascii="Cambria Math" w:eastAsiaTheme="minorEastAsia" w:hAnsi="Cambria Math"/>
          <w:highlight w:val="yellow"/>
        </w:rPr>
        <w:t>R</w:t>
      </w:r>
      <w:r w:rsidRPr="005A269E">
        <w:rPr>
          <w:rFonts w:ascii="Cambria Math" w:eastAsiaTheme="minorEastAsia" w:hAnsi="Cambria Math"/>
          <w:i/>
          <w:highlight w:val="yellow"/>
        </w:rPr>
        <w:t>x</w:t>
      </w:r>
      <w:r w:rsidRPr="005A269E">
        <w:rPr>
          <w:rFonts w:ascii="Cambria Math" w:eastAsiaTheme="minorEastAsia" w:hAnsi="Cambria Math"/>
          <w:highlight w:val="yellow"/>
        </w:rPr>
        <w:t>*3</w:t>
      </w:r>
      <w:proofErr w:type="gramStart"/>
      <w:r w:rsidRPr="005A269E">
        <w:rPr>
          <w:rFonts w:ascii="Cambria Math" w:eastAsiaTheme="minorEastAsia" w:hAnsi="Cambria Math"/>
          <w:highlight w:val="yellow"/>
        </w:rPr>
        <w:t>+(</w:t>
      </w:r>
      <w:proofErr w:type="gramEnd"/>
      <w:r>
        <w:rPr>
          <w:rFonts w:ascii="Cambria Math" w:eastAsiaTheme="minorEastAsia" w:hAnsi="Cambria Math"/>
          <w:highlight w:val="yellow"/>
        </w:rPr>
        <w:t>S</w:t>
      </w:r>
      <w:r w:rsidRPr="005A269E">
        <w:rPr>
          <w:rFonts w:ascii="Cambria Math" w:eastAsiaTheme="minorEastAsia" w:hAnsi="Cambria Math"/>
          <w:i/>
          <w:highlight w:val="yellow"/>
        </w:rPr>
        <w:t>x</w:t>
      </w:r>
      <w:r w:rsidRPr="005A269E">
        <w:rPr>
          <w:rFonts w:ascii="Cambria Math" w:eastAsiaTheme="minorEastAsia" w:hAnsi="Cambria Math"/>
          <w:highlight w:val="yellow"/>
        </w:rPr>
        <w:t>-3)/2</w:t>
      </w:r>
      <w:r w:rsidRPr="005A269E">
        <w:rPr>
          <w:rFonts w:eastAsiaTheme="minorEastAsia"/>
        </w:rPr>
        <w:t xml:space="preserve"> by </w:t>
      </w:r>
      <w:r w:rsidRPr="00B37F17">
        <w:rPr>
          <w:rFonts w:ascii="Cambria Math" w:eastAsiaTheme="minorEastAsia" w:hAnsi="Cambria Math"/>
          <w:highlight w:val="green"/>
        </w:rPr>
        <w:t>=floor(R</w:t>
      </w:r>
      <w:r w:rsidRPr="00B37F17">
        <w:rPr>
          <w:rFonts w:ascii="Cambria Math" w:eastAsiaTheme="minorEastAsia" w:hAnsi="Cambria Math"/>
          <w:i/>
          <w:highlight w:val="green"/>
        </w:rPr>
        <w:t>x</w:t>
      </w:r>
      <w:r w:rsidRPr="00B37F17">
        <w:rPr>
          <w:rFonts w:ascii="Cambria Math" w:eastAsiaTheme="minorEastAsia" w:hAnsi="Cambria Math"/>
          <w:highlight w:val="green"/>
        </w:rPr>
        <w:t>*3+(S</w:t>
      </w:r>
      <w:r w:rsidRPr="00B37F17">
        <w:rPr>
          <w:rFonts w:ascii="Cambria Math" w:eastAsiaTheme="minorEastAsia" w:hAnsi="Cambria Math"/>
          <w:i/>
          <w:highlight w:val="green"/>
        </w:rPr>
        <w:t>x</w:t>
      </w:r>
      <w:r w:rsidRPr="00B37F17">
        <w:rPr>
          <w:rFonts w:ascii="Cambria Math" w:eastAsiaTheme="minorEastAsia" w:hAnsi="Cambria Math"/>
          <w:highlight w:val="green"/>
        </w:rPr>
        <w:t xml:space="preserve">-3)/2, </w:t>
      </w:r>
      <w:proofErr w:type="spellStart"/>
      <w:r w:rsidRPr="00B37F17">
        <w:rPr>
          <w:rFonts w:ascii="Cambria Math" w:eastAsiaTheme="minorEastAsia" w:hAnsi="Cambria Math"/>
          <w:highlight w:val="green"/>
        </w:rPr>
        <w:t>N</w:t>
      </w:r>
      <w:r w:rsidRPr="00B37F17">
        <w:rPr>
          <w:rFonts w:ascii="Cambria Math" w:eastAsiaTheme="minorEastAsia" w:hAnsi="Cambria Math"/>
          <w:i/>
          <w:highlight w:val="green"/>
        </w:rPr>
        <w:t>x</w:t>
      </w:r>
      <w:proofErr w:type="spellEnd"/>
      <w:r w:rsidRPr="00B37F17">
        <w:rPr>
          <w:rFonts w:ascii="Cambria Math" w:eastAsiaTheme="minorEastAsia" w:hAnsi="Cambria Math"/>
          <w:highlight w:val="green"/>
        </w:rPr>
        <w:t>)</w:t>
      </w:r>
      <w:r>
        <w:rPr>
          <w:rFonts w:ascii="Cambria Math" w:eastAsiaTheme="minorEastAsia" w:hAnsi="Cambria Math"/>
        </w:rPr>
        <w:t xml:space="preserve"> </w:t>
      </w:r>
    </w:p>
    <w:p w:rsidR="005A269E" w:rsidRDefault="005A269E" w:rsidP="005A269E">
      <w:pPr>
        <w:pStyle w:val="Heading2"/>
      </w:pPr>
      <w:r w:rsidRPr="00B615C4">
        <w:lastRenderedPageBreak/>
        <w:t xml:space="preserve">Step size </w:t>
      </w:r>
      <w:r w:rsidR="0065707D">
        <w:t>consistency</w:t>
      </w:r>
    </w:p>
    <w:p w:rsidR="00ED4135" w:rsidRDefault="0065707D" w:rsidP="0065707D">
      <w:r>
        <w:t>During the examination of the spreadsheet, a value of &lt;2&gt; (“</w:t>
      </w:r>
      <w:r w:rsidRPr="0065707D">
        <w:t>5279 – &lt;2&gt; – 5494</w:t>
      </w:r>
      <w:r>
        <w:t>”) is listed as the step size of band n65. However, the specification in 38.104 state the step size as &lt;1&gt; (“</w:t>
      </w:r>
      <w:r w:rsidRPr="0065707D">
        <w:t>5279 – &lt;</w:t>
      </w:r>
      <w:r>
        <w:t>1</w:t>
      </w:r>
      <w:r w:rsidRPr="0065707D">
        <w:t>&gt; – 5494</w:t>
      </w:r>
      <w:r>
        <w:t xml:space="preserve">”). </w:t>
      </w:r>
    </w:p>
    <w:p w:rsidR="00ED4135" w:rsidRDefault="00B37F17" w:rsidP="00ED4135">
      <w:pPr>
        <w:numPr>
          <w:ilvl w:val="0"/>
          <w:numId w:val="3"/>
        </w:numPr>
      </w:pPr>
      <w:r>
        <w:t xml:space="preserve">Assuming the 38.104 specification is correct: </w:t>
      </w:r>
      <w:r w:rsidR="00ED4135">
        <w:t>T</w:t>
      </w:r>
      <w:r w:rsidR="0065707D">
        <w:t>he spreadsheet i</w:t>
      </w:r>
      <w:r w:rsidR="00ED4135">
        <w:t>s</w:t>
      </w:r>
      <w:r w:rsidR="0065707D">
        <w:t xml:space="preserve"> not consistent with the standard.</w:t>
      </w:r>
      <w:r w:rsidR="00217863">
        <w:t xml:space="preserve"> The correction is to replace “2” with “1” in cell </w:t>
      </w:r>
      <w:r>
        <w:t>“n35”</w:t>
      </w:r>
    </w:p>
    <w:p w:rsidR="0065707D" w:rsidRPr="0065707D" w:rsidRDefault="00B37F17" w:rsidP="00B37F17">
      <w:pPr>
        <w:numPr>
          <w:ilvl w:val="0"/>
          <w:numId w:val="3"/>
        </w:numPr>
      </w:pPr>
      <w:r w:rsidRPr="00B37F17">
        <w:t>Assuming the 38.104 specification</w:t>
      </w:r>
      <w:r>
        <w:t>s</w:t>
      </w:r>
      <w:r w:rsidRPr="00B37F17">
        <w:t xml:space="preserve"> </w:t>
      </w:r>
      <w:r>
        <w:t>is</w:t>
      </w:r>
      <w:r w:rsidRPr="00B37F17">
        <w:t xml:space="preserve"> </w:t>
      </w:r>
      <w:r>
        <w:t>in</w:t>
      </w:r>
      <w:r w:rsidRPr="00B37F17">
        <w:t>correct</w:t>
      </w:r>
      <w:r>
        <w:t>:</w:t>
      </w:r>
      <w:r w:rsidRPr="00B37F17">
        <w:t xml:space="preserve"> </w:t>
      </w:r>
      <w:r w:rsidR="00ED4135">
        <w:t>F</w:t>
      </w:r>
      <w:r w:rsidR="0065707D">
        <w:t>or the step size of 2, the GSCN range should begin at 5280, not 5279. Updating the spreadsheet to use Proposal 1 would solve</w:t>
      </w:r>
      <w:r w:rsidR="00ED4135">
        <w:t xml:space="preserve"> this</w:t>
      </w:r>
      <w:r>
        <w:t xml:space="preserve"> as well updating the table</w:t>
      </w:r>
    </w:p>
    <w:p w:rsidR="00ED4135" w:rsidRDefault="00ED4135" w:rsidP="00ED4135">
      <w:pPr>
        <w:rPr>
          <w:b/>
          <w:i/>
        </w:rPr>
      </w:pPr>
      <w:r w:rsidRPr="00ED4135">
        <w:rPr>
          <w:b/>
          <w:i/>
        </w:rPr>
        <w:t xml:space="preserve">Proposal </w:t>
      </w:r>
      <w:r>
        <w:rPr>
          <w:b/>
          <w:i/>
        </w:rPr>
        <w:t>2</w:t>
      </w:r>
      <w:r w:rsidRPr="00ED4135">
        <w:rPr>
          <w:b/>
          <w:i/>
        </w:rPr>
        <w:t xml:space="preserve">: </w:t>
      </w:r>
      <w:r>
        <w:rPr>
          <w:b/>
          <w:i/>
        </w:rPr>
        <w:t>verify the step size for band n65 and make the appropriate changes</w:t>
      </w:r>
      <w:r w:rsidR="00E61274">
        <w:rPr>
          <w:b/>
          <w:i/>
        </w:rPr>
        <w:t xml:space="preserve"> to the spreadsheet / spec</w:t>
      </w:r>
    </w:p>
    <w:p w:rsidR="00ED4135" w:rsidRDefault="00A37FC1" w:rsidP="00ED4135">
      <w:pPr>
        <w:pStyle w:val="Heading2"/>
      </w:pPr>
      <w:r>
        <w:t>Last GSCN value</w:t>
      </w:r>
    </w:p>
    <w:p w:rsidR="00AC0552" w:rsidRDefault="00AC0552" w:rsidP="00AC0552">
      <w:r>
        <w:t xml:space="preserve">In </w:t>
      </w:r>
      <w:r>
        <w:fldChar w:fldCharType="begin"/>
      </w:r>
      <w:r>
        <w:instrText xml:space="preserve"> REF _Ref3787609 \r \h </w:instrText>
      </w:r>
      <w:r>
        <w:fldChar w:fldCharType="separate"/>
      </w:r>
      <w:r>
        <w:t>[4]</w:t>
      </w:r>
      <w:r>
        <w:fldChar w:fldCharType="end"/>
      </w:r>
      <w:r>
        <w:t>, a correction was agreed for computing the upper band of the GSCN range as</w:t>
      </w:r>
    </w:p>
    <w:p w:rsidR="00AC0552" w:rsidRPr="003F51E3" w:rsidRDefault="003F51E3" w:rsidP="003F51E3">
      <w:pPr>
        <w:tabs>
          <w:tab w:val="center" w:pos="4680"/>
          <w:tab w:val="right" w:pos="9360"/>
        </w:tabs>
        <w:rPr>
          <w:rFonts w:eastAsiaTheme="minorEastAsia"/>
        </w:rPr>
      </w:pPr>
      <w:r>
        <w:rPr>
          <w:rFonts w:eastAsiaTheme="minorEastAsia"/>
        </w:rPr>
        <w:tab/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m:rPr>
                <m:nor/>
              </m:rPr>
              <w:rPr>
                <w:rFonts w:eastAsiaTheme="minorEastAsia"/>
              </w:rPr>
              <m:t>max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m:rPr>
                <m:nor/>
              </m:rPr>
              <w:rPr>
                <w:rFonts w:eastAsiaTheme="minorEastAsia"/>
              </w:rPr>
              <m:t>low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W</m:t>
            </m:r>
          </m:e>
          <m:sub>
            <m:r>
              <w:rPr>
                <w:rFonts w:ascii="Cambria Math" w:eastAsiaTheme="minorEastAsia" w:hAnsi="Cambria Math"/>
              </w:rPr>
              <m:t>Band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-</m:t>
        </m:r>
        <m:r>
          <w:rPr>
            <w:rFonts w:ascii="Cambria Math" w:eastAsiaTheme="minorEastAsia" w:hAnsi="Cambria Math"/>
          </w:rPr>
          <m:t>G</m:t>
        </m:r>
        <m:r>
          <m:rPr>
            <m:sty m:val="p"/>
          </m:rPr>
          <w:rPr>
            <w:rFonts w:ascii="Cambria Math" w:eastAsiaTheme="minorEastAsia" w:hAnsi="Cambria Math"/>
          </w:rPr>
          <m:t>-∆</m:t>
        </m:r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highlight w:val="green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Theme="minorEastAsia" w:hAnsi="Cambria Math"/>
                        <w:highlight w:val="gree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highlight w:val="gree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highlight w:val="green"/>
                      </w:rPr>
                      <m:t>RB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highlight w:val="green"/>
                      </w:rPr>
                      <m:t>SS</m:t>
                    </m:r>
                  </m:sup>
                </m:sSubSup>
                <m:sSubSup>
                  <m:sSubSupPr>
                    <m:ctrlPr>
                      <w:rPr>
                        <w:rFonts w:ascii="Cambria Math" w:eastAsiaTheme="minorEastAsia" w:hAnsi="Cambria Math"/>
                        <w:highlight w:val="gree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highlight w:val="gree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highlight w:val="green"/>
                      </w:rPr>
                      <m:t>RE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highlight w:val="green"/>
                      </w:rPr>
                      <m:t>RB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Theme="minorEastAsia" w:hAnsi="Cambria Math"/>
                    <w:highlight w:val="green"/>
                  </w:rPr>
                  <m:t>-1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highlight w:val="green"/>
                  </w:rPr>
                  <m:t>2</m:t>
                </m:r>
              </m:den>
            </m:f>
          </m:e>
        </m:d>
      </m:oMath>
      <w:r>
        <w:rPr>
          <w:rFonts w:eastAsiaTheme="minorEastAsia"/>
        </w:rPr>
        <w:tab/>
        <w:t>(3)</w:t>
      </w:r>
    </w:p>
    <w:p w:rsidR="00AC0552" w:rsidRDefault="00AC0552" w:rsidP="00AC0552">
      <w:r>
        <w:t>In the spreadsheet, the corresponding calculation</w:t>
      </w:r>
      <w:r w:rsidR="00F83E95">
        <w:t xml:space="preserve"> in column M</w:t>
      </w:r>
      <w:r>
        <w:t xml:space="preserve"> is</w:t>
      </w:r>
    </w:p>
    <w:p w:rsidR="00AC0552" w:rsidRPr="00AC0552" w:rsidRDefault="003F51E3" w:rsidP="00AC0552">
      <w:pPr>
        <w:jc w:val="center"/>
        <w:rPr>
          <w:rFonts w:ascii="Cambria Math" w:eastAsiaTheme="minorEastAsia" w:hAnsi="Cambria Math"/>
          <w:highlight w:val="yellow"/>
        </w:rPr>
      </w:pPr>
      <w:r w:rsidRPr="003F51E3">
        <w:rPr>
          <w:rFonts w:ascii="Cambria Math" w:eastAsiaTheme="minorEastAsia" w:hAnsi="Cambria Math"/>
          <w:highlight w:val="yellow"/>
        </w:rPr>
        <w:t>=</w:t>
      </w:r>
      <w:proofErr w:type="spellStart"/>
      <w:r w:rsidRPr="003F51E3">
        <w:rPr>
          <w:rFonts w:ascii="Cambria Math" w:eastAsiaTheme="minorEastAsia" w:hAnsi="Cambria Math"/>
          <w:highlight w:val="yellow"/>
        </w:rPr>
        <w:t>H</w:t>
      </w:r>
      <w:r>
        <w:rPr>
          <w:rFonts w:ascii="Cambria Math" w:eastAsiaTheme="minorEastAsia" w:hAnsi="Cambria Math"/>
          <w:highlight w:val="yellow"/>
        </w:rPr>
        <w:t>x</w:t>
      </w:r>
      <w:r w:rsidRPr="003F51E3">
        <w:rPr>
          <w:rFonts w:ascii="Cambria Math" w:eastAsiaTheme="minorEastAsia" w:hAnsi="Cambria Math"/>
          <w:highlight w:val="yellow"/>
        </w:rPr>
        <w:t>-K</w:t>
      </w:r>
      <w:r>
        <w:rPr>
          <w:rFonts w:ascii="Cambria Math" w:eastAsiaTheme="minorEastAsia" w:hAnsi="Cambria Math"/>
          <w:highlight w:val="yellow"/>
        </w:rPr>
        <w:t>x</w:t>
      </w:r>
      <w:proofErr w:type="spellEnd"/>
      <w:r w:rsidRPr="003F51E3">
        <w:rPr>
          <w:rFonts w:ascii="Cambria Math" w:eastAsiaTheme="minorEastAsia" w:hAnsi="Cambria Math"/>
          <w:highlight w:val="yellow"/>
        </w:rPr>
        <w:t>-(20*12/2-1)*</w:t>
      </w:r>
      <w:proofErr w:type="spellStart"/>
      <w:r w:rsidRPr="003F51E3">
        <w:rPr>
          <w:rFonts w:ascii="Cambria Math" w:eastAsiaTheme="minorEastAsia" w:hAnsi="Cambria Math"/>
          <w:highlight w:val="yellow"/>
        </w:rPr>
        <w:t>C</w:t>
      </w:r>
      <w:r>
        <w:rPr>
          <w:rFonts w:ascii="Cambria Math" w:eastAsiaTheme="minorEastAsia" w:hAnsi="Cambria Math"/>
          <w:highlight w:val="yellow"/>
        </w:rPr>
        <w:t>x</w:t>
      </w:r>
      <w:proofErr w:type="spellEnd"/>
    </w:p>
    <w:p w:rsidR="00AC0552" w:rsidRDefault="003F51E3" w:rsidP="00AC0552">
      <w:r>
        <w:t xml:space="preserve">Where </w:t>
      </w:r>
      <w:proofErr w:type="spellStart"/>
      <w:r>
        <w:t>Cx</w:t>
      </w:r>
      <w:proofErr w:type="spellEnd"/>
      <w:r>
        <w:t xml:space="preserve"> </w:t>
      </w:r>
      <w:proofErr w:type="gramStart"/>
      <w:r>
        <w:t xml:space="preserve">= </w:t>
      </w:r>
      <w:proofErr w:type="gramEnd"/>
      <m:oMath>
        <m:r>
          <w:rPr>
            <w:rFonts w:ascii="Cambria Math" w:hAnsi="Cambria Math"/>
          </w:rPr>
          <m:t>∆f</m:t>
        </m:r>
      </m:oMath>
      <w:r>
        <w:rPr>
          <w:rFonts w:eastAsiaTheme="minorEastAsia"/>
        </w:rPr>
        <w:t>, Hx</w:t>
      </w:r>
      <w:r>
        <w:rPr>
          <w:rFonts w:ascii="Cambria Math" w:eastAsiaTheme="minorEastAsia" w:hAnsi="Cambria Math"/>
        </w:rPr>
        <w:t xml:space="preserve"> =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m:t>low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Band</m:t>
            </m:r>
          </m:sub>
        </m:sSub>
      </m:oMath>
      <w:r>
        <w:rPr>
          <w:rFonts w:ascii="Cambria Math" w:eastAsiaTheme="minorEastAsia" w:hAnsi="Cambria Math"/>
        </w:rPr>
        <w:t>,</w:t>
      </w:r>
      <w:r w:rsidRPr="003F51E3">
        <w:t xml:space="preserve"> and </w:t>
      </w:r>
      <w:proofErr w:type="spellStart"/>
      <w:r w:rsidRPr="003F51E3">
        <w:t>Kx</w:t>
      </w:r>
      <w:proofErr w:type="spellEnd"/>
      <w:r w:rsidRPr="003F51E3">
        <w:t xml:space="preserve"> = </w:t>
      </w:r>
      <w:r w:rsidRPr="003F51E3">
        <w:rPr>
          <w:i/>
        </w:rPr>
        <w:t>G</w:t>
      </w:r>
      <w:r w:rsidRPr="003F51E3">
        <w:t>.</w:t>
      </w:r>
      <w:r>
        <w:t xml:space="preserve"> Comparing the spreadsheet and formula, there is a slight error. The spreadsheet computes </w:t>
      </w:r>
    </w:p>
    <w:p w:rsidR="003F51E3" w:rsidRPr="003F51E3" w:rsidRDefault="003F51E3" w:rsidP="003F51E3">
      <w:pPr>
        <w:tabs>
          <w:tab w:val="center" w:pos="4680"/>
          <w:tab w:val="right" w:pos="9360"/>
        </w:tabs>
        <w:rPr>
          <w:rFonts w:eastAsiaTheme="minorEastAsia"/>
        </w:rPr>
      </w:pPr>
      <w:r>
        <w:rPr>
          <w:rFonts w:eastAsiaTheme="minorEastAsia"/>
        </w:rPr>
        <w:tab/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m:rPr>
                <m:nor/>
              </m:rPr>
              <w:rPr>
                <w:rFonts w:eastAsiaTheme="minorEastAsia"/>
              </w:rPr>
              <m:t>max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m:rPr>
                <m:nor/>
              </m:rPr>
              <w:rPr>
                <w:rFonts w:eastAsiaTheme="minorEastAsia"/>
              </w:rPr>
              <m:t>low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W</m:t>
            </m:r>
          </m:e>
          <m:sub>
            <m:r>
              <w:rPr>
                <w:rFonts w:ascii="Cambria Math" w:eastAsiaTheme="minorEastAsia" w:hAnsi="Cambria Math"/>
              </w:rPr>
              <m:t>Band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-</m:t>
        </m:r>
        <m:r>
          <w:rPr>
            <w:rFonts w:ascii="Cambria Math" w:eastAsiaTheme="minorEastAsia" w:hAnsi="Cambria Math"/>
          </w:rPr>
          <m:t>G</m:t>
        </m:r>
        <m:r>
          <m:rPr>
            <m:sty m:val="p"/>
          </m:rPr>
          <w:rPr>
            <w:rFonts w:ascii="Cambria Math" w:eastAsiaTheme="minorEastAsia" w:hAnsi="Cambria Math"/>
          </w:rPr>
          <m:t>-∆</m:t>
        </m:r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highlight w:val="yellow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Theme="minorEastAsia" w:hAnsi="Cambria Math"/>
                        <w:highlight w:val="yellow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highlight w:val="yellow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highlight w:val="yellow"/>
                      </w:rPr>
                      <m:t>RB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highlight w:val="yellow"/>
                      </w:rPr>
                      <m:t>SS</m:t>
                    </m:r>
                  </m:sup>
                </m:sSubSup>
                <m:sSubSup>
                  <m:sSubSupPr>
                    <m:ctrlPr>
                      <w:rPr>
                        <w:rFonts w:ascii="Cambria Math" w:eastAsiaTheme="minorEastAsia" w:hAnsi="Cambria Math"/>
                        <w:highlight w:val="yellow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highlight w:val="yellow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highlight w:val="yellow"/>
                      </w:rPr>
                      <m:t>RE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highlight w:val="yellow"/>
                      </w:rPr>
                      <m:t>RB</m:t>
                    </m:r>
                  </m:sup>
                </m:sSubSup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  <w:highlight w:val="yellow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  <w:highlight w:val="yellow"/>
              </w:rPr>
              <m:t>-1</m:t>
            </m:r>
          </m:e>
        </m:d>
      </m:oMath>
    </w:p>
    <w:p w:rsidR="00AC0552" w:rsidRDefault="003F51E3" w:rsidP="00AC0552">
      <w:pPr>
        <w:rPr>
          <w:rFonts w:eastAsiaTheme="minorEastAsia"/>
          <w:iCs/>
        </w:rPr>
      </w:pPr>
      <w:r>
        <w:t xml:space="preserve">In general, the </w:t>
      </w:r>
      <w:r w:rsidR="0068064F">
        <w:t>difference</w:t>
      </w:r>
      <w:r w:rsidR="00F83E95">
        <w:rPr>
          <w:rFonts w:eastAsiaTheme="minorEastAsia"/>
          <w:iCs/>
        </w:rPr>
        <w:t xml:space="preserve"> causes </w:t>
      </w:r>
      <w:proofErr w:type="spellStart"/>
      <w:r w:rsidR="00F83E95" w:rsidRPr="00F83E95">
        <w:rPr>
          <w:rFonts w:eastAsiaTheme="minorEastAsia"/>
          <w:i/>
          <w:iCs/>
        </w:rPr>
        <w:t>f</w:t>
      </w:r>
      <w:r w:rsidR="00F83E95" w:rsidRPr="00F83E95">
        <w:rPr>
          <w:rFonts w:eastAsiaTheme="minorEastAsia"/>
          <w:iCs/>
          <w:vertAlign w:val="subscript"/>
        </w:rPr>
        <w:t>max</w:t>
      </w:r>
      <w:proofErr w:type="spellEnd"/>
      <w:r w:rsidR="00F83E95">
        <w:rPr>
          <w:rFonts w:eastAsiaTheme="minorEastAsia"/>
          <w:iCs/>
        </w:rPr>
        <w:t xml:space="preserve"> to be </w:t>
      </w:r>
      <m:oMath>
        <m:r>
          <m:rPr>
            <m:sty m:val="p"/>
          </m:rPr>
          <w:rPr>
            <w:rFonts w:ascii="Cambria Math" w:eastAsiaTheme="minorEastAsia" w:hAnsi="Cambria Math"/>
          </w:rPr>
          <m:t>∆</m:t>
        </m:r>
        <m:r>
          <w:rPr>
            <w:rFonts w:ascii="Cambria Math" w:eastAsiaTheme="minorEastAsia" w:hAnsi="Cambria Math"/>
          </w:rPr>
          <m:t>f/2</m:t>
        </m:r>
      </m:oMath>
      <w:r w:rsidR="00F83E95">
        <w:rPr>
          <w:rFonts w:eastAsiaTheme="minorEastAsia"/>
          <w:iCs/>
        </w:rPr>
        <w:t xml:space="preserve"> higher and can led to the SSB to lie outside the band. The correction is simple</w:t>
      </w:r>
    </w:p>
    <w:p w:rsidR="00F83E95" w:rsidRPr="00AC0552" w:rsidRDefault="00F83E95" w:rsidP="00F83E95">
      <w:pPr>
        <w:jc w:val="center"/>
        <w:rPr>
          <w:rFonts w:ascii="Cambria Math" w:eastAsiaTheme="minorEastAsia" w:hAnsi="Cambria Math"/>
          <w:highlight w:val="yellow"/>
        </w:rPr>
      </w:pPr>
      <w:r w:rsidRPr="00B37F17">
        <w:rPr>
          <w:rFonts w:ascii="Cambria Math" w:eastAsiaTheme="minorEastAsia" w:hAnsi="Cambria Math"/>
          <w:highlight w:val="green"/>
        </w:rPr>
        <w:t>=</w:t>
      </w:r>
      <w:proofErr w:type="spellStart"/>
      <w:r w:rsidRPr="00B37F17">
        <w:rPr>
          <w:rFonts w:ascii="Cambria Math" w:eastAsiaTheme="minorEastAsia" w:hAnsi="Cambria Math"/>
          <w:highlight w:val="green"/>
        </w:rPr>
        <w:t>Hx-Kx</w:t>
      </w:r>
      <w:proofErr w:type="spellEnd"/>
      <w:r w:rsidRPr="00B37F17">
        <w:rPr>
          <w:rFonts w:ascii="Cambria Math" w:eastAsiaTheme="minorEastAsia" w:hAnsi="Cambria Math"/>
          <w:highlight w:val="green"/>
        </w:rPr>
        <w:t>-(20*12-1)/2*</w:t>
      </w:r>
      <w:proofErr w:type="spellStart"/>
      <w:r w:rsidRPr="00B37F17">
        <w:rPr>
          <w:rFonts w:ascii="Cambria Math" w:eastAsiaTheme="minorEastAsia" w:hAnsi="Cambria Math"/>
          <w:highlight w:val="green"/>
        </w:rPr>
        <w:t>Cx</w:t>
      </w:r>
      <w:proofErr w:type="spellEnd"/>
    </w:p>
    <w:p w:rsidR="00F83E95" w:rsidRDefault="00F83E95" w:rsidP="00F83E95">
      <w:pPr>
        <w:rPr>
          <w:b/>
          <w:i/>
        </w:rPr>
      </w:pPr>
      <w:r w:rsidRPr="00ED4135">
        <w:rPr>
          <w:b/>
          <w:i/>
        </w:rPr>
        <w:t xml:space="preserve">Proposal </w:t>
      </w:r>
      <w:r>
        <w:rPr>
          <w:b/>
          <w:i/>
        </w:rPr>
        <w:t>3</w:t>
      </w:r>
      <w:r w:rsidRPr="00ED4135">
        <w:rPr>
          <w:b/>
          <w:i/>
        </w:rPr>
        <w:t xml:space="preserve">: </w:t>
      </w:r>
      <w:r>
        <w:rPr>
          <w:b/>
          <w:i/>
        </w:rPr>
        <w:t xml:space="preserve">Correct the spreadsheet in </w:t>
      </w:r>
      <w:r w:rsidR="00A37FC1">
        <w:rPr>
          <w:b/>
          <w:i/>
        </w:rPr>
        <w:t>column M as indicated to compute the maximum frequency value for GSCN</w:t>
      </w:r>
    </w:p>
    <w:p w:rsidR="00A37FC1" w:rsidRDefault="00A37FC1" w:rsidP="00A37FC1">
      <w:pPr>
        <w:rPr>
          <w:rFonts w:eastAsiaTheme="minorEastAsia"/>
          <w:iCs/>
        </w:rPr>
      </w:pPr>
      <w:r>
        <w:t>Note for the existing GSCN values, there is no change in the values after the correction.</w:t>
      </w:r>
    </w:p>
    <w:p w:rsidR="00A37FC1" w:rsidRDefault="00A37FC1" w:rsidP="00A37FC1">
      <w:pPr>
        <w:pStyle w:val="Heading1"/>
      </w:pPr>
      <w:r>
        <w:t>Conclusion</w:t>
      </w:r>
    </w:p>
    <w:p w:rsidR="00A37FC1" w:rsidRPr="005A269E" w:rsidRDefault="00A37FC1" w:rsidP="00A37FC1">
      <w:pPr>
        <w:rPr>
          <w:rFonts w:eastAsiaTheme="minorEastAsia"/>
          <w:b/>
          <w:i/>
        </w:rPr>
      </w:pPr>
      <w:r w:rsidRPr="005A269E">
        <w:rPr>
          <w:rFonts w:eastAsiaTheme="minorEastAsia"/>
          <w:b/>
          <w:i/>
        </w:rPr>
        <w:t>Proposal 1: update the spreadsheet calculations to support step sizes for all bands.</w:t>
      </w:r>
    </w:p>
    <w:p w:rsidR="00A37FC1" w:rsidRDefault="00A37FC1" w:rsidP="00A37FC1">
      <w:pPr>
        <w:rPr>
          <w:b/>
          <w:i/>
        </w:rPr>
      </w:pPr>
      <w:r w:rsidRPr="00ED4135">
        <w:rPr>
          <w:b/>
          <w:i/>
        </w:rPr>
        <w:t xml:space="preserve">Proposal </w:t>
      </w:r>
      <w:r>
        <w:rPr>
          <w:b/>
          <w:i/>
        </w:rPr>
        <w:t>2</w:t>
      </w:r>
      <w:r w:rsidRPr="00ED4135">
        <w:rPr>
          <w:b/>
          <w:i/>
        </w:rPr>
        <w:t xml:space="preserve">: </w:t>
      </w:r>
      <w:r>
        <w:rPr>
          <w:b/>
          <w:i/>
        </w:rPr>
        <w:t>verify the step size for band n65 and make the appropriate changes to the spreadsheet / spec</w:t>
      </w:r>
    </w:p>
    <w:p w:rsidR="00A37FC1" w:rsidRDefault="00A37FC1" w:rsidP="00A37FC1">
      <w:pPr>
        <w:rPr>
          <w:b/>
          <w:i/>
        </w:rPr>
      </w:pPr>
      <w:r w:rsidRPr="00ED4135">
        <w:rPr>
          <w:b/>
          <w:i/>
        </w:rPr>
        <w:t xml:space="preserve">Proposal </w:t>
      </w:r>
      <w:r>
        <w:rPr>
          <w:b/>
          <w:i/>
        </w:rPr>
        <w:t>3</w:t>
      </w:r>
      <w:r w:rsidRPr="00ED4135">
        <w:rPr>
          <w:b/>
          <w:i/>
        </w:rPr>
        <w:t xml:space="preserve">: </w:t>
      </w:r>
      <w:r>
        <w:rPr>
          <w:b/>
          <w:i/>
        </w:rPr>
        <w:t>Correct the spreadsheet in column M as indicated to compute the maximum frequency value for GSCN</w:t>
      </w:r>
    </w:p>
    <w:p w:rsidR="00B615C4" w:rsidRPr="00B615C4" w:rsidRDefault="00B615C4" w:rsidP="00B615C4">
      <w:pPr>
        <w:pStyle w:val="Heading1"/>
        <w:numPr>
          <w:ilvl w:val="0"/>
          <w:numId w:val="0"/>
        </w:numPr>
        <w:ind w:left="432" w:hanging="432"/>
      </w:pPr>
      <w:r>
        <w:t>References</w:t>
      </w:r>
    </w:p>
    <w:p w:rsidR="00B615C4" w:rsidRDefault="00B26589" w:rsidP="00B26589">
      <w:pPr>
        <w:pStyle w:val="references"/>
      </w:pPr>
      <w:bookmarkStart w:id="1" w:name="_Ref3466898"/>
      <w:bookmarkStart w:id="2" w:name="_Ref3466873"/>
      <w:r w:rsidRPr="00B26589">
        <w:t>38.817-01</w:t>
      </w:r>
    </w:p>
    <w:p w:rsidR="0006193E" w:rsidRDefault="00291887" w:rsidP="00B615C4">
      <w:pPr>
        <w:pStyle w:val="references"/>
      </w:pPr>
      <w:bookmarkStart w:id="3" w:name="_Ref3466886"/>
      <w:bookmarkEnd w:id="1"/>
      <w:r w:rsidRPr="00B615C4">
        <w:t>RP-190392</w:t>
      </w:r>
      <w:r w:rsidR="00B615C4">
        <w:t>, “</w:t>
      </w:r>
      <w:r w:rsidRPr="00B615C4">
        <w:t>New WI proposal: addition of new wider channel bandwidth in Band n38</w:t>
      </w:r>
      <w:r w:rsidR="00B615C4">
        <w:t>”, Huawei, HiSilicon, RANP#83, Mar. 18, 2019.</w:t>
      </w:r>
      <w:bookmarkEnd w:id="2"/>
      <w:bookmarkEnd w:id="3"/>
    </w:p>
    <w:p w:rsidR="00E61274" w:rsidRDefault="00E61274" w:rsidP="00E61274">
      <w:pPr>
        <w:pStyle w:val="references"/>
      </w:pPr>
      <w:bookmarkStart w:id="4" w:name="_Ref3787254"/>
      <w:r w:rsidRPr="00E61274">
        <w:t>R4-1902656</w:t>
      </w:r>
      <w:r>
        <w:t>, “</w:t>
      </w:r>
      <w:r w:rsidRPr="00E61274">
        <w:t>CR to TR 38.817-01 on GSCN raster ranges</w:t>
      </w:r>
      <w:r>
        <w:t xml:space="preserve">”, </w:t>
      </w:r>
      <w:r w:rsidRPr="00E61274">
        <w:t>Ericsson, Huawei, HiSilicon</w:t>
      </w:r>
      <w:r>
        <w:t>, RAN4#90, Feb. 25 – Mar. 1, 2019.</w:t>
      </w:r>
      <w:bookmarkEnd w:id="4"/>
    </w:p>
    <w:p w:rsidR="00AC0552" w:rsidRDefault="00AC0552" w:rsidP="00AC0552">
      <w:pPr>
        <w:pStyle w:val="references"/>
      </w:pPr>
      <w:bookmarkStart w:id="5" w:name="_Ref3787609"/>
      <w:r>
        <w:t>R4-1814182, “</w:t>
      </w:r>
      <w:r w:rsidRPr="00AC0552">
        <w:t>CR to TR 38.817-01 on Correction of calculations of GSCN per operating band</w:t>
      </w:r>
      <w:r>
        <w:t>”, Ericsson, RAN4#88Bis, Oct. 8 – 12, 2018</w:t>
      </w:r>
      <w:bookmarkEnd w:id="5"/>
    </w:p>
    <w:sectPr w:rsidR="00AC05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84C73"/>
    <w:multiLevelType w:val="hybridMultilevel"/>
    <w:tmpl w:val="CBC62060"/>
    <w:lvl w:ilvl="0" w:tplc="FED27B5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E332B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05B6DC8"/>
    <w:multiLevelType w:val="hybridMultilevel"/>
    <w:tmpl w:val="3F9A8320"/>
    <w:lvl w:ilvl="0" w:tplc="6AC8127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B578AC"/>
    <w:multiLevelType w:val="hybridMultilevel"/>
    <w:tmpl w:val="ED7E8F02"/>
    <w:lvl w:ilvl="0" w:tplc="E51866D0">
      <w:start w:val="1"/>
      <w:numFmt w:val="decimal"/>
      <w:pStyle w:val="references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9"/>
  <w:doNotDisplayPageBoundaries/>
  <w:proofState w:spelling="clean" w:grammar="clean"/>
  <w:defaultTabStop w:val="720"/>
  <w:drawingGridHorizontalSpacing w:val="72"/>
  <w:drawingGridVerticalSpacing w:val="7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93E"/>
    <w:rsid w:val="0006193E"/>
    <w:rsid w:val="00217863"/>
    <w:rsid w:val="00291887"/>
    <w:rsid w:val="003F51E3"/>
    <w:rsid w:val="004654D0"/>
    <w:rsid w:val="004E0346"/>
    <w:rsid w:val="004E5C9E"/>
    <w:rsid w:val="005A269E"/>
    <w:rsid w:val="0065707D"/>
    <w:rsid w:val="0068064F"/>
    <w:rsid w:val="006B59CA"/>
    <w:rsid w:val="006C0369"/>
    <w:rsid w:val="00747C00"/>
    <w:rsid w:val="00892D0A"/>
    <w:rsid w:val="008D386F"/>
    <w:rsid w:val="008D6F93"/>
    <w:rsid w:val="00A37FC1"/>
    <w:rsid w:val="00A93CA4"/>
    <w:rsid w:val="00AC0552"/>
    <w:rsid w:val="00B26589"/>
    <w:rsid w:val="00B37F17"/>
    <w:rsid w:val="00B615C4"/>
    <w:rsid w:val="00BD44F8"/>
    <w:rsid w:val="00C6434D"/>
    <w:rsid w:val="00E61274"/>
    <w:rsid w:val="00ED4135"/>
    <w:rsid w:val="00F83E95"/>
    <w:rsid w:val="00FB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BDBB46-2545-4544-A87C-AEE496904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napToGrid w:val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B615C4"/>
    <w:pPr>
      <w:keepNext/>
      <w:numPr>
        <w:numId w:val="1"/>
      </w:numPr>
      <w:spacing w:before="120"/>
      <w:outlineLvl w:val="0"/>
    </w:pPr>
    <w:rPr>
      <w:rFonts w:eastAsiaTheme="majorEastAsia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15C4"/>
    <w:pPr>
      <w:keepNext/>
      <w:numPr>
        <w:ilvl w:val="1"/>
        <w:numId w:val="1"/>
      </w:numPr>
      <w:spacing w:before="120"/>
      <w:outlineLvl w:val="1"/>
    </w:pPr>
    <w:rPr>
      <w:rFonts w:eastAsiaTheme="majorEastAsia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15C4"/>
    <w:pPr>
      <w:keepNext/>
      <w:numPr>
        <w:ilvl w:val="2"/>
        <w:numId w:val="1"/>
      </w:numPr>
      <w:spacing w:before="120"/>
      <w:outlineLvl w:val="2"/>
    </w:pPr>
    <w:rPr>
      <w:rFonts w:eastAsiaTheme="majorEastAsia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15C4"/>
    <w:pPr>
      <w:keepNext/>
      <w:numPr>
        <w:ilvl w:val="3"/>
        <w:numId w:val="1"/>
      </w:numPr>
      <w:spacing w:before="120"/>
      <w:outlineLvl w:val="3"/>
    </w:pPr>
    <w:rPr>
      <w:rFonts w:eastAsiaTheme="majorEastAsia"/>
      <w:b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15C4"/>
    <w:pPr>
      <w:keepNext/>
      <w:numPr>
        <w:ilvl w:val="4"/>
        <w:numId w:val="1"/>
      </w:numPr>
      <w:spacing w:before="120"/>
      <w:outlineLvl w:val="4"/>
    </w:pPr>
    <w:rPr>
      <w:rFonts w:eastAsiaTheme="majorEastAsia"/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15C4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15C4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15C4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15C4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615C4"/>
    <w:rPr>
      <w:rFonts w:eastAsiaTheme="majorEastAsia"/>
      <w:b/>
      <w:sz w:val="24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B615C4"/>
    <w:rPr>
      <w:rFonts w:eastAsiaTheme="majorEastAsia"/>
      <w:b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15C4"/>
    <w:rPr>
      <w:rFonts w:eastAsiaTheme="majorEastAsia"/>
      <w:b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15C4"/>
    <w:rPr>
      <w:rFonts w:eastAsiaTheme="majorEastAsia"/>
      <w:b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15C4"/>
    <w:rPr>
      <w:rFonts w:eastAsiaTheme="majorEastAsia"/>
      <w:b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615C4"/>
    <w:pPr>
      <w:jc w:val="center"/>
    </w:pPr>
    <w:rPr>
      <w:b/>
      <w:i/>
      <w:iCs/>
      <w:sz w:val="18"/>
      <w:szCs w:val="1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15C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15C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15C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15C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references">
    <w:name w:val="references"/>
    <w:basedOn w:val="Normal"/>
    <w:qFormat/>
    <w:rsid w:val="00B615C4"/>
    <w:pPr>
      <w:numPr>
        <w:numId w:val="2"/>
      </w:numPr>
      <w:tabs>
        <w:tab w:val="left" w:pos="360"/>
      </w:tabs>
      <w:spacing w:after="60"/>
      <w:ind w:left="360"/>
    </w:pPr>
    <w:rPr>
      <w:sz w:val="20"/>
    </w:rPr>
  </w:style>
  <w:style w:type="character" w:styleId="PlaceholderText">
    <w:name w:val="Placeholder Text"/>
    <w:basedOn w:val="DefaultParagraphFont"/>
    <w:uiPriority w:val="99"/>
    <w:semiHidden/>
    <w:rsid w:val="004E5C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2B252-14C3-4B03-9CCF-76F511582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790</Words>
  <Characters>3637</Characters>
  <Application>Microsoft Office Word</Application>
  <DocSecurity>0</DocSecurity>
  <Lines>145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</dc:creator>
  <cp:keywords/>
  <dc:description/>
  <cp:lastModifiedBy>Vip</cp:lastModifiedBy>
  <cp:revision>4</cp:revision>
  <dcterms:created xsi:type="dcterms:W3CDTF">2019-03-27T15:09:00Z</dcterms:created>
  <dcterms:modified xsi:type="dcterms:W3CDTF">2019-04-01T16:23:00Z</dcterms:modified>
</cp:coreProperties>
</file>