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E190" w14:textId="5E72591B"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7573C78E" wp14:editId="75BB891F">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88</w:t>
      </w:r>
      <w:r w:rsidR="00022169">
        <w:rPr>
          <w:b/>
          <w:kern w:val="2"/>
          <w:lang w:eastAsia="zh-CN"/>
        </w:rPr>
        <w:t>Bis</w:t>
      </w:r>
      <w:r w:rsidRPr="00E14DDF">
        <w:rPr>
          <w:b/>
          <w:kern w:val="2"/>
          <w:lang w:eastAsia="zh-CN"/>
        </w:rPr>
        <w:tab/>
      </w:r>
      <w:r w:rsidR="009A4CE9" w:rsidRPr="009A4CE9">
        <w:rPr>
          <w:b/>
          <w:kern w:val="2"/>
          <w:lang w:eastAsia="zh-CN"/>
        </w:rPr>
        <w:t>R4-1813276</w:t>
      </w:r>
    </w:p>
    <w:p w14:paraId="4D954740" w14:textId="3C380A26" w:rsidR="00CF5E3F" w:rsidRPr="00E14DDF" w:rsidRDefault="00022169" w:rsidP="00CF5E3F">
      <w:pPr>
        <w:rPr>
          <w:b/>
          <w:kern w:val="2"/>
          <w:lang w:eastAsia="zh-CN"/>
        </w:rPr>
      </w:pPr>
      <w:r>
        <w:rPr>
          <w:b/>
          <w:kern w:val="2"/>
          <w:lang w:eastAsia="zh-CN"/>
        </w:rPr>
        <w:t>Chengdu</w:t>
      </w:r>
      <w:r w:rsidR="00CF5E3F">
        <w:rPr>
          <w:b/>
          <w:kern w:val="2"/>
          <w:lang w:eastAsia="zh-CN"/>
        </w:rPr>
        <w:t xml:space="preserve">, </w:t>
      </w:r>
      <w:r>
        <w:rPr>
          <w:b/>
          <w:kern w:val="2"/>
          <w:lang w:eastAsia="zh-CN"/>
        </w:rPr>
        <w:t>China</w:t>
      </w:r>
      <w:r w:rsidR="00CF5E3F" w:rsidRPr="00666121">
        <w:rPr>
          <w:b/>
          <w:kern w:val="2"/>
          <w:lang w:eastAsia="zh-CN"/>
        </w:rPr>
        <w:t xml:space="preserve">, </w:t>
      </w:r>
      <w:r>
        <w:rPr>
          <w:b/>
          <w:kern w:val="2"/>
          <w:lang w:eastAsia="zh-CN"/>
        </w:rPr>
        <w:t>October</w:t>
      </w:r>
      <w:r w:rsidR="00CF5E3F">
        <w:rPr>
          <w:b/>
          <w:kern w:val="2"/>
          <w:lang w:eastAsia="zh-CN"/>
        </w:rPr>
        <w:t xml:space="preserve"> </w:t>
      </w:r>
      <w:r>
        <w:rPr>
          <w:b/>
          <w:kern w:val="2"/>
          <w:lang w:eastAsia="zh-CN"/>
        </w:rPr>
        <w:t>8</w:t>
      </w:r>
      <w:r w:rsidR="00CF5E3F" w:rsidRPr="00666121">
        <w:rPr>
          <w:b/>
          <w:kern w:val="2"/>
          <w:lang w:eastAsia="zh-CN"/>
        </w:rPr>
        <w:t xml:space="preserve"> – </w:t>
      </w:r>
      <w:r>
        <w:rPr>
          <w:b/>
          <w:kern w:val="2"/>
          <w:lang w:eastAsia="zh-CN"/>
        </w:rPr>
        <w:t>12</w:t>
      </w:r>
      <w:r w:rsidR="00CF5E3F" w:rsidRPr="00666121">
        <w:rPr>
          <w:b/>
          <w:kern w:val="2"/>
          <w:lang w:eastAsia="zh-CN"/>
        </w:rPr>
        <w:t>, 2018</w:t>
      </w:r>
    </w:p>
    <w:p w14:paraId="72DB387D" w14:textId="77777777" w:rsidR="00CF5E3F" w:rsidRPr="00E14DDF" w:rsidRDefault="00CF5E3F" w:rsidP="00CF5E3F">
      <w:pPr>
        <w:pBdr>
          <w:top w:val="single" w:sz="4" w:space="1" w:color="auto"/>
        </w:pBdr>
        <w:spacing w:after="0"/>
        <w:rPr>
          <w:b/>
          <w:kern w:val="2"/>
          <w:sz w:val="16"/>
          <w:szCs w:val="16"/>
          <w:lang w:eastAsia="zh-CN"/>
        </w:rPr>
      </w:pPr>
    </w:p>
    <w:p w14:paraId="5F13163C" w14:textId="48D57E5B" w:rsidR="00CF5E3F" w:rsidRPr="00E14DDF" w:rsidRDefault="00CF5E3F" w:rsidP="00CF5E3F">
      <w:pPr>
        <w:spacing w:after="60"/>
        <w:ind w:left="1555" w:hanging="1555"/>
        <w:rPr>
          <w:b/>
          <w:kern w:val="2"/>
          <w:lang w:eastAsia="zh-CN"/>
        </w:rPr>
      </w:pPr>
      <w:r w:rsidRPr="00126E1B">
        <w:rPr>
          <w:b/>
          <w:kern w:val="2"/>
          <w:lang w:eastAsia="zh-CN"/>
        </w:rPr>
        <w:t>Agenda Item:</w:t>
      </w:r>
      <w:r w:rsidRPr="00126E1B">
        <w:rPr>
          <w:b/>
          <w:kern w:val="2"/>
          <w:lang w:eastAsia="zh-CN"/>
        </w:rPr>
        <w:tab/>
      </w:r>
      <w:r w:rsidR="004A35DA" w:rsidRPr="00126E1B">
        <w:rPr>
          <w:b/>
          <w:kern w:val="2"/>
          <w:lang w:eastAsia="zh-CN"/>
        </w:rPr>
        <w:t>7.</w:t>
      </w:r>
      <w:r w:rsidR="00126E1B" w:rsidRPr="00126E1B">
        <w:rPr>
          <w:b/>
          <w:kern w:val="2"/>
          <w:lang w:eastAsia="zh-CN"/>
        </w:rPr>
        <w:t>5.1</w:t>
      </w:r>
    </w:p>
    <w:p w14:paraId="7A48DB54" w14:textId="11D7D572"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F04BD">
        <w:rPr>
          <w:b/>
          <w:kern w:val="2"/>
          <w:lang w:eastAsia="zh-CN"/>
        </w:rPr>
        <w:t>, HiSilicon</w:t>
      </w:r>
    </w:p>
    <w:p w14:paraId="5813160F" w14:textId="261661A6"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bookmarkStart w:id="0" w:name="OLE_LINK3"/>
      <w:r w:rsidR="007346E2" w:rsidRPr="007346E2">
        <w:rPr>
          <w:b/>
          <w:kern w:val="2"/>
          <w:lang w:eastAsia="zh-CN"/>
        </w:rPr>
        <w:t>SCS restrictions for BWP operations for SS block</w:t>
      </w:r>
      <w:bookmarkEnd w:id="0"/>
    </w:p>
    <w:p w14:paraId="6F4210B1" w14:textId="21114456"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1157B">
        <w:rPr>
          <w:b/>
          <w:kern w:val="2"/>
          <w:lang w:eastAsia="zh-CN"/>
        </w:rPr>
        <w:t>Approval</w:t>
      </w:r>
    </w:p>
    <w:p w14:paraId="54874EEF" w14:textId="77777777" w:rsidR="00CF5E3F" w:rsidRPr="00E14DDF" w:rsidRDefault="00CF5E3F" w:rsidP="00CF5E3F">
      <w:pPr>
        <w:pBdr>
          <w:bottom w:val="single" w:sz="4" w:space="1" w:color="auto"/>
        </w:pBdr>
        <w:spacing w:after="0"/>
        <w:rPr>
          <w:b/>
          <w:kern w:val="2"/>
          <w:sz w:val="16"/>
          <w:szCs w:val="16"/>
          <w:lang w:eastAsia="zh-CN"/>
        </w:rPr>
      </w:pPr>
    </w:p>
    <w:p w14:paraId="65EC11BF" w14:textId="77777777" w:rsidR="00CF5E3F" w:rsidRPr="00E14DDF" w:rsidRDefault="00CF5E3F" w:rsidP="00CF5E3F"/>
    <w:p w14:paraId="2C71ADF2" w14:textId="77777777" w:rsidR="00CF5E3F" w:rsidRPr="00E14DDF" w:rsidRDefault="00CF5E3F" w:rsidP="00CF5E3F">
      <w:pPr>
        <w:pStyle w:val="Heading1"/>
      </w:pPr>
      <w:bookmarkStart w:id="1" w:name="_Ref124589705"/>
      <w:bookmarkStart w:id="2" w:name="_Ref129681862"/>
      <w:r w:rsidRPr="00E14DDF">
        <w:t>Introduction</w:t>
      </w:r>
      <w:bookmarkEnd w:id="1"/>
      <w:bookmarkEnd w:id="2"/>
    </w:p>
    <w:p w14:paraId="202AE36D" w14:textId="20220F88" w:rsidR="00A00579" w:rsidRDefault="00E57921" w:rsidP="00A00579">
      <w:r>
        <w:t>In RAN#</w:t>
      </w:r>
      <w:r w:rsidR="00022169">
        <w:t>88</w:t>
      </w:r>
      <w:r w:rsidR="00A00579">
        <w:t>,</w:t>
      </w:r>
      <w:r w:rsidR="00C86A78">
        <w:t xml:space="preserve"> document </w:t>
      </w:r>
      <w:r w:rsidR="00C86A78">
        <w:fldChar w:fldCharType="begin"/>
      </w:r>
      <w:r w:rsidR="00C86A78">
        <w:instrText xml:space="preserve"> REF _Ref523929631 \r \h </w:instrText>
      </w:r>
      <w:r w:rsidR="00C86A78">
        <w:fldChar w:fldCharType="separate"/>
      </w:r>
      <w:r w:rsidR="00C86A78">
        <w:t>[1]</w:t>
      </w:r>
      <w:r w:rsidR="00C86A78">
        <w:fldChar w:fldCharType="end"/>
      </w:r>
      <w:r w:rsidR="00C86A78">
        <w:t xml:space="preserve"> discussed the topic of placing a restriction on SCS </w:t>
      </w:r>
      <w:r w:rsidR="00756166">
        <w:t xml:space="preserve">for the SS block </w:t>
      </w:r>
      <w:r w:rsidR="00C86A78">
        <w:t xml:space="preserve">based on </w:t>
      </w:r>
      <w:r w:rsidR="00B17DA2">
        <w:t xml:space="preserve">the </w:t>
      </w:r>
      <w:r w:rsidR="00C86A78">
        <w:t xml:space="preserve">configured bandwidth. Several options were captured on-line </w:t>
      </w:r>
    </w:p>
    <w:p w14:paraId="12780A7C" w14:textId="15A55A25" w:rsidR="007346E2" w:rsidRDefault="007346E2" w:rsidP="007346E2">
      <w:pPr>
        <w:numPr>
          <w:ilvl w:val="0"/>
          <w:numId w:val="37"/>
        </w:numPr>
      </w:pPr>
      <w:r>
        <w:t>Restrict the BWP BW according to SSB SCS configured in the BWP</w:t>
      </w:r>
    </w:p>
    <w:p w14:paraId="2236EBE0" w14:textId="756A76F3" w:rsidR="007346E2" w:rsidRDefault="007346E2" w:rsidP="007346E2">
      <w:pPr>
        <w:numPr>
          <w:ilvl w:val="0"/>
          <w:numId w:val="37"/>
        </w:numPr>
      </w:pPr>
      <w:r>
        <w:t>Introduce different UE capability</w:t>
      </w:r>
    </w:p>
    <w:p w14:paraId="62B22F60" w14:textId="10624EED" w:rsidR="007346E2" w:rsidRDefault="007346E2" w:rsidP="007346E2">
      <w:pPr>
        <w:numPr>
          <w:ilvl w:val="0"/>
          <w:numId w:val="37"/>
        </w:numPr>
      </w:pPr>
      <w:r>
        <w:t>No further restriction if no UE capability</w:t>
      </w:r>
    </w:p>
    <w:p w14:paraId="04B4154D" w14:textId="6DC2186F" w:rsidR="00C86A78" w:rsidRDefault="00C86A78" w:rsidP="007346E2">
      <w:r>
        <w:t>This contribution evaluates the options</w:t>
      </w:r>
      <w:r w:rsidR="00126E1B">
        <w:t xml:space="preserve"> listed and pro</w:t>
      </w:r>
      <w:r w:rsidR="00B17DA2">
        <w:t>poses no f</w:t>
      </w:r>
      <w:bookmarkStart w:id="3" w:name="_GoBack"/>
      <w:bookmarkEnd w:id="3"/>
      <w:r w:rsidR="00B17DA2">
        <w:t>urther restriction is needed</w:t>
      </w:r>
      <w:r w:rsidR="00126E1B">
        <w:t>.</w:t>
      </w:r>
    </w:p>
    <w:p w14:paraId="51A04F9D" w14:textId="77777777" w:rsidR="00331254" w:rsidRDefault="005B50F7" w:rsidP="00331254">
      <w:pPr>
        <w:pStyle w:val="Heading1"/>
      </w:pPr>
      <w:r>
        <w:t>Discussion</w:t>
      </w:r>
    </w:p>
    <w:p w14:paraId="267A9D4F" w14:textId="4A3049BE" w:rsidR="007346E2" w:rsidRDefault="007346E2" w:rsidP="007346E2">
      <w:r>
        <w:t>For FR1, the supported SCS for the SS block are 15 kHz and 30 kHz.</w:t>
      </w:r>
      <w:r w:rsidR="00A21725">
        <w:t xml:space="preserve"> In 38.104 </w:t>
      </w:r>
      <w:r w:rsidR="00A21725" w:rsidRPr="00A21725">
        <w:t>Table 5.4.3.3-1</w:t>
      </w:r>
      <w:r w:rsidR="00A21725">
        <w:t xml:space="preserve">, the mapping of supported SCS to </w:t>
      </w:r>
      <w:r w:rsidR="00B17DA2">
        <w:t xml:space="preserve">the </w:t>
      </w:r>
      <w:r w:rsidR="00A21725">
        <w:t>bands is provided. From the analysis, there are three bands where 15 kHz SCS for SS block is used for cell search and the maximum bandwidth for 30 kHz SCS is greater than 50 MHz.</w:t>
      </w:r>
    </w:p>
    <w:p w14:paraId="47FFC01F" w14:textId="37D52BDE" w:rsidR="00A21725" w:rsidRDefault="00A21725" w:rsidP="00A21725">
      <w:pPr>
        <w:pStyle w:val="Caption"/>
        <w:keepNext/>
      </w:pPr>
      <w:r>
        <w:t xml:space="preserve">Table </w:t>
      </w:r>
      <w:r w:rsidR="00E44393">
        <w:rPr>
          <w:noProof/>
        </w:rPr>
        <w:fldChar w:fldCharType="begin"/>
      </w:r>
      <w:r w:rsidR="00E44393">
        <w:rPr>
          <w:noProof/>
        </w:rPr>
        <w:instrText xml:space="preserve"> SEQ Table \* ARABIC </w:instrText>
      </w:r>
      <w:r w:rsidR="00E44393">
        <w:rPr>
          <w:noProof/>
        </w:rPr>
        <w:fldChar w:fldCharType="separate"/>
      </w:r>
      <w:r>
        <w:rPr>
          <w:noProof/>
        </w:rPr>
        <w:t>1</w:t>
      </w:r>
      <w:r w:rsidR="00E44393">
        <w:rPr>
          <w:noProof/>
        </w:rPr>
        <w:fldChar w:fldCharType="end"/>
      </w:r>
      <w:r>
        <w:t xml:space="preserve">. FR1 TDD bands where 30 kHz SCS &gt; 50 MHz and 15 kHz SCS for initial </w:t>
      </w:r>
      <w:r w:rsidR="00756166">
        <w:t xml:space="preserve">access </w:t>
      </w:r>
      <w:r>
        <w:t>SS block is supported</w:t>
      </w:r>
    </w:p>
    <w:tbl>
      <w:tblPr>
        <w:tblStyle w:val="TableGrid"/>
        <w:tblW w:w="5000" w:type="pct"/>
        <w:tblLook w:val="04A0" w:firstRow="1" w:lastRow="0" w:firstColumn="1" w:lastColumn="0" w:noHBand="0" w:noVBand="1"/>
      </w:tblPr>
      <w:tblGrid>
        <w:gridCol w:w="765"/>
        <w:gridCol w:w="2558"/>
        <w:gridCol w:w="1257"/>
        <w:gridCol w:w="2386"/>
        <w:gridCol w:w="2384"/>
      </w:tblGrid>
      <w:tr w:rsidR="00A21725" w14:paraId="5AA7605B" w14:textId="77777777" w:rsidTr="00A21725">
        <w:tc>
          <w:tcPr>
            <w:tcW w:w="409" w:type="pct"/>
          </w:tcPr>
          <w:p w14:paraId="397A4BB0" w14:textId="77777777" w:rsidR="00A21725" w:rsidRPr="00B17DA2" w:rsidRDefault="00A21725" w:rsidP="0072773E">
            <w:pPr>
              <w:pStyle w:val="TableCell"/>
              <w:rPr>
                <w:b/>
              </w:rPr>
            </w:pPr>
            <w:r w:rsidRPr="00B17DA2">
              <w:rPr>
                <w:b/>
              </w:rPr>
              <w:t>Band</w:t>
            </w:r>
          </w:p>
        </w:tc>
        <w:tc>
          <w:tcPr>
            <w:tcW w:w="1368" w:type="pct"/>
          </w:tcPr>
          <w:p w14:paraId="23B68464" w14:textId="77777777" w:rsidR="00A21725" w:rsidRPr="00B17DA2" w:rsidRDefault="00A21725" w:rsidP="0072773E">
            <w:pPr>
              <w:pStyle w:val="TableCell"/>
              <w:rPr>
                <w:b/>
              </w:rPr>
            </w:pPr>
            <w:r w:rsidRPr="00B17DA2">
              <w:rPr>
                <w:b/>
              </w:rPr>
              <w:t>Frequency</w:t>
            </w:r>
          </w:p>
        </w:tc>
        <w:tc>
          <w:tcPr>
            <w:tcW w:w="672" w:type="pct"/>
          </w:tcPr>
          <w:p w14:paraId="2C01C7EC" w14:textId="77777777" w:rsidR="00A21725" w:rsidRPr="00B17DA2" w:rsidRDefault="00A21725" w:rsidP="0072773E">
            <w:pPr>
              <w:pStyle w:val="TableCell"/>
              <w:rPr>
                <w:b/>
              </w:rPr>
            </w:pPr>
            <w:r w:rsidRPr="00B17DA2">
              <w:rPr>
                <w:b/>
              </w:rPr>
              <w:t>BW, MHz</w:t>
            </w:r>
          </w:p>
        </w:tc>
        <w:tc>
          <w:tcPr>
            <w:tcW w:w="1276" w:type="pct"/>
          </w:tcPr>
          <w:p w14:paraId="5B5F692C" w14:textId="390F1684" w:rsidR="00A21725" w:rsidRPr="00B17DA2" w:rsidRDefault="00A21725" w:rsidP="0072773E">
            <w:pPr>
              <w:pStyle w:val="TableCell"/>
              <w:rPr>
                <w:b/>
              </w:rPr>
            </w:pPr>
            <w:r w:rsidRPr="00B17DA2">
              <w:rPr>
                <w:b/>
              </w:rPr>
              <w:t>Cell search</w:t>
            </w:r>
          </w:p>
        </w:tc>
        <w:tc>
          <w:tcPr>
            <w:tcW w:w="1275" w:type="pct"/>
          </w:tcPr>
          <w:p w14:paraId="76529EEA" w14:textId="77777777" w:rsidR="00A21725" w:rsidRPr="00B17DA2" w:rsidRDefault="00A21725" w:rsidP="0072773E">
            <w:pPr>
              <w:pStyle w:val="TableCell"/>
              <w:rPr>
                <w:b/>
              </w:rPr>
            </w:pPr>
            <w:r w:rsidRPr="00B17DA2">
              <w:rPr>
                <w:b/>
              </w:rPr>
              <w:t xml:space="preserve">Max BW for 30 kHz SCS </w:t>
            </w:r>
          </w:p>
        </w:tc>
      </w:tr>
      <w:tr w:rsidR="00A21725" w14:paraId="7B2B2338" w14:textId="77777777" w:rsidTr="00A21725">
        <w:tc>
          <w:tcPr>
            <w:tcW w:w="409" w:type="pct"/>
          </w:tcPr>
          <w:p w14:paraId="62286BE2" w14:textId="77777777" w:rsidR="00A21725" w:rsidRDefault="00A21725" w:rsidP="0072773E">
            <w:pPr>
              <w:pStyle w:val="TableCell"/>
            </w:pPr>
            <w:r w:rsidRPr="006043C2">
              <w:t>n40</w:t>
            </w:r>
          </w:p>
        </w:tc>
        <w:tc>
          <w:tcPr>
            <w:tcW w:w="1368" w:type="pct"/>
          </w:tcPr>
          <w:p w14:paraId="43BF9B5D" w14:textId="77777777" w:rsidR="00A21725" w:rsidRDefault="00A21725" w:rsidP="0072773E">
            <w:pPr>
              <w:pStyle w:val="TableCell"/>
            </w:pPr>
            <w:r w:rsidRPr="002D49BE">
              <w:t>2300 MHz – 2400 MHz</w:t>
            </w:r>
          </w:p>
        </w:tc>
        <w:tc>
          <w:tcPr>
            <w:tcW w:w="672" w:type="pct"/>
          </w:tcPr>
          <w:p w14:paraId="28B80598" w14:textId="77777777" w:rsidR="00A21725" w:rsidRDefault="00A21725" w:rsidP="0072773E">
            <w:pPr>
              <w:pStyle w:val="TableCell"/>
            </w:pPr>
            <w:r w:rsidRPr="00BB3BCE">
              <w:t>100</w:t>
            </w:r>
          </w:p>
        </w:tc>
        <w:tc>
          <w:tcPr>
            <w:tcW w:w="1276" w:type="pct"/>
          </w:tcPr>
          <w:p w14:paraId="36BB64A6" w14:textId="677DFDED" w:rsidR="00A21725" w:rsidRDefault="00A21725" w:rsidP="0072773E">
            <w:pPr>
              <w:pStyle w:val="TableCell"/>
            </w:pPr>
            <w:r>
              <w:t>Case A</w:t>
            </w:r>
          </w:p>
        </w:tc>
        <w:tc>
          <w:tcPr>
            <w:tcW w:w="1275" w:type="pct"/>
          </w:tcPr>
          <w:p w14:paraId="4E10F245" w14:textId="77777777" w:rsidR="00A21725" w:rsidRDefault="00A21725" w:rsidP="0072773E">
            <w:pPr>
              <w:pStyle w:val="TableCell"/>
            </w:pPr>
            <w:r w:rsidRPr="00334685">
              <w:t>100</w:t>
            </w:r>
            <w:r>
              <w:t xml:space="preserve"> MHz</w:t>
            </w:r>
          </w:p>
        </w:tc>
      </w:tr>
      <w:tr w:rsidR="00A21725" w14:paraId="780D516A" w14:textId="77777777" w:rsidTr="00A21725">
        <w:tc>
          <w:tcPr>
            <w:tcW w:w="409" w:type="pct"/>
          </w:tcPr>
          <w:p w14:paraId="40F31999" w14:textId="77777777" w:rsidR="00A21725" w:rsidRDefault="00A21725" w:rsidP="0072773E">
            <w:pPr>
              <w:pStyle w:val="TableCell"/>
            </w:pPr>
            <w:r w:rsidRPr="006043C2">
              <w:t>n41</w:t>
            </w:r>
          </w:p>
        </w:tc>
        <w:tc>
          <w:tcPr>
            <w:tcW w:w="1368" w:type="pct"/>
          </w:tcPr>
          <w:p w14:paraId="4929DEF8" w14:textId="77777777" w:rsidR="00A21725" w:rsidRDefault="00A21725" w:rsidP="0072773E">
            <w:pPr>
              <w:pStyle w:val="TableCell"/>
            </w:pPr>
            <w:r w:rsidRPr="002D49BE">
              <w:t>2496 MHz – 2690 MHz</w:t>
            </w:r>
          </w:p>
        </w:tc>
        <w:tc>
          <w:tcPr>
            <w:tcW w:w="672" w:type="pct"/>
          </w:tcPr>
          <w:p w14:paraId="665BA882" w14:textId="77777777" w:rsidR="00A21725" w:rsidRDefault="00A21725" w:rsidP="0072773E">
            <w:pPr>
              <w:pStyle w:val="TableCell"/>
            </w:pPr>
            <w:r w:rsidRPr="00BB3BCE">
              <w:t>194</w:t>
            </w:r>
          </w:p>
        </w:tc>
        <w:tc>
          <w:tcPr>
            <w:tcW w:w="1276" w:type="pct"/>
          </w:tcPr>
          <w:p w14:paraId="655C69F4" w14:textId="3E70D710" w:rsidR="00A21725" w:rsidRDefault="00A21725" w:rsidP="0072773E">
            <w:pPr>
              <w:pStyle w:val="TableCell"/>
            </w:pPr>
            <w:r>
              <w:t>Case A, B</w:t>
            </w:r>
          </w:p>
        </w:tc>
        <w:tc>
          <w:tcPr>
            <w:tcW w:w="1275" w:type="pct"/>
          </w:tcPr>
          <w:p w14:paraId="2559909B" w14:textId="77777777" w:rsidR="00A21725" w:rsidRDefault="00A21725" w:rsidP="0072773E">
            <w:pPr>
              <w:pStyle w:val="TableCell"/>
            </w:pPr>
            <w:r w:rsidRPr="00334685">
              <w:t>100</w:t>
            </w:r>
            <w:r>
              <w:t xml:space="preserve"> MHz</w:t>
            </w:r>
          </w:p>
        </w:tc>
      </w:tr>
      <w:tr w:rsidR="00A21725" w14:paraId="63FB0957" w14:textId="77777777" w:rsidTr="00A21725">
        <w:tc>
          <w:tcPr>
            <w:tcW w:w="409" w:type="pct"/>
          </w:tcPr>
          <w:p w14:paraId="31F937CF" w14:textId="77777777" w:rsidR="00A21725" w:rsidRDefault="00A21725" w:rsidP="0072773E">
            <w:pPr>
              <w:pStyle w:val="TableCell"/>
            </w:pPr>
            <w:r w:rsidRPr="006043C2">
              <w:t>n50</w:t>
            </w:r>
          </w:p>
        </w:tc>
        <w:tc>
          <w:tcPr>
            <w:tcW w:w="1368" w:type="pct"/>
          </w:tcPr>
          <w:p w14:paraId="40DED40B" w14:textId="77777777" w:rsidR="00A21725" w:rsidRDefault="00A21725" w:rsidP="0072773E">
            <w:pPr>
              <w:pStyle w:val="TableCell"/>
            </w:pPr>
            <w:r w:rsidRPr="002D49BE">
              <w:t>1432 MHz – 1517 MHz</w:t>
            </w:r>
          </w:p>
        </w:tc>
        <w:tc>
          <w:tcPr>
            <w:tcW w:w="672" w:type="pct"/>
          </w:tcPr>
          <w:p w14:paraId="3F798DA7" w14:textId="77777777" w:rsidR="00A21725" w:rsidRDefault="00A21725" w:rsidP="0072773E">
            <w:pPr>
              <w:pStyle w:val="TableCell"/>
            </w:pPr>
            <w:r w:rsidRPr="00BB3BCE">
              <w:t>85</w:t>
            </w:r>
          </w:p>
        </w:tc>
        <w:tc>
          <w:tcPr>
            <w:tcW w:w="1276" w:type="pct"/>
          </w:tcPr>
          <w:p w14:paraId="353C0979" w14:textId="2AAA20EF" w:rsidR="00A21725" w:rsidRDefault="00A21725" w:rsidP="0072773E">
            <w:pPr>
              <w:pStyle w:val="TableCell"/>
            </w:pPr>
            <w:r>
              <w:t>Case A</w:t>
            </w:r>
          </w:p>
        </w:tc>
        <w:tc>
          <w:tcPr>
            <w:tcW w:w="1275" w:type="pct"/>
          </w:tcPr>
          <w:p w14:paraId="5B443D93" w14:textId="77777777" w:rsidR="00A21725" w:rsidRDefault="00A21725" w:rsidP="0072773E">
            <w:pPr>
              <w:pStyle w:val="TableCell"/>
            </w:pPr>
            <w:r w:rsidRPr="00334685">
              <w:t>80</w:t>
            </w:r>
            <w:r>
              <w:t xml:space="preserve"> MHz</w:t>
            </w:r>
          </w:p>
        </w:tc>
      </w:tr>
    </w:tbl>
    <w:p w14:paraId="5DDC59A9" w14:textId="77777777" w:rsidR="00A21725" w:rsidRDefault="00A21725" w:rsidP="007346E2"/>
    <w:p w14:paraId="578A5EC6" w14:textId="5B6BCB65" w:rsidR="00756166" w:rsidRPr="00756166" w:rsidRDefault="00756166" w:rsidP="007346E2">
      <w:pPr>
        <w:rPr>
          <w:b/>
          <w:i/>
        </w:rPr>
      </w:pPr>
      <w:r w:rsidRPr="00756166">
        <w:rPr>
          <w:b/>
          <w:i/>
        </w:rPr>
        <w:t>Observation: using the initial access SS block for measurements in three FR1 bands may cause a scenario of 15 kHz SCS for the SCS block and CC BW greater than 50 MHz.</w:t>
      </w:r>
    </w:p>
    <w:p w14:paraId="0E5962B9" w14:textId="47B802BE" w:rsidR="00A21725" w:rsidRDefault="00756166" w:rsidP="00A21725">
      <w:r>
        <w:t xml:space="preserve">However, additional analysis of the signaling indicates the </w:t>
      </w:r>
      <w:r w:rsidR="00126E1B">
        <w:t xml:space="preserve">SCS used for </w:t>
      </w:r>
      <w:r>
        <w:t xml:space="preserve">measurements may not be an issue. </w:t>
      </w:r>
      <w:r w:rsidR="00A21725">
        <w:t xml:space="preserve">In 38.331, the information element </w:t>
      </w:r>
      <w:r w:rsidR="00A21725" w:rsidRPr="00A21725">
        <w:rPr>
          <w:i/>
        </w:rPr>
        <w:t>MeasObjectNR</w:t>
      </w:r>
      <w:r w:rsidR="00A21725">
        <w:t xml:space="preserve"> specifies information applicable for SS/PBCH block(s) intra/inter-frequency measurements or CSI-RS intra/inter-frequency measurements.</w:t>
      </w:r>
    </w:p>
    <w:p w14:paraId="59AB0AA2" w14:textId="77777777" w:rsidR="00A21725" w:rsidRPr="00A21725" w:rsidRDefault="00A21725" w:rsidP="00A21725">
      <w:pPr>
        <w:shd w:val="clear" w:color="auto" w:fill="E7E6E6" w:themeFill="background2"/>
        <w:spacing w:after="0"/>
        <w:rPr>
          <w:rFonts w:ascii="Courier New" w:hAnsi="Courier New" w:cs="Courier New"/>
          <w:sz w:val="16"/>
        </w:rPr>
      </w:pPr>
      <w:r w:rsidRPr="00A21725">
        <w:rPr>
          <w:rFonts w:ascii="Courier New" w:hAnsi="Courier New" w:cs="Courier New"/>
          <w:sz w:val="16"/>
        </w:rPr>
        <w:t>-- ASN1START</w:t>
      </w:r>
    </w:p>
    <w:p w14:paraId="11C3BCED" w14:textId="77777777" w:rsidR="00A21725" w:rsidRPr="00A21725" w:rsidRDefault="00A21725" w:rsidP="00A21725">
      <w:pPr>
        <w:shd w:val="clear" w:color="auto" w:fill="E7E6E6" w:themeFill="background2"/>
        <w:spacing w:after="0"/>
        <w:rPr>
          <w:rFonts w:ascii="Courier New" w:hAnsi="Courier New" w:cs="Courier New"/>
          <w:sz w:val="16"/>
        </w:rPr>
      </w:pPr>
      <w:r w:rsidRPr="00A21725">
        <w:rPr>
          <w:rFonts w:ascii="Courier New" w:hAnsi="Courier New" w:cs="Courier New"/>
          <w:sz w:val="16"/>
        </w:rPr>
        <w:t>-- TAG-MEAS-OBJECT-NR-START</w:t>
      </w:r>
    </w:p>
    <w:p w14:paraId="1D337BEF" w14:textId="77777777" w:rsidR="00A21725" w:rsidRPr="00A21725" w:rsidRDefault="00A21725" w:rsidP="00A21725">
      <w:pPr>
        <w:shd w:val="clear" w:color="auto" w:fill="E7E6E6" w:themeFill="background2"/>
        <w:spacing w:after="0"/>
        <w:rPr>
          <w:rFonts w:ascii="Courier New" w:hAnsi="Courier New" w:cs="Courier New"/>
          <w:sz w:val="16"/>
        </w:rPr>
      </w:pPr>
    </w:p>
    <w:p w14:paraId="5B263D44" w14:textId="6C54C28C" w:rsidR="00A21725" w:rsidRPr="00A21725" w:rsidRDefault="00A21725" w:rsidP="00A21725">
      <w:pPr>
        <w:shd w:val="clear" w:color="auto" w:fill="E7E6E6" w:themeFill="background2"/>
        <w:spacing w:after="0"/>
        <w:rPr>
          <w:rFonts w:ascii="Courier New" w:hAnsi="Courier New" w:cs="Courier New"/>
          <w:sz w:val="16"/>
        </w:rPr>
      </w:pPr>
      <w:r>
        <w:rPr>
          <w:rFonts w:ascii="Courier New" w:hAnsi="Courier New" w:cs="Courier New"/>
          <w:sz w:val="16"/>
        </w:rPr>
        <w:t>MeasObjectNR ::=</w:t>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sidRPr="00A21725">
        <w:rPr>
          <w:rFonts w:ascii="Courier New" w:hAnsi="Courier New" w:cs="Courier New"/>
          <w:sz w:val="16"/>
        </w:rPr>
        <w:t>SEQUENCE {</w:t>
      </w:r>
    </w:p>
    <w:p w14:paraId="65093171" w14:textId="76161C89" w:rsidR="00A21725" w:rsidRPr="00A21725" w:rsidRDefault="00A21725" w:rsidP="00A21725">
      <w:pPr>
        <w:shd w:val="clear" w:color="auto" w:fill="E7E6E6" w:themeFill="background2"/>
        <w:spacing w:after="0"/>
        <w:rPr>
          <w:rFonts w:ascii="Courier New" w:hAnsi="Courier New" w:cs="Courier New"/>
          <w:sz w:val="16"/>
        </w:rPr>
      </w:pPr>
      <w:r>
        <w:rPr>
          <w:rFonts w:ascii="Courier New" w:hAnsi="Courier New" w:cs="Courier New"/>
          <w:sz w:val="16"/>
        </w:rPr>
        <w:tab/>
        <w:t>ssbFrequency</w:t>
      </w:r>
      <w:r>
        <w:rPr>
          <w:rFonts w:ascii="Courier New" w:hAnsi="Courier New" w:cs="Courier New"/>
          <w:sz w:val="16"/>
        </w:rPr>
        <w:tab/>
      </w:r>
      <w:r>
        <w:rPr>
          <w:rFonts w:ascii="Courier New" w:hAnsi="Courier New" w:cs="Courier New"/>
          <w:sz w:val="16"/>
        </w:rPr>
        <w:tab/>
      </w:r>
      <w:r>
        <w:rPr>
          <w:rFonts w:ascii="Courier New" w:hAnsi="Courier New" w:cs="Courier New"/>
          <w:sz w:val="16"/>
        </w:rPr>
        <w:tab/>
        <w:t>ARFCN-ValueNR</w:t>
      </w:r>
      <w:r>
        <w:rPr>
          <w:rFonts w:ascii="Courier New" w:hAnsi="Courier New" w:cs="Courier New"/>
          <w:sz w:val="16"/>
        </w:rPr>
        <w:tab/>
      </w:r>
      <w:r>
        <w:rPr>
          <w:rFonts w:ascii="Courier New" w:hAnsi="Courier New" w:cs="Courier New"/>
          <w:sz w:val="16"/>
        </w:rPr>
        <w:tab/>
      </w:r>
      <w:r w:rsidRPr="00A21725">
        <w:rPr>
          <w:rFonts w:ascii="Courier New" w:hAnsi="Courier New" w:cs="Courier New"/>
          <w:sz w:val="16"/>
        </w:rPr>
        <w:t>OPTIONAL,</w:t>
      </w:r>
      <w:r w:rsidRPr="00A21725">
        <w:rPr>
          <w:rFonts w:ascii="Courier New" w:hAnsi="Courier New" w:cs="Courier New"/>
          <w:sz w:val="16"/>
        </w:rPr>
        <w:tab/>
        <w:t>-- Cond SSBorAssociatedSSB</w:t>
      </w:r>
    </w:p>
    <w:p w14:paraId="2CBAB0CA" w14:textId="5208E021" w:rsidR="00A21725" w:rsidRPr="00A21725" w:rsidRDefault="00A21725" w:rsidP="00A21725">
      <w:pPr>
        <w:shd w:val="clear" w:color="auto" w:fill="E7E6E6" w:themeFill="background2"/>
        <w:spacing w:after="0"/>
        <w:rPr>
          <w:rFonts w:ascii="Courier New" w:hAnsi="Courier New" w:cs="Courier New"/>
          <w:sz w:val="16"/>
        </w:rPr>
      </w:pPr>
      <w:r w:rsidRPr="00A21725">
        <w:rPr>
          <w:rFonts w:ascii="Courier New" w:hAnsi="Courier New" w:cs="Courier New"/>
          <w:sz w:val="16"/>
        </w:rPr>
        <w:t xml:space="preserve">    ssbSubcarrierSpacing</w:t>
      </w:r>
      <w:r w:rsidRPr="00A21725">
        <w:rPr>
          <w:rFonts w:ascii="Courier New" w:hAnsi="Courier New" w:cs="Courier New"/>
          <w:sz w:val="16"/>
        </w:rPr>
        <w:tab/>
      </w:r>
      <w:r w:rsidRPr="00A21725">
        <w:rPr>
          <w:rFonts w:ascii="Courier New" w:hAnsi="Courier New" w:cs="Courier New"/>
          <w:sz w:val="16"/>
        </w:rPr>
        <w:tab/>
        <w:t>SubcarrierSpacing</w:t>
      </w:r>
      <w:r w:rsidRPr="00A21725">
        <w:rPr>
          <w:rFonts w:ascii="Courier New" w:hAnsi="Courier New" w:cs="Courier New"/>
          <w:sz w:val="16"/>
        </w:rPr>
        <w:tab/>
        <w:t>OPTIONAL,</w:t>
      </w:r>
      <w:r w:rsidRPr="00A21725">
        <w:rPr>
          <w:rFonts w:ascii="Courier New" w:hAnsi="Courier New" w:cs="Courier New"/>
          <w:sz w:val="16"/>
        </w:rPr>
        <w:tab/>
        <w:t>-- Cond SSBorAssociatedSSB</w:t>
      </w:r>
    </w:p>
    <w:p w14:paraId="26DCCD9C" w14:textId="56461E38" w:rsidR="00A21725" w:rsidRDefault="00A21725" w:rsidP="00A21725">
      <w:pPr>
        <w:shd w:val="clear" w:color="auto" w:fill="E7E6E6" w:themeFill="background2"/>
        <w:spacing w:after="0"/>
      </w:pPr>
      <w:r w:rsidRPr="00A21725">
        <w:rPr>
          <w:rFonts w:ascii="Courier New" w:hAnsi="Courier New" w:cs="Courier New"/>
          <w:sz w:val="16"/>
        </w:rPr>
        <w:tab/>
      </w:r>
      <w:r>
        <w:rPr>
          <w:rFonts w:ascii="Courier New" w:hAnsi="Courier New" w:cs="Courier New"/>
          <w:sz w:val="16"/>
        </w:rPr>
        <w:t>…</w:t>
      </w:r>
    </w:p>
    <w:p w14:paraId="7FC8B169" w14:textId="77777777" w:rsidR="00A21725" w:rsidRDefault="00A21725" w:rsidP="00BA3FCE"/>
    <w:p w14:paraId="56BAE041" w14:textId="393CC22E" w:rsidR="00C86A78" w:rsidRPr="00C86A78" w:rsidRDefault="00A21725" w:rsidP="00C86A78">
      <w:r>
        <w:t xml:space="preserve">Because the measurement object allows the network to specify the frequency </w:t>
      </w:r>
      <w:r w:rsidR="00126E1B">
        <w:t xml:space="preserve">location </w:t>
      </w:r>
      <w:r>
        <w:t>of the SS block and the SCS, the network can ensure that 30 kHz SCS is used for the SS block when the CC bandwidth greater than 50 MHz.</w:t>
      </w:r>
      <w:r w:rsidR="00756166">
        <w:t xml:space="preserve"> Thus based on the signaling:</w:t>
      </w:r>
    </w:p>
    <w:p w14:paraId="7D3CF4C7" w14:textId="66C5F71C" w:rsidR="00BB2283" w:rsidRPr="00BB2283" w:rsidRDefault="00BB2283" w:rsidP="00BB2283">
      <w:pPr>
        <w:rPr>
          <w:b/>
          <w:i/>
        </w:rPr>
      </w:pPr>
      <w:r w:rsidRPr="00BB2283">
        <w:rPr>
          <w:b/>
          <w:i/>
        </w:rPr>
        <w:lastRenderedPageBreak/>
        <w:t>Proposal 1: No restriction on network behavior is needed for SCS</w:t>
      </w:r>
      <w:r w:rsidR="00756166">
        <w:rPr>
          <w:b/>
          <w:i/>
        </w:rPr>
        <w:t xml:space="preserve"> used in measurements</w:t>
      </w:r>
      <w:r w:rsidRPr="00BB2283">
        <w:rPr>
          <w:b/>
          <w:i/>
        </w:rPr>
        <w:t>.</w:t>
      </w:r>
    </w:p>
    <w:p w14:paraId="1F116E7C" w14:textId="77777777" w:rsidR="00CF5E3F" w:rsidRDefault="00CF5E3F" w:rsidP="002D159C">
      <w:pPr>
        <w:pStyle w:val="Heading1"/>
      </w:pPr>
      <w:r>
        <w:t>Conclusion</w:t>
      </w:r>
    </w:p>
    <w:p w14:paraId="2677206F" w14:textId="32B83F90" w:rsidR="00756166" w:rsidRDefault="00756166" w:rsidP="00756166">
      <w:r>
        <w:t>This contribution examines the SCS used for the SS block. For initial access</w:t>
      </w:r>
    </w:p>
    <w:p w14:paraId="7C1AFF12" w14:textId="77777777" w:rsidR="00756166" w:rsidRPr="00756166" w:rsidRDefault="00756166" w:rsidP="00756166">
      <w:pPr>
        <w:rPr>
          <w:b/>
          <w:i/>
        </w:rPr>
      </w:pPr>
      <w:r w:rsidRPr="00756166">
        <w:rPr>
          <w:b/>
          <w:i/>
        </w:rPr>
        <w:t>Observation: using the initial access SS block for measurements in three FR1 bands may cause a scenario of 15 kHz SCS for the SCS block and CC BW greater than 50 MHz.</w:t>
      </w:r>
    </w:p>
    <w:p w14:paraId="6D379549" w14:textId="21EEBABD" w:rsidR="00756166" w:rsidRDefault="00756166" w:rsidP="00756166">
      <w:r>
        <w:t xml:space="preserve">However, because the signaling for measurements allows the network to configure the SCS for the SS block: </w:t>
      </w:r>
    </w:p>
    <w:p w14:paraId="1B51BE6F" w14:textId="77777777" w:rsidR="00756166" w:rsidRPr="00BB2283" w:rsidRDefault="00756166" w:rsidP="00756166">
      <w:pPr>
        <w:rPr>
          <w:b/>
          <w:i/>
        </w:rPr>
      </w:pPr>
      <w:r w:rsidRPr="00BB2283">
        <w:rPr>
          <w:b/>
          <w:i/>
        </w:rPr>
        <w:t>Proposal 1: No restriction on network behavior is needed for SCS</w:t>
      </w:r>
      <w:r>
        <w:rPr>
          <w:b/>
          <w:i/>
        </w:rPr>
        <w:t xml:space="preserve"> used in measurements</w:t>
      </w:r>
      <w:r w:rsidRPr="00BB2283">
        <w:rPr>
          <w:b/>
          <w:i/>
        </w:rPr>
        <w:t>.</w:t>
      </w:r>
    </w:p>
    <w:p w14:paraId="78936F38" w14:textId="77777777" w:rsidR="00CF5E3F" w:rsidRPr="00E14DDF" w:rsidRDefault="00CF5E3F" w:rsidP="00CF5E3F">
      <w:pPr>
        <w:pStyle w:val="Heading1"/>
        <w:numPr>
          <w:ilvl w:val="0"/>
          <w:numId w:val="0"/>
        </w:numPr>
        <w:ind w:left="432" w:hanging="432"/>
      </w:pPr>
      <w:bookmarkStart w:id="4" w:name="_Ref124589665"/>
      <w:bookmarkStart w:id="5" w:name="_Ref71620620"/>
      <w:bookmarkStart w:id="6" w:name="_Ref124671424"/>
      <w:r w:rsidRPr="00E14DDF">
        <w:t>References</w:t>
      </w:r>
    </w:p>
    <w:p w14:paraId="4B1EB6A6" w14:textId="5E61426B" w:rsidR="001A0F65" w:rsidRDefault="00C86A78" w:rsidP="00756166">
      <w:pPr>
        <w:pStyle w:val="References"/>
      </w:pPr>
      <w:bookmarkStart w:id="7" w:name="_Ref520097642"/>
      <w:bookmarkStart w:id="8" w:name="_Ref523929631"/>
      <w:bookmarkEnd w:id="4"/>
      <w:bookmarkEnd w:id="5"/>
      <w:bookmarkEnd w:id="6"/>
      <w:r w:rsidRPr="00C86A78">
        <w:t>R4-181154</w:t>
      </w:r>
      <w:r w:rsidR="00756166">
        <w:t>4</w:t>
      </w:r>
      <w:r w:rsidR="001A0F65" w:rsidRPr="00022169">
        <w:t>, “</w:t>
      </w:r>
      <w:bookmarkEnd w:id="7"/>
      <w:r w:rsidR="00756166" w:rsidRPr="00756166">
        <w:t>Way forward on SCS of SSB restriction for RRM measurement in CC BW</w:t>
      </w:r>
      <w:r w:rsidR="00022169" w:rsidRPr="00022169">
        <w:t xml:space="preserve">”, </w:t>
      </w:r>
      <w:r w:rsidR="00756166">
        <w:t>Samsung</w:t>
      </w:r>
      <w:r>
        <w:t>,</w:t>
      </w:r>
      <w:r w:rsidR="00022169" w:rsidRPr="00022169">
        <w:t xml:space="preserve"> RAN4#</w:t>
      </w:r>
      <w:r w:rsidR="00022169">
        <w:t>88</w:t>
      </w:r>
      <w:r w:rsidR="00022169" w:rsidRPr="00022169">
        <w:t xml:space="preserve">, </w:t>
      </w:r>
      <w:r w:rsidR="00022169">
        <w:t>Aug.</w:t>
      </w:r>
      <w:r w:rsidR="00022169" w:rsidRPr="00022169">
        <w:t xml:space="preserve"> 2</w:t>
      </w:r>
      <w:r w:rsidR="00022169">
        <w:t>0</w:t>
      </w:r>
      <w:r w:rsidR="00022169" w:rsidRPr="00022169">
        <w:t>-</w:t>
      </w:r>
      <w:r w:rsidR="00022169">
        <w:t>24</w:t>
      </w:r>
      <w:r w:rsidR="00022169" w:rsidRPr="00022169">
        <w:t>, 2018.</w:t>
      </w:r>
      <w:bookmarkEnd w:id="8"/>
    </w:p>
    <w:p w14:paraId="4321456D" w14:textId="7D3599BB" w:rsidR="00554B51" w:rsidRDefault="00554B51" w:rsidP="00B73A97">
      <w:pPr>
        <w:pStyle w:val="References"/>
      </w:pPr>
      <w:bookmarkStart w:id="9" w:name="_Ref520102366"/>
      <w:bookmarkStart w:id="10" w:name="_Ref523929665"/>
      <w:r>
        <w:t>38.331</w:t>
      </w:r>
      <w:bookmarkEnd w:id="9"/>
      <w:bookmarkEnd w:id="10"/>
    </w:p>
    <w:p w14:paraId="2D5FD804" w14:textId="77777777" w:rsidR="00022169" w:rsidRDefault="00022169" w:rsidP="00022169"/>
    <w:sectPr w:rsidR="000221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257"/>
    <w:multiLevelType w:val="hybridMultilevel"/>
    <w:tmpl w:val="D2CA2550"/>
    <w:lvl w:ilvl="0" w:tplc="6BE239A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977E3"/>
    <w:multiLevelType w:val="hybridMultilevel"/>
    <w:tmpl w:val="248C7F8C"/>
    <w:lvl w:ilvl="0" w:tplc="C2469858">
      <w:start w:val="1"/>
      <w:numFmt w:val="bullet"/>
      <w:lvlText w:val="•"/>
      <w:lvlJc w:val="left"/>
      <w:pPr>
        <w:tabs>
          <w:tab w:val="num" w:pos="720"/>
        </w:tabs>
        <w:ind w:left="720" w:hanging="360"/>
      </w:pPr>
      <w:rPr>
        <w:rFonts w:ascii="Arial" w:hAnsi="Arial" w:hint="default"/>
      </w:rPr>
    </w:lvl>
    <w:lvl w:ilvl="1" w:tplc="005AF38A">
      <w:numFmt w:val="bullet"/>
      <w:lvlText w:val="•"/>
      <w:lvlJc w:val="left"/>
      <w:pPr>
        <w:tabs>
          <w:tab w:val="num" w:pos="1440"/>
        </w:tabs>
        <w:ind w:left="1440" w:hanging="360"/>
      </w:pPr>
      <w:rPr>
        <w:rFonts w:ascii="Arial" w:hAnsi="Arial" w:hint="default"/>
      </w:rPr>
    </w:lvl>
    <w:lvl w:ilvl="2" w:tplc="78BE7104">
      <w:numFmt w:val="bullet"/>
      <w:lvlText w:val="•"/>
      <w:lvlJc w:val="left"/>
      <w:pPr>
        <w:tabs>
          <w:tab w:val="num" w:pos="2160"/>
        </w:tabs>
        <w:ind w:left="2160" w:hanging="360"/>
      </w:pPr>
      <w:rPr>
        <w:rFonts w:ascii="Arial" w:hAnsi="Arial" w:hint="default"/>
      </w:rPr>
    </w:lvl>
    <w:lvl w:ilvl="3" w:tplc="16422D66" w:tentative="1">
      <w:start w:val="1"/>
      <w:numFmt w:val="bullet"/>
      <w:lvlText w:val="•"/>
      <w:lvlJc w:val="left"/>
      <w:pPr>
        <w:tabs>
          <w:tab w:val="num" w:pos="2880"/>
        </w:tabs>
        <w:ind w:left="2880" w:hanging="360"/>
      </w:pPr>
      <w:rPr>
        <w:rFonts w:ascii="Arial" w:hAnsi="Arial" w:hint="default"/>
      </w:rPr>
    </w:lvl>
    <w:lvl w:ilvl="4" w:tplc="EFB0D000" w:tentative="1">
      <w:start w:val="1"/>
      <w:numFmt w:val="bullet"/>
      <w:lvlText w:val="•"/>
      <w:lvlJc w:val="left"/>
      <w:pPr>
        <w:tabs>
          <w:tab w:val="num" w:pos="3600"/>
        </w:tabs>
        <w:ind w:left="3600" w:hanging="360"/>
      </w:pPr>
      <w:rPr>
        <w:rFonts w:ascii="Arial" w:hAnsi="Arial" w:hint="default"/>
      </w:rPr>
    </w:lvl>
    <w:lvl w:ilvl="5" w:tplc="4A5647C4" w:tentative="1">
      <w:start w:val="1"/>
      <w:numFmt w:val="bullet"/>
      <w:lvlText w:val="•"/>
      <w:lvlJc w:val="left"/>
      <w:pPr>
        <w:tabs>
          <w:tab w:val="num" w:pos="4320"/>
        </w:tabs>
        <w:ind w:left="4320" w:hanging="360"/>
      </w:pPr>
      <w:rPr>
        <w:rFonts w:ascii="Arial" w:hAnsi="Arial" w:hint="default"/>
      </w:rPr>
    </w:lvl>
    <w:lvl w:ilvl="6" w:tplc="82986000" w:tentative="1">
      <w:start w:val="1"/>
      <w:numFmt w:val="bullet"/>
      <w:lvlText w:val="•"/>
      <w:lvlJc w:val="left"/>
      <w:pPr>
        <w:tabs>
          <w:tab w:val="num" w:pos="5040"/>
        </w:tabs>
        <w:ind w:left="5040" w:hanging="360"/>
      </w:pPr>
      <w:rPr>
        <w:rFonts w:ascii="Arial" w:hAnsi="Arial" w:hint="default"/>
      </w:rPr>
    </w:lvl>
    <w:lvl w:ilvl="7" w:tplc="53CC4302" w:tentative="1">
      <w:start w:val="1"/>
      <w:numFmt w:val="bullet"/>
      <w:lvlText w:val="•"/>
      <w:lvlJc w:val="left"/>
      <w:pPr>
        <w:tabs>
          <w:tab w:val="num" w:pos="5760"/>
        </w:tabs>
        <w:ind w:left="5760" w:hanging="360"/>
      </w:pPr>
      <w:rPr>
        <w:rFonts w:ascii="Arial" w:hAnsi="Arial" w:hint="default"/>
      </w:rPr>
    </w:lvl>
    <w:lvl w:ilvl="8" w:tplc="16A61B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93348"/>
    <w:multiLevelType w:val="hybridMultilevel"/>
    <w:tmpl w:val="08F888C4"/>
    <w:lvl w:ilvl="0" w:tplc="6BE239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AA000C8"/>
    <w:multiLevelType w:val="hybridMultilevel"/>
    <w:tmpl w:val="2D24436A"/>
    <w:lvl w:ilvl="0" w:tplc="7102C464">
      <w:start w:val="2018"/>
      <w:numFmt w:val="bullet"/>
      <w:lvlText w:val=""/>
      <w:lvlJc w:val="left"/>
      <w:pPr>
        <w:ind w:left="720" w:hanging="360"/>
      </w:pPr>
      <w:rPr>
        <w:rFonts w:ascii="Symbol" w:eastAsiaTheme="minorEastAsia" w:hAnsi="Symbol"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969C9"/>
    <w:multiLevelType w:val="hybridMultilevel"/>
    <w:tmpl w:val="444C8D2A"/>
    <w:lvl w:ilvl="0" w:tplc="7102C464">
      <w:start w:val="2018"/>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8B34A6"/>
    <w:multiLevelType w:val="hybridMultilevel"/>
    <w:tmpl w:val="343A1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40E48"/>
    <w:multiLevelType w:val="hybridMultilevel"/>
    <w:tmpl w:val="BA4A5CDC"/>
    <w:lvl w:ilvl="0" w:tplc="3B80EC8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0E16779"/>
    <w:multiLevelType w:val="hybridMultilevel"/>
    <w:tmpl w:val="EEEEEAA0"/>
    <w:lvl w:ilvl="0" w:tplc="4B1A8B06">
      <w:numFmt w:val="bullet"/>
      <w:lvlText w:val="-"/>
      <w:lvlJc w:val="left"/>
      <w:pPr>
        <w:ind w:left="585" w:hanging="22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C30D6"/>
    <w:multiLevelType w:val="hybridMultilevel"/>
    <w:tmpl w:val="9D06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C86825"/>
    <w:multiLevelType w:val="hybridMultilevel"/>
    <w:tmpl w:val="49D04976"/>
    <w:lvl w:ilvl="0" w:tplc="6BE239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35236"/>
    <w:multiLevelType w:val="hybridMultilevel"/>
    <w:tmpl w:val="74DE00E2"/>
    <w:lvl w:ilvl="0" w:tplc="380EDD34">
      <w:start w:val="1"/>
      <w:numFmt w:val="bullet"/>
      <w:lvlText w:val="•"/>
      <w:lvlJc w:val="left"/>
      <w:pPr>
        <w:tabs>
          <w:tab w:val="num" w:pos="720"/>
        </w:tabs>
        <w:ind w:left="720" w:hanging="360"/>
      </w:pPr>
      <w:rPr>
        <w:rFonts w:ascii="Arial" w:hAnsi="Arial" w:hint="default"/>
      </w:rPr>
    </w:lvl>
    <w:lvl w:ilvl="1" w:tplc="9AF079D4">
      <w:numFmt w:val="bullet"/>
      <w:lvlText w:val="•"/>
      <w:lvlJc w:val="left"/>
      <w:pPr>
        <w:tabs>
          <w:tab w:val="num" w:pos="1440"/>
        </w:tabs>
        <w:ind w:left="1440" w:hanging="360"/>
      </w:pPr>
      <w:rPr>
        <w:rFonts w:ascii="Arial" w:hAnsi="Arial" w:hint="default"/>
      </w:rPr>
    </w:lvl>
    <w:lvl w:ilvl="2" w:tplc="31724548">
      <w:numFmt w:val="bullet"/>
      <w:lvlText w:val="•"/>
      <w:lvlJc w:val="left"/>
      <w:pPr>
        <w:tabs>
          <w:tab w:val="num" w:pos="2160"/>
        </w:tabs>
        <w:ind w:left="2160" w:hanging="360"/>
      </w:pPr>
      <w:rPr>
        <w:rFonts w:ascii="Arial" w:hAnsi="Arial" w:hint="default"/>
      </w:rPr>
    </w:lvl>
    <w:lvl w:ilvl="3" w:tplc="346445F0" w:tentative="1">
      <w:start w:val="1"/>
      <w:numFmt w:val="bullet"/>
      <w:lvlText w:val="•"/>
      <w:lvlJc w:val="left"/>
      <w:pPr>
        <w:tabs>
          <w:tab w:val="num" w:pos="2880"/>
        </w:tabs>
        <w:ind w:left="2880" w:hanging="360"/>
      </w:pPr>
      <w:rPr>
        <w:rFonts w:ascii="Arial" w:hAnsi="Arial" w:hint="default"/>
      </w:rPr>
    </w:lvl>
    <w:lvl w:ilvl="4" w:tplc="9410CBC0" w:tentative="1">
      <w:start w:val="1"/>
      <w:numFmt w:val="bullet"/>
      <w:lvlText w:val="•"/>
      <w:lvlJc w:val="left"/>
      <w:pPr>
        <w:tabs>
          <w:tab w:val="num" w:pos="3600"/>
        </w:tabs>
        <w:ind w:left="3600" w:hanging="360"/>
      </w:pPr>
      <w:rPr>
        <w:rFonts w:ascii="Arial" w:hAnsi="Arial" w:hint="default"/>
      </w:rPr>
    </w:lvl>
    <w:lvl w:ilvl="5" w:tplc="36502B16" w:tentative="1">
      <w:start w:val="1"/>
      <w:numFmt w:val="bullet"/>
      <w:lvlText w:val="•"/>
      <w:lvlJc w:val="left"/>
      <w:pPr>
        <w:tabs>
          <w:tab w:val="num" w:pos="4320"/>
        </w:tabs>
        <w:ind w:left="4320" w:hanging="360"/>
      </w:pPr>
      <w:rPr>
        <w:rFonts w:ascii="Arial" w:hAnsi="Arial" w:hint="default"/>
      </w:rPr>
    </w:lvl>
    <w:lvl w:ilvl="6" w:tplc="4C220C18" w:tentative="1">
      <w:start w:val="1"/>
      <w:numFmt w:val="bullet"/>
      <w:lvlText w:val="•"/>
      <w:lvlJc w:val="left"/>
      <w:pPr>
        <w:tabs>
          <w:tab w:val="num" w:pos="5040"/>
        </w:tabs>
        <w:ind w:left="5040" w:hanging="360"/>
      </w:pPr>
      <w:rPr>
        <w:rFonts w:ascii="Arial" w:hAnsi="Arial" w:hint="default"/>
      </w:rPr>
    </w:lvl>
    <w:lvl w:ilvl="7" w:tplc="7574434A" w:tentative="1">
      <w:start w:val="1"/>
      <w:numFmt w:val="bullet"/>
      <w:lvlText w:val="•"/>
      <w:lvlJc w:val="left"/>
      <w:pPr>
        <w:tabs>
          <w:tab w:val="num" w:pos="5760"/>
        </w:tabs>
        <w:ind w:left="5760" w:hanging="360"/>
      </w:pPr>
      <w:rPr>
        <w:rFonts w:ascii="Arial" w:hAnsi="Arial" w:hint="default"/>
      </w:rPr>
    </w:lvl>
    <w:lvl w:ilvl="8" w:tplc="D2ACCD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12"/>
  </w:num>
  <w:num w:numId="3">
    <w:abstractNumId w:val="25"/>
  </w:num>
  <w:num w:numId="4">
    <w:abstractNumId w:val="17"/>
  </w:num>
  <w:num w:numId="5">
    <w:abstractNumId w:val="20"/>
  </w:num>
  <w:num w:numId="6">
    <w:abstractNumId w:val="36"/>
  </w:num>
  <w:num w:numId="7">
    <w:abstractNumId w:val="10"/>
  </w:num>
  <w:num w:numId="8">
    <w:abstractNumId w:val="9"/>
  </w:num>
  <w:num w:numId="9">
    <w:abstractNumId w:val="5"/>
  </w:num>
  <w:num w:numId="10">
    <w:abstractNumId w:val="32"/>
  </w:num>
  <w:num w:numId="11">
    <w:abstractNumId w:val="7"/>
  </w:num>
  <w:num w:numId="12">
    <w:abstractNumId w:val="30"/>
  </w:num>
  <w:num w:numId="13">
    <w:abstractNumId w:val="6"/>
  </w:num>
  <w:num w:numId="14">
    <w:abstractNumId w:val="27"/>
  </w:num>
  <w:num w:numId="15">
    <w:abstractNumId w:val="4"/>
  </w:num>
  <w:num w:numId="16">
    <w:abstractNumId w:val="14"/>
  </w:num>
  <w:num w:numId="17">
    <w:abstractNumId w:val="19"/>
  </w:num>
  <w:num w:numId="18">
    <w:abstractNumId w:val="22"/>
  </w:num>
  <w:num w:numId="19">
    <w:abstractNumId w:val="29"/>
  </w:num>
  <w:num w:numId="20">
    <w:abstractNumId w:val="15"/>
  </w:num>
  <w:num w:numId="21">
    <w:abstractNumId w:val="16"/>
  </w:num>
  <w:num w:numId="22">
    <w:abstractNumId w:val="11"/>
  </w:num>
  <w:num w:numId="23">
    <w:abstractNumId w:val="37"/>
  </w:num>
  <w:num w:numId="24">
    <w:abstractNumId w:val="21"/>
  </w:num>
  <w:num w:numId="25">
    <w:abstractNumId w:val="3"/>
  </w:num>
  <w:num w:numId="26">
    <w:abstractNumId w:val="18"/>
  </w:num>
  <w:num w:numId="27">
    <w:abstractNumId w:val="26"/>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3"/>
  </w:num>
  <w:num w:numId="30">
    <w:abstractNumId w:val="28"/>
  </w:num>
  <w:num w:numId="31">
    <w:abstractNumId w:val="23"/>
  </w:num>
  <w:num w:numId="32">
    <w:abstractNumId w:val="13"/>
  </w:num>
  <w:num w:numId="33">
    <w:abstractNumId w:val="24"/>
  </w:num>
  <w:num w:numId="34">
    <w:abstractNumId w:val="31"/>
  </w:num>
  <w:num w:numId="35">
    <w:abstractNumId w:val="2"/>
  </w:num>
  <w:num w:numId="36">
    <w:abstractNumId w:val="35"/>
  </w:num>
  <w:num w:numId="37">
    <w:abstractNumId w:val="8"/>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06500"/>
    <w:rsid w:val="0001200E"/>
    <w:rsid w:val="00022169"/>
    <w:rsid w:val="000232AA"/>
    <w:rsid w:val="00033E49"/>
    <w:rsid w:val="00041D64"/>
    <w:rsid w:val="00067635"/>
    <w:rsid w:val="000702E6"/>
    <w:rsid w:val="00073920"/>
    <w:rsid w:val="00084ABA"/>
    <w:rsid w:val="0009327A"/>
    <w:rsid w:val="000A4F1F"/>
    <w:rsid w:val="000B71DF"/>
    <w:rsid w:val="000B770E"/>
    <w:rsid w:val="000C417C"/>
    <w:rsid w:val="000E12E5"/>
    <w:rsid w:val="001055F6"/>
    <w:rsid w:val="00126E1B"/>
    <w:rsid w:val="0012748E"/>
    <w:rsid w:val="00137551"/>
    <w:rsid w:val="00156682"/>
    <w:rsid w:val="001651AC"/>
    <w:rsid w:val="00177092"/>
    <w:rsid w:val="0018716B"/>
    <w:rsid w:val="001947FE"/>
    <w:rsid w:val="001A0F65"/>
    <w:rsid w:val="001A72ED"/>
    <w:rsid w:val="001B0C5C"/>
    <w:rsid w:val="001B5813"/>
    <w:rsid w:val="001B7A51"/>
    <w:rsid w:val="001D1671"/>
    <w:rsid w:val="002004B1"/>
    <w:rsid w:val="002421EB"/>
    <w:rsid w:val="002451DD"/>
    <w:rsid w:val="00262FD2"/>
    <w:rsid w:val="00273598"/>
    <w:rsid w:val="002A31B7"/>
    <w:rsid w:val="002B3972"/>
    <w:rsid w:val="002B7966"/>
    <w:rsid w:val="002C0B9D"/>
    <w:rsid w:val="002C60C7"/>
    <w:rsid w:val="002D159C"/>
    <w:rsid w:val="002D4538"/>
    <w:rsid w:val="003066B3"/>
    <w:rsid w:val="003129DB"/>
    <w:rsid w:val="00313466"/>
    <w:rsid w:val="003174A2"/>
    <w:rsid w:val="00331254"/>
    <w:rsid w:val="00392B74"/>
    <w:rsid w:val="0039540A"/>
    <w:rsid w:val="003B5049"/>
    <w:rsid w:val="003D7F81"/>
    <w:rsid w:val="003E394F"/>
    <w:rsid w:val="00411AD9"/>
    <w:rsid w:val="0042282C"/>
    <w:rsid w:val="00447FD8"/>
    <w:rsid w:val="00457CAD"/>
    <w:rsid w:val="00471D0B"/>
    <w:rsid w:val="004A04DB"/>
    <w:rsid w:val="004A35DA"/>
    <w:rsid w:val="004B0588"/>
    <w:rsid w:val="004F5203"/>
    <w:rsid w:val="004F7F10"/>
    <w:rsid w:val="00504E79"/>
    <w:rsid w:val="00506654"/>
    <w:rsid w:val="0051340E"/>
    <w:rsid w:val="005368B2"/>
    <w:rsid w:val="00547B9E"/>
    <w:rsid w:val="005514CC"/>
    <w:rsid w:val="00554B51"/>
    <w:rsid w:val="0057139D"/>
    <w:rsid w:val="00581D52"/>
    <w:rsid w:val="005A6B02"/>
    <w:rsid w:val="005B50F7"/>
    <w:rsid w:val="005C01EF"/>
    <w:rsid w:val="005C1C34"/>
    <w:rsid w:val="005C6BA5"/>
    <w:rsid w:val="005D6454"/>
    <w:rsid w:val="005D7BE8"/>
    <w:rsid w:val="00622893"/>
    <w:rsid w:val="00624463"/>
    <w:rsid w:val="00625883"/>
    <w:rsid w:val="00632BD0"/>
    <w:rsid w:val="0064709E"/>
    <w:rsid w:val="00661793"/>
    <w:rsid w:val="00672A76"/>
    <w:rsid w:val="006744C4"/>
    <w:rsid w:val="00687C38"/>
    <w:rsid w:val="006A2830"/>
    <w:rsid w:val="006C104E"/>
    <w:rsid w:val="006D4D41"/>
    <w:rsid w:val="006D5337"/>
    <w:rsid w:val="006E06AE"/>
    <w:rsid w:val="006E6A21"/>
    <w:rsid w:val="00715C66"/>
    <w:rsid w:val="007346E2"/>
    <w:rsid w:val="00742878"/>
    <w:rsid w:val="0074571B"/>
    <w:rsid w:val="00754844"/>
    <w:rsid w:val="00756166"/>
    <w:rsid w:val="00766C3B"/>
    <w:rsid w:val="007812FA"/>
    <w:rsid w:val="0078749B"/>
    <w:rsid w:val="007B1D08"/>
    <w:rsid w:val="007B7D9B"/>
    <w:rsid w:val="007D5312"/>
    <w:rsid w:val="00807DED"/>
    <w:rsid w:val="008249E7"/>
    <w:rsid w:val="008635A2"/>
    <w:rsid w:val="00873F77"/>
    <w:rsid w:val="00882E14"/>
    <w:rsid w:val="008A08CB"/>
    <w:rsid w:val="008A522B"/>
    <w:rsid w:val="008C59D9"/>
    <w:rsid w:val="008D574A"/>
    <w:rsid w:val="008E7EEA"/>
    <w:rsid w:val="008F38B1"/>
    <w:rsid w:val="009265A7"/>
    <w:rsid w:val="00934265"/>
    <w:rsid w:val="00937F72"/>
    <w:rsid w:val="009429F6"/>
    <w:rsid w:val="00955BBD"/>
    <w:rsid w:val="0096419F"/>
    <w:rsid w:val="0096538B"/>
    <w:rsid w:val="00971EEE"/>
    <w:rsid w:val="00995B3E"/>
    <w:rsid w:val="009A320C"/>
    <w:rsid w:val="009A4CE9"/>
    <w:rsid w:val="009B2482"/>
    <w:rsid w:val="009B651D"/>
    <w:rsid w:val="009D033A"/>
    <w:rsid w:val="009D2364"/>
    <w:rsid w:val="009E01B7"/>
    <w:rsid w:val="009E1931"/>
    <w:rsid w:val="009F294F"/>
    <w:rsid w:val="00A00579"/>
    <w:rsid w:val="00A175D8"/>
    <w:rsid w:val="00A21725"/>
    <w:rsid w:val="00A32D78"/>
    <w:rsid w:val="00A45BC6"/>
    <w:rsid w:val="00A56043"/>
    <w:rsid w:val="00A74943"/>
    <w:rsid w:val="00A92BAA"/>
    <w:rsid w:val="00AA1792"/>
    <w:rsid w:val="00AA24A3"/>
    <w:rsid w:val="00AA6601"/>
    <w:rsid w:val="00AA72A8"/>
    <w:rsid w:val="00AB52C5"/>
    <w:rsid w:val="00AE556E"/>
    <w:rsid w:val="00AE7F2A"/>
    <w:rsid w:val="00B00F14"/>
    <w:rsid w:val="00B122A2"/>
    <w:rsid w:val="00B13964"/>
    <w:rsid w:val="00B17DA2"/>
    <w:rsid w:val="00B36531"/>
    <w:rsid w:val="00B73A97"/>
    <w:rsid w:val="00B80365"/>
    <w:rsid w:val="00B8157F"/>
    <w:rsid w:val="00B86F29"/>
    <w:rsid w:val="00B90F65"/>
    <w:rsid w:val="00BA3FCE"/>
    <w:rsid w:val="00BB2283"/>
    <w:rsid w:val="00BD44F8"/>
    <w:rsid w:val="00BE07EE"/>
    <w:rsid w:val="00BF1294"/>
    <w:rsid w:val="00C00A5D"/>
    <w:rsid w:val="00C10036"/>
    <w:rsid w:val="00C517D2"/>
    <w:rsid w:val="00C5735B"/>
    <w:rsid w:val="00C734F7"/>
    <w:rsid w:val="00C74229"/>
    <w:rsid w:val="00C82346"/>
    <w:rsid w:val="00C84A4C"/>
    <w:rsid w:val="00C86A78"/>
    <w:rsid w:val="00CA0576"/>
    <w:rsid w:val="00CA2A99"/>
    <w:rsid w:val="00CB02B6"/>
    <w:rsid w:val="00CB3EED"/>
    <w:rsid w:val="00CB50F6"/>
    <w:rsid w:val="00CC20EA"/>
    <w:rsid w:val="00CD5993"/>
    <w:rsid w:val="00CD670D"/>
    <w:rsid w:val="00CE3B6C"/>
    <w:rsid w:val="00CF1A66"/>
    <w:rsid w:val="00CF20FB"/>
    <w:rsid w:val="00CF5E3F"/>
    <w:rsid w:val="00D028CC"/>
    <w:rsid w:val="00D07520"/>
    <w:rsid w:val="00D11499"/>
    <w:rsid w:val="00D124F2"/>
    <w:rsid w:val="00D44035"/>
    <w:rsid w:val="00D54B88"/>
    <w:rsid w:val="00D736D9"/>
    <w:rsid w:val="00D8646B"/>
    <w:rsid w:val="00D93D09"/>
    <w:rsid w:val="00DB3A34"/>
    <w:rsid w:val="00DE17B1"/>
    <w:rsid w:val="00DE445D"/>
    <w:rsid w:val="00E1157B"/>
    <w:rsid w:val="00E213C1"/>
    <w:rsid w:val="00E25DBA"/>
    <w:rsid w:val="00E44393"/>
    <w:rsid w:val="00E44B59"/>
    <w:rsid w:val="00E55DB1"/>
    <w:rsid w:val="00E56D7D"/>
    <w:rsid w:val="00E57921"/>
    <w:rsid w:val="00E70D76"/>
    <w:rsid w:val="00E746CD"/>
    <w:rsid w:val="00E75EBE"/>
    <w:rsid w:val="00EB3E1D"/>
    <w:rsid w:val="00EB41D0"/>
    <w:rsid w:val="00EC0645"/>
    <w:rsid w:val="00EC1D6C"/>
    <w:rsid w:val="00EC403B"/>
    <w:rsid w:val="00ED7400"/>
    <w:rsid w:val="00EE15C9"/>
    <w:rsid w:val="00EE3C47"/>
    <w:rsid w:val="00EE56E0"/>
    <w:rsid w:val="00EF04BD"/>
    <w:rsid w:val="00F25D33"/>
    <w:rsid w:val="00F4298B"/>
    <w:rsid w:val="00F449CA"/>
    <w:rsid w:val="00F45BC4"/>
    <w:rsid w:val="00F5604B"/>
    <w:rsid w:val="00F66366"/>
    <w:rsid w:val="00F75DD3"/>
    <w:rsid w:val="00F958DD"/>
    <w:rsid w:val="00FD057C"/>
    <w:rsid w:val="00FD1ADD"/>
    <w:rsid w:val="00FE4343"/>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BDC1"/>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qFormat/>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rsid w:val="00CF5E3F"/>
    <w:rPr>
      <w:b/>
    </w:rPr>
  </w:style>
  <w:style w:type="paragraph" w:customStyle="1" w:styleId="TAC">
    <w:name w:val="TAC"/>
    <w:basedOn w:val="Normal"/>
    <w:link w:val="TACChar"/>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
    <w:name w:val="B1 Char"/>
    <w:rsid w:val="00506654"/>
    <w:rPr>
      <w:lang w:val="en-GB"/>
    </w:rPr>
  </w:style>
  <w:style w:type="paragraph" w:customStyle="1" w:styleId="Guidance">
    <w:name w:val="Guidance"/>
    <w:basedOn w:val="Normal"/>
    <w:link w:val="GuidanceChar"/>
    <w:rsid w:val="005C6BA5"/>
    <w:pPr>
      <w:snapToGrid/>
      <w:spacing w:after="180"/>
      <w:jc w:val="left"/>
    </w:pPr>
    <w:rPr>
      <w:i/>
      <w:color w:val="0000FF"/>
      <w:sz w:val="20"/>
      <w:szCs w:val="20"/>
      <w:lang w:val="en-GB"/>
    </w:rPr>
  </w:style>
  <w:style w:type="character" w:customStyle="1" w:styleId="GuidanceChar">
    <w:name w:val="Guidance Char"/>
    <w:link w:val="Guidance"/>
    <w:rsid w:val="005C6BA5"/>
    <w:rPr>
      <w:rFonts w:eastAsiaTheme="minorEastAsia"/>
      <w:i/>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08077263">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 w:id="1905337010">
      <w:bodyDiv w:val="1"/>
      <w:marLeft w:val="0"/>
      <w:marRight w:val="0"/>
      <w:marTop w:val="0"/>
      <w:marBottom w:val="0"/>
      <w:divBdr>
        <w:top w:val="none" w:sz="0" w:space="0" w:color="auto"/>
        <w:left w:val="none" w:sz="0" w:space="0" w:color="auto"/>
        <w:bottom w:val="none" w:sz="0" w:space="0" w:color="auto"/>
        <w:right w:val="none" w:sz="0" w:space="0" w:color="auto"/>
      </w:divBdr>
      <w:divsChild>
        <w:div w:id="1120027251">
          <w:marLeft w:val="360"/>
          <w:marRight w:val="0"/>
          <w:marTop w:val="200"/>
          <w:marBottom w:val="0"/>
          <w:divBdr>
            <w:top w:val="none" w:sz="0" w:space="0" w:color="auto"/>
            <w:left w:val="none" w:sz="0" w:space="0" w:color="auto"/>
            <w:bottom w:val="none" w:sz="0" w:space="0" w:color="auto"/>
            <w:right w:val="none" w:sz="0" w:space="0" w:color="auto"/>
          </w:divBdr>
        </w:div>
        <w:div w:id="1478297449">
          <w:marLeft w:val="360"/>
          <w:marRight w:val="0"/>
          <w:marTop w:val="200"/>
          <w:marBottom w:val="0"/>
          <w:divBdr>
            <w:top w:val="none" w:sz="0" w:space="0" w:color="auto"/>
            <w:left w:val="none" w:sz="0" w:space="0" w:color="auto"/>
            <w:bottom w:val="none" w:sz="0" w:space="0" w:color="auto"/>
            <w:right w:val="none" w:sz="0" w:space="0" w:color="auto"/>
          </w:divBdr>
        </w:div>
        <w:div w:id="1650475454">
          <w:marLeft w:val="360"/>
          <w:marRight w:val="0"/>
          <w:marTop w:val="200"/>
          <w:marBottom w:val="0"/>
          <w:divBdr>
            <w:top w:val="none" w:sz="0" w:space="0" w:color="auto"/>
            <w:left w:val="none" w:sz="0" w:space="0" w:color="auto"/>
            <w:bottom w:val="none" w:sz="0" w:space="0" w:color="auto"/>
            <w:right w:val="none" w:sz="0" w:space="0" w:color="auto"/>
          </w:divBdr>
        </w:div>
        <w:div w:id="637149900">
          <w:marLeft w:val="1080"/>
          <w:marRight w:val="0"/>
          <w:marTop w:val="100"/>
          <w:marBottom w:val="0"/>
          <w:divBdr>
            <w:top w:val="none" w:sz="0" w:space="0" w:color="auto"/>
            <w:left w:val="none" w:sz="0" w:space="0" w:color="auto"/>
            <w:bottom w:val="none" w:sz="0" w:space="0" w:color="auto"/>
            <w:right w:val="none" w:sz="0" w:space="0" w:color="auto"/>
          </w:divBdr>
        </w:div>
        <w:div w:id="26298370">
          <w:marLeft w:val="1080"/>
          <w:marRight w:val="0"/>
          <w:marTop w:val="100"/>
          <w:marBottom w:val="0"/>
          <w:divBdr>
            <w:top w:val="none" w:sz="0" w:space="0" w:color="auto"/>
            <w:left w:val="none" w:sz="0" w:space="0" w:color="auto"/>
            <w:bottom w:val="none" w:sz="0" w:space="0" w:color="auto"/>
            <w:right w:val="none" w:sz="0" w:space="0" w:color="auto"/>
          </w:divBdr>
        </w:div>
        <w:div w:id="364840568">
          <w:marLeft w:val="1800"/>
          <w:marRight w:val="0"/>
          <w:marTop w:val="100"/>
          <w:marBottom w:val="0"/>
          <w:divBdr>
            <w:top w:val="none" w:sz="0" w:space="0" w:color="auto"/>
            <w:left w:val="none" w:sz="0" w:space="0" w:color="auto"/>
            <w:bottom w:val="none" w:sz="0" w:space="0" w:color="auto"/>
            <w:right w:val="none" w:sz="0" w:space="0" w:color="auto"/>
          </w:divBdr>
        </w:div>
        <w:div w:id="1168247560">
          <w:marLeft w:val="1080"/>
          <w:marRight w:val="0"/>
          <w:marTop w:val="100"/>
          <w:marBottom w:val="0"/>
          <w:divBdr>
            <w:top w:val="none" w:sz="0" w:space="0" w:color="auto"/>
            <w:left w:val="none" w:sz="0" w:space="0" w:color="auto"/>
            <w:bottom w:val="none" w:sz="0" w:space="0" w:color="auto"/>
            <w:right w:val="none" w:sz="0" w:space="0" w:color="auto"/>
          </w:divBdr>
        </w:div>
        <w:div w:id="1033966269">
          <w:marLeft w:val="1080"/>
          <w:marRight w:val="0"/>
          <w:marTop w:val="100"/>
          <w:marBottom w:val="0"/>
          <w:divBdr>
            <w:top w:val="none" w:sz="0" w:space="0" w:color="auto"/>
            <w:left w:val="none" w:sz="0" w:space="0" w:color="auto"/>
            <w:bottom w:val="none" w:sz="0" w:space="0" w:color="auto"/>
            <w:right w:val="none" w:sz="0" w:space="0" w:color="auto"/>
          </w:divBdr>
        </w:div>
      </w:divsChild>
    </w:div>
    <w:div w:id="1983920231">
      <w:bodyDiv w:val="1"/>
      <w:marLeft w:val="0"/>
      <w:marRight w:val="0"/>
      <w:marTop w:val="0"/>
      <w:marBottom w:val="0"/>
      <w:divBdr>
        <w:top w:val="none" w:sz="0" w:space="0" w:color="auto"/>
        <w:left w:val="none" w:sz="0" w:space="0" w:color="auto"/>
        <w:bottom w:val="none" w:sz="0" w:space="0" w:color="auto"/>
        <w:right w:val="none" w:sz="0" w:space="0" w:color="auto"/>
      </w:divBdr>
      <w:divsChild>
        <w:div w:id="1225215519">
          <w:marLeft w:val="360"/>
          <w:marRight w:val="0"/>
          <w:marTop w:val="200"/>
          <w:marBottom w:val="0"/>
          <w:divBdr>
            <w:top w:val="none" w:sz="0" w:space="0" w:color="auto"/>
            <w:left w:val="none" w:sz="0" w:space="0" w:color="auto"/>
            <w:bottom w:val="none" w:sz="0" w:space="0" w:color="auto"/>
            <w:right w:val="none" w:sz="0" w:space="0" w:color="auto"/>
          </w:divBdr>
        </w:div>
        <w:div w:id="318314704">
          <w:marLeft w:val="360"/>
          <w:marRight w:val="0"/>
          <w:marTop w:val="200"/>
          <w:marBottom w:val="0"/>
          <w:divBdr>
            <w:top w:val="none" w:sz="0" w:space="0" w:color="auto"/>
            <w:left w:val="none" w:sz="0" w:space="0" w:color="auto"/>
            <w:bottom w:val="none" w:sz="0" w:space="0" w:color="auto"/>
            <w:right w:val="none" w:sz="0" w:space="0" w:color="auto"/>
          </w:divBdr>
        </w:div>
        <w:div w:id="1641810168">
          <w:marLeft w:val="360"/>
          <w:marRight w:val="0"/>
          <w:marTop w:val="200"/>
          <w:marBottom w:val="0"/>
          <w:divBdr>
            <w:top w:val="none" w:sz="0" w:space="0" w:color="auto"/>
            <w:left w:val="none" w:sz="0" w:space="0" w:color="auto"/>
            <w:bottom w:val="none" w:sz="0" w:space="0" w:color="auto"/>
            <w:right w:val="none" w:sz="0" w:space="0" w:color="auto"/>
          </w:divBdr>
        </w:div>
        <w:div w:id="339162240">
          <w:marLeft w:val="1080"/>
          <w:marRight w:val="0"/>
          <w:marTop w:val="100"/>
          <w:marBottom w:val="0"/>
          <w:divBdr>
            <w:top w:val="none" w:sz="0" w:space="0" w:color="auto"/>
            <w:left w:val="none" w:sz="0" w:space="0" w:color="auto"/>
            <w:bottom w:val="none" w:sz="0" w:space="0" w:color="auto"/>
            <w:right w:val="none" w:sz="0" w:space="0" w:color="auto"/>
          </w:divBdr>
        </w:div>
        <w:div w:id="673532260">
          <w:marLeft w:val="1080"/>
          <w:marRight w:val="0"/>
          <w:marTop w:val="100"/>
          <w:marBottom w:val="0"/>
          <w:divBdr>
            <w:top w:val="none" w:sz="0" w:space="0" w:color="auto"/>
            <w:left w:val="none" w:sz="0" w:space="0" w:color="auto"/>
            <w:bottom w:val="none" w:sz="0" w:space="0" w:color="auto"/>
            <w:right w:val="none" w:sz="0" w:space="0" w:color="auto"/>
          </w:divBdr>
        </w:div>
        <w:div w:id="431171016">
          <w:marLeft w:val="1800"/>
          <w:marRight w:val="0"/>
          <w:marTop w:val="100"/>
          <w:marBottom w:val="0"/>
          <w:divBdr>
            <w:top w:val="none" w:sz="0" w:space="0" w:color="auto"/>
            <w:left w:val="none" w:sz="0" w:space="0" w:color="auto"/>
            <w:bottom w:val="none" w:sz="0" w:space="0" w:color="auto"/>
            <w:right w:val="none" w:sz="0" w:space="0" w:color="auto"/>
          </w:divBdr>
        </w:div>
        <w:div w:id="1958875964">
          <w:marLeft w:val="1080"/>
          <w:marRight w:val="0"/>
          <w:marTop w:val="100"/>
          <w:marBottom w:val="0"/>
          <w:divBdr>
            <w:top w:val="none" w:sz="0" w:space="0" w:color="auto"/>
            <w:left w:val="none" w:sz="0" w:space="0" w:color="auto"/>
            <w:bottom w:val="none" w:sz="0" w:space="0" w:color="auto"/>
            <w:right w:val="none" w:sz="0" w:space="0" w:color="auto"/>
          </w:divBdr>
        </w:div>
        <w:div w:id="911243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AC7D3-F84F-4FAE-B1D1-A9075F3AF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vip1</cp:lastModifiedBy>
  <cp:revision>5</cp:revision>
  <cp:lastPrinted>2018-08-01T15:28:00Z</cp:lastPrinted>
  <dcterms:created xsi:type="dcterms:W3CDTF">2018-09-24T14:55:00Z</dcterms:created>
  <dcterms:modified xsi:type="dcterms:W3CDTF">2018-09-28T15:16:00Z</dcterms:modified>
</cp:coreProperties>
</file>