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81C78" w14:textId="5584266C" w:rsidR="006703BA" w:rsidRPr="00841BCD" w:rsidRDefault="006703BA" w:rsidP="006703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 xml:space="preserve">WG4 </w:t>
      </w:r>
      <w:r w:rsidR="00F22EAC">
        <w:rPr>
          <w:rFonts w:ascii="Arial" w:eastAsia="SimSun" w:hAnsi="Arial" w:cs="Times New Roman"/>
          <w:b/>
          <w:sz w:val="24"/>
          <w:szCs w:val="20"/>
          <w:lang w:val="en-GB"/>
        </w:rPr>
        <w:t>Meeting#88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541D7" w:rsidRPr="001541D7">
        <w:rPr>
          <w:rFonts w:ascii="Arial" w:eastAsia="SimSun" w:hAnsi="Arial" w:cs="Times New Roman"/>
          <w:b/>
          <w:bCs/>
          <w:sz w:val="24"/>
          <w:szCs w:val="20"/>
          <w:lang w:val="en-GB" w:eastAsia="ja-JP"/>
        </w:rPr>
        <w:t>R4-1811300</w:t>
      </w:r>
      <w:bookmarkStart w:id="2" w:name="_GoBack"/>
      <w:bookmarkEnd w:id="2"/>
    </w:p>
    <w:p w14:paraId="3EE91165" w14:textId="02EE94FA" w:rsidR="006703BA" w:rsidRDefault="00A90705" w:rsidP="006703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noProof/>
          <w:sz w:val="24"/>
          <w:szCs w:val="20"/>
          <w:lang w:eastAsia="zh-CN"/>
        </w:rPr>
      </w:pPr>
      <w:r>
        <w:rPr>
          <w:rFonts w:ascii="Arial" w:eastAsia="SimSun" w:hAnsi="Arial" w:cs="Times New Roman"/>
          <w:b/>
          <w:sz w:val="24"/>
          <w:szCs w:val="20"/>
          <w:lang w:val="en-GB"/>
        </w:rPr>
        <w:t>Gothenburg, Sweden, August 20</w:t>
      </w:r>
      <w:r w:rsidRPr="00BA724E">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24</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p w14:paraId="4F94DDA8" w14:textId="77777777" w:rsidR="006703BA" w:rsidRPr="00841BCD" w:rsidRDefault="006703BA" w:rsidP="006703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p>
    <w:bookmarkEnd w:id="0"/>
    <w:bookmarkEnd w:id="1"/>
    <w:p w14:paraId="32657CF7" w14:textId="77777777" w:rsidR="00841BCD" w:rsidRPr="006703BA" w:rsidRDefault="00841BCD" w:rsidP="00841BCD">
      <w:pPr>
        <w:tabs>
          <w:tab w:val="left" w:pos="1985"/>
        </w:tabs>
        <w:ind w:left="1985" w:hanging="1985"/>
        <w:rPr>
          <w:rFonts w:ascii="Arial" w:eastAsia="Calibri" w:hAnsi="Arial" w:cs="Arial"/>
          <w:b/>
          <w:bCs/>
          <w:sz w:val="24"/>
          <w:lang w:val="en-GB"/>
        </w:rPr>
      </w:pPr>
      <w:r w:rsidRPr="006703BA">
        <w:rPr>
          <w:rFonts w:ascii="Arial" w:eastAsia="Calibri" w:hAnsi="Arial" w:cs="Arial"/>
          <w:b/>
          <w:bCs/>
          <w:sz w:val="24"/>
          <w:lang w:val="en-GB"/>
        </w:rPr>
        <w:t>Source:</w:t>
      </w:r>
      <w:r w:rsidRPr="006703BA">
        <w:rPr>
          <w:rFonts w:ascii="Arial" w:eastAsia="Calibri" w:hAnsi="Arial" w:cs="Arial"/>
          <w:b/>
          <w:bCs/>
          <w:sz w:val="24"/>
          <w:lang w:val="en-GB"/>
        </w:rPr>
        <w:tab/>
        <w:t xml:space="preserve">Nokia, </w:t>
      </w:r>
      <w:r w:rsidR="0043750A" w:rsidRPr="006703BA">
        <w:rPr>
          <w:rFonts w:ascii="Arial" w:eastAsia="Calibri" w:hAnsi="Arial" w:cs="Arial"/>
          <w:b/>
          <w:bCs/>
          <w:sz w:val="24"/>
          <w:lang w:val="en-GB"/>
        </w:rPr>
        <w:t>Nokia</w:t>
      </w:r>
      <w:r w:rsidRPr="006703BA">
        <w:rPr>
          <w:rFonts w:ascii="Arial" w:eastAsia="Calibri" w:hAnsi="Arial" w:cs="Arial"/>
          <w:b/>
          <w:bCs/>
          <w:sz w:val="24"/>
          <w:lang w:val="en-GB"/>
        </w:rPr>
        <w:t xml:space="preserve"> Shanghai Bell</w:t>
      </w:r>
      <w:r w:rsidRPr="006703BA" w:rsidDel="00636277">
        <w:rPr>
          <w:rFonts w:ascii="Arial" w:eastAsia="Calibri" w:hAnsi="Arial" w:cs="Arial"/>
          <w:b/>
          <w:bCs/>
          <w:sz w:val="24"/>
          <w:lang w:val="en-GB"/>
        </w:rPr>
        <w:t xml:space="preserve"> </w:t>
      </w:r>
    </w:p>
    <w:p w14:paraId="7A77EBCE" w14:textId="059E92B3" w:rsidR="00841BCD" w:rsidRPr="006703BA" w:rsidRDefault="00841BCD" w:rsidP="00841BCD">
      <w:pPr>
        <w:ind w:left="1985" w:hanging="1985"/>
        <w:rPr>
          <w:rFonts w:ascii="Arial" w:eastAsia="Calibri" w:hAnsi="Arial" w:cs="Arial"/>
          <w:b/>
          <w:bCs/>
          <w:sz w:val="24"/>
        </w:rPr>
      </w:pPr>
      <w:r w:rsidRPr="006703BA">
        <w:rPr>
          <w:rFonts w:ascii="Arial" w:eastAsia="Calibri" w:hAnsi="Arial" w:cs="Arial"/>
          <w:b/>
          <w:bCs/>
          <w:sz w:val="24"/>
          <w:lang w:val="en-GB"/>
        </w:rPr>
        <w:t>Title:</w:t>
      </w:r>
      <w:r w:rsidRPr="006703BA">
        <w:rPr>
          <w:rFonts w:ascii="Arial" w:eastAsia="Calibri" w:hAnsi="Arial" w:cs="Arial"/>
          <w:b/>
          <w:bCs/>
          <w:sz w:val="24"/>
          <w:lang w:val="en-GB"/>
        </w:rPr>
        <w:tab/>
      </w:r>
      <w:r w:rsidR="00DE68EB" w:rsidRPr="006703BA">
        <w:rPr>
          <w:rFonts w:ascii="Arial" w:eastAsia="Calibri" w:hAnsi="Arial" w:cs="Arial"/>
          <w:b/>
          <w:bCs/>
          <w:sz w:val="24"/>
          <w:lang w:val="en-GB"/>
        </w:rPr>
        <w:t xml:space="preserve">UE </w:t>
      </w:r>
      <w:r w:rsidR="00233487">
        <w:rPr>
          <w:rFonts w:ascii="Arial" w:eastAsia="Calibri" w:hAnsi="Arial" w:cs="Arial"/>
          <w:b/>
          <w:bCs/>
          <w:sz w:val="24"/>
          <w:lang w:val="en-GB"/>
        </w:rPr>
        <w:t>SSB monitoring requirement</w:t>
      </w:r>
      <w:r w:rsidR="00D61C6D" w:rsidRPr="006703BA">
        <w:rPr>
          <w:rFonts w:ascii="Arial" w:eastAsia="Calibri" w:hAnsi="Arial" w:cs="Arial"/>
          <w:b/>
          <w:bCs/>
          <w:sz w:val="24"/>
          <w:lang w:val="en-GB"/>
        </w:rPr>
        <w:t xml:space="preserve"> </w:t>
      </w:r>
      <w:r w:rsidR="00F22EAC">
        <w:rPr>
          <w:rFonts w:ascii="Arial" w:eastAsia="Calibri" w:hAnsi="Arial" w:cs="Arial"/>
          <w:b/>
          <w:bCs/>
          <w:sz w:val="24"/>
          <w:lang w:val="en-GB"/>
        </w:rPr>
        <w:t>for</w:t>
      </w:r>
      <w:r w:rsidR="00F22EAC" w:rsidRPr="006703BA">
        <w:rPr>
          <w:rFonts w:ascii="Arial" w:eastAsia="Calibri" w:hAnsi="Arial" w:cs="Arial"/>
          <w:b/>
          <w:bCs/>
          <w:sz w:val="24"/>
          <w:lang w:val="en-GB"/>
        </w:rPr>
        <w:t xml:space="preserve"> </w:t>
      </w:r>
      <w:r w:rsidR="00D61C6D" w:rsidRPr="006703BA">
        <w:rPr>
          <w:rFonts w:ascii="Arial" w:eastAsia="Calibri" w:hAnsi="Arial" w:cs="Arial"/>
          <w:b/>
          <w:bCs/>
          <w:sz w:val="24"/>
          <w:lang w:val="en-GB"/>
        </w:rPr>
        <w:t>intra-band SCC</w:t>
      </w:r>
    </w:p>
    <w:p w14:paraId="659E37DB" w14:textId="3EAD81E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6703BA">
        <w:rPr>
          <w:rFonts w:ascii="Arial" w:eastAsia="MS Mincho" w:hAnsi="Arial" w:cs="Arial"/>
          <w:b/>
          <w:bCs/>
          <w:sz w:val="24"/>
          <w:szCs w:val="20"/>
          <w:lang w:val="en-GB"/>
        </w:rPr>
        <w:t>Agenda item:</w:t>
      </w:r>
      <w:r w:rsidRPr="006703BA">
        <w:rPr>
          <w:rFonts w:ascii="Arial" w:eastAsia="MS Mincho" w:hAnsi="Arial" w:cs="Arial"/>
          <w:b/>
          <w:bCs/>
          <w:sz w:val="24"/>
          <w:szCs w:val="20"/>
          <w:lang w:val="en-GB"/>
        </w:rPr>
        <w:tab/>
      </w:r>
      <w:r w:rsidR="00EA13A6">
        <w:rPr>
          <w:rFonts w:ascii="Arial" w:eastAsia="MS Mincho" w:hAnsi="Arial" w:cs="Arial"/>
          <w:b/>
          <w:bCs/>
          <w:sz w:val="24"/>
          <w:szCs w:val="20"/>
          <w:lang w:val="en-GB"/>
        </w:rPr>
        <w:t>9</w:t>
      </w:r>
      <w:r w:rsidRPr="006703BA">
        <w:rPr>
          <w:rFonts w:ascii="Arial" w:eastAsia="MS Mincho" w:hAnsi="Arial" w:cs="Arial"/>
          <w:b/>
          <w:bCs/>
          <w:sz w:val="24"/>
          <w:szCs w:val="20"/>
          <w:lang w:val="en-GB"/>
        </w:rPr>
        <w:t>.</w:t>
      </w:r>
      <w:r w:rsidR="00EA13A6">
        <w:rPr>
          <w:rFonts w:ascii="Arial" w:eastAsia="MS Mincho" w:hAnsi="Arial" w:cs="Arial"/>
          <w:b/>
          <w:bCs/>
          <w:sz w:val="24"/>
          <w:szCs w:val="20"/>
          <w:lang w:val="en-GB"/>
        </w:rPr>
        <w:t>11</w:t>
      </w:r>
      <w:r w:rsidR="008A3C72" w:rsidRPr="006703BA">
        <w:rPr>
          <w:rFonts w:ascii="Arial" w:eastAsia="MS Mincho" w:hAnsi="Arial" w:cs="Arial"/>
          <w:b/>
          <w:bCs/>
          <w:sz w:val="24"/>
          <w:szCs w:val="20"/>
          <w:lang w:val="en-GB"/>
        </w:rPr>
        <w:t>.2</w:t>
      </w:r>
    </w:p>
    <w:p w14:paraId="01D1B217"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A3C72">
        <w:rPr>
          <w:rFonts w:ascii="Arial" w:eastAsia="Calibri" w:hAnsi="Arial" w:cs="Arial"/>
          <w:b/>
          <w:bCs/>
          <w:sz w:val="24"/>
          <w:lang w:val="en-GB"/>
        </w:rPr>
        <w:t>Discussion</w:t>
      </w:r>
    </w:p>
    <w:p w14:paraId="64A9D48D"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624C07E7" w14:textId="64F75320" w:rsidR="00BB6036" w:rsidRDefault="0037507E" w:rsidP="00841BCD">
      <w:pPr>
        <w:ind w:right="-22"/>
        <w:rPr>
          <w:rFonts w:eastAsia="Calibri" w:cs="Times New Roman"/>
          <w:szCs w:val="20"/>
          <w:lang w:val="en-GB"/>
        </w:rPr>
      </w:pPr>
      <w:r>
        <w:rPr>
          <w:rFonts w:eastAsia="Calibri" w:cs="Times New Roman"/>
          <w:szCs w:val="20"/>
          <w:lang w:val="en-GB"/>
        </w:rPr>
        <w:t xml:space="preserve">In </w:t>
      </w:r>
      <w:r w:rsidR="00974413">
        <w:rPr>
          <w:rFonts w:eastAsia="Calibri" w:cs="Times New Roman"/>
          <w:szCs w:val="20"/>
          <w:lang w:val="en-GB"/>
        </w:rPr>
        <w:t xml:space="preserve">the </w:t>
      </w:r>
      <w:r>
        <w:rPr>
          <w:rFonts w:eastAsia="Calibri" w:cs="Times New Roman"/>
          <w:szCs w:val="20"/>
          <w:lang w:val="en-GB"/>
        </w:rPr>
        <w:t xml:space="preserve">last </w:t>
      </w:r>
      <w:r w:rsidR="00974413">
        <w:rPr>
          <w:rFonts w:eastAsia="Calibri" w:cs="Times New Roman"/>
          <w:szCs w:val="20"/>
          <w:lang w:val="en-GB"/>
        </w:rPr>
        <w:t xml:space="preserve">number of RAN4 </w:t>
      </w:r>
      <w:r>
        <w:rPr>
          <w:rFonts w:eastAsia="Calibri" w:cs="Times New Roman"/>
          <w:szCs w:val="20"/>
          <w:lang w:val="en-GB"/>
        </w:rPr>
        <w:t>meeting</w:t>
      </w:r>
      <w:r w:rsidR="00974413">
        <w:rPr>
          <w:rFonts w:eastAsia="Calibri" w:cs="Times New Roman"/>
          <w:szCs w:val="20"/>
          <w:lang w:val="en-GB"/>
        </w:rPr>
        <w:t>s,</w:t>
      </w:r>
      <w:r>
        <w:rPr>
          <w:rFonts w:eastAsia="Calibri" w:cs="Times New Roman"/>
          <w:szCs w:val="20"/>
          <w:lang w:val="en-GB"/>
        </w:rPr>
        <w:t xml:space="preserve"> </w:t>
      </w:r>
      <w:r w:rsidR="00DE6C15">
        <w:rPr>
          <w:rFonts w:eastAsia="Calibri" w:cs="Times New Roman"/>
          <w:szCs w:val="20"/>
          <w:lang w:val="en-GB"/>
        </w:rPr>
        <w:t xml:space="preserve">RAN4 </w:t>
      </w:r>
      <w:r w:rsidR="00974413">
        <w:rPr>
          <w:rFonts w:eastAsia="Calibri" w:cs="Times New Roman"/>
          <w:szCs w:val="20"/>
          <w:lang w:val="en-GB"/>
        </w:rPr>
        <w:t>h</w:t>
      </w:r>
      <w:r w:rsidR="00DE6C15">
        <w:rPr>
          <w:rFonts w:eastAsia="Calibri" w:cs="Times New Roman"/>
          <w:szCs w:val="20"/>
          <w:lang w:val="en-GB"/>
        </w:rPr>
        <w:t xml:space="preserve">as </w:t>
      </w:r>
      <w:r w:rsidR="00974413">
        <w:rPr>
          <w:rFonts w:eastAsia="Calibri" w:cs="Times New Roman"/>
          <w:szCs w:val="20"/>
          <w:lang w:val="en-GB"/>
        </w:rPr>
        <w:t xml:space="preserve">been </w:t>
      </w:r>
      <w:r w:rsidR="00DE6C15">
        <w:rPr>
          <w:rFonts w:eastAsia="Calibri" w:cs="Times New Roman"/>
          <w:szCs w:val="20"/>
          <w:lang w:val="en-GB"/>
        </w:rPr>
        <w:t>discussi</w:t>
      </w:r>
      <w:r w:rsidR="005C1EAE">
        <w:rPr>
          <w:rFonts w:eastAsia="Calibri" w:cs="Times New Roman"/>
          <w:szCs w:val="20"/>
          <w:lang w:val="en-GB"/>
        </w:rPr>
        <w:t>ng</w:t>
      </w:r>
      <w:r w:rsidR="00DE6C15">
        <w:rPr>
          <w:rFonts w:eastAsia="Calibri" w:cs="Times New Roman"/>
          <w:szCs w:val="20"/>
          <w:lang w:val="en-GB"/>
        </w:rPr>
        <w:t xml:space="preserve"> UE measurement capability </w:t>
      </w:r>
      <w:r>
        <w:rPr>
          <w:rFonts w:eastAsia="Calibri" w:cs="Times New Roman"/>
          <w:szCs w:val="20"/>
          <w:lang w:val="en-GB"/>
        </w:rPr>
        <w:t>related to number of cells and beams</w:t>
      </w:r>
      <w:r w:rsidR="00974413">
        <w:rPr>
          <w:rFonts w:eastAsia="Calibri" w:cs="Times New Roman"/>
          <w:szCs w:val="20"/>
          <w:lang w:val="en-GB"/>
        </w:rPr>
        <w:t xml:space="preserve"> the UE shall be able to monitor</w:t>
      </w:r>
      <w:r>
        <w:rPr>
          <w:rFonts w:eastAsia="Calibri" w:cs="Times New Roman"/>
          <w:szCs w:val="20"/>
          <w:lang w:val="en-GB"/>
        </w:rPr>
        <w:t xml:space="preserve"> – especially for FR2</w:t>
      </w:r>
      <w:r w:rsidR="00DE6C15">
        <w:rPr>
          <w:rFonts w:eastAsia="Calibri" w:cs="Times New Roman"/>
          <w:szCs w:val="20"/>
          <w:lang w:val="en-GB"/>
        </w:rPr>
        <w:t xml:space="preserve">. </w:t>
      </w:r>
      <w:r w:rsidR="00974413">
        <w:rPr>
          <w:rFonts w:eastAsia="Calibri" w:cs="Times New Roman"/>
          <w:szCs w:val="20"/>
          <w:lang w:val="en-GB"/>
        </w:rPr>
        <w:t>Most numbers are agreed (although in []) while</w:t>
      </w:r>
      <w:r w:rsidR="00DE6C15">
        <w:rPr>
          <w:rFonts w:eastAsia="Calibri" w:cs="Times New Roman"/>
          <w:szCs w:val="20"/>
          <w:lang w:val="en-GB"/>
        </w:rPr>
        <w:t xml:space="preserve"> agreement </w:t>
      </w:r>
      <w:r w:rsidR="00974413">
        <w:rPr>
          <w:rFonts w:eastAsia="Calibri" w:cs="Times New Roman"/>
          <w:szCs w:val="20"/>
          <w:lang w:val="en-GB"/>
        </w:rPr>
        <w:t xml:space="preserve">is </w:t>
      </w:r>
      <w:r w:rsidR="00DE6C15">
        <w:rPr>
          <w:rFonts w:eastAsia="Calibri" w:cs="Times New Roman"/>
          <w:szCs w:val="20"/>
          <w:lang w:val="en-GB"/>
        </w:rPr>
        <w:t xml:space="preserve">still </w:t>
      </w:r>
      <w:r w:rsidR="002B0997">
        <w:rPr>
          <w:rFonts w:eastAsia="Calibri" w:cs="Times New Roman"/>
          <w:szCs w:val="20"/>
          <w:lang w:val="en-GB"/>
        </w:rPr>
        <w:t>open related to number of beam</w:t>
      </w:r>
      <w:r w:rsidR="00974413">
        <w:rPr>
          <w:rFonts w:eastAsia="Calibri" w:cs="Times New Roman"/>
          <w:szCs w:val="20"/>
          <w:lang w:val="en-GB"/>
        </w:rPr>
        <w:t>s</w:t>
      </w:r>
      <w:r w:rsidR="002B0997">
        <w:rPr>
          <w:rFonts w:eastAsia="Calibri" w:cs="Times New Roman"/>
          <w:szCs w:val="20"/>
          <w:lang w:val="en-GB"/>
        </w:rPr>
        <w:t xml:space="preserve"> to measure on intra-band SCCs</w:t>
      </w:r>
      <w:r w:rsidR="00DE6C15">
        <w:rPr>
          <w:rFonts w:eastAsia="Calibri" w:cs="Times New Roman"/>
          <w:szCs w:val="20"/>
          <w:lang w:val="en-GB"/>
        </w:rPr>
        <w:t>.</w:t>
      </w:r>
    </w:p>
    <w:p w14:paraId="19D8223B" w14:textId="2495A5EF" w:rsidR="008F49C1" w:rsidRDefault="008F49C1" w:rsidP="00841BCD">
      <w:pPr>
        <w:ind w:right="-22"/>
        <w:rPr>
          <w:rFonts w:eastAsia="Calibri" w:cs="Times New Roman"/>
          <w:szCs w:val="20"/>
          <w:lang w:val="en-GB"/>
        </w:rPr>
      </w:pPr>
      <w:bookmarkStart w:id="3" w:name="_Hlk510689773"/>
      <w:r>
        <w:rPr>
          <w:rFonts w:eastAsia="Calibri" w:cs="Times New Roman"/>
          <w:szCs w:val="20"/>
          <w:lang w:val="en-GB"/>
        </w:rPr>
        <w:t xml:space="preserve">In this paper we provide </w:t>
      </w:r>
      <w:r w:rsidR="00512858">
        <w:rPr>
          <w:rFonts w:eastAsia="Calibri" w:cs="Times New Roman"/>
          <w:szCs w:val="20"/>
          <w:lang w:val="en-GB"/>
        </w:rPr>
        <w:t>our</w:t>
      </w:r>
      <w:r w:rsidR="002B0997">
        <w:rPr>
          <w:rFonts w:eastAsia="Calibri" w:cs="Times New Roman"/>
          <w:szCs w:val="20"/>
          <w:lang w:val="en-GB"/>
        </w:rPr>
        <w:t xml:space="preserve"> </w:t>
      </w:r>
      <w:r>
        <w:rPr>
          <w:rFonts w:eastAsia="Calibri" w:cs="Times New Roman"/>
          <w:szCs w:val="20"/>
          <w:lang w:val="en-GB"/>
        </w:rPr>
        <w:t xml:space="preserve">system level simulation results </w:t>
      </w:r>
      <w:r w:rsidR="00512858">
        <w:rPr>
          <w:rFonts w:eastAsia="Calibri" w:cs="Times New Roman"/>
          <w:szCs w:val="20"/>
          <w:lang w:val="en-GB"/>
        </w:rPr>
        <w:t xml:space="preserve">provided earlier to facilitate the </w:t>
      </w:r>
      <w:r w:rsidR="002B0997">
        <w:rPr>
          <w:rFonts w:eastAsia="Calibri" w:cs="Times New Roman"/>
          <w:szCs w:val="20"/>
          <w:lang w:val="en-GB"/>
        </w:rPr>
        <w:t>discussi</w:t>
      </w:r>
      <w:r w:rsidR="00512858">
        <w:rPr>
          <w:rFonts w:eastAsia="Calibri" w:cs="Times New Roman"/>
          <w:szCs w:val="20"/>
          <w:lang w:val="en-GB"/>
        </w:rPr>
        <w:t>o</w:t>
      </w:r>
      <w:r w:rsidR="002B0997">
        <w:rPr>
          <w:rFonts w:eastAsia="Calibri" w:cs="Times New Roman"/>
          <w:szCs w:val="20"/>
          <w:lang w:val="en-GB"/>
        </w:rPr>
        <w:t xml:space="preserve">n </w:t>
      </w:r>
      <w:r w:rsidR="00512858">
        <w:rPr>
          <w:rFonts w:eastAsia="Calibri" w:cs="Times New Roman"/>
          <w:szCs w:val="20"/>
          <w:lang w:val="en-GB"/>
        </w:rPr>
        <w:t xml:space="preserve">related to </w:t>
      </w:r>
      <w:r w:rsidR="002B0997">
        <w:rPr>
          <w:rFonts w:eastAsia="Calibri" w:cs="Times New Roman"/>
          <w:szCs w:val="20"/>
          <w:lang w:val="en-GB"/>
        </w:rPr>
        <w:t>the number of SSB based beams to measure on additional intra-band SCCs</w:t>
      </w:r>
      <w:bookmarkEnd w:id="3"/>
      <w:r w:rsidR="0033090B">
        <w:rPr>
          <w:rFonts w:eastAsia="Calibri" w:cs="Times New Roman"/>
          <w:szCs w:val="20"/>
          <w:lang w:val="en-GB"/>
        </w:rPr>
        <w:t>.</w:t>
      </w:r>
    </w:p>
    <w:p w14:paraId="0FD43820" w14:textId="77777777" w:rsidR="00D61C6D" w:rsidRDefault="00D61C6D" w:rsidP="00841BCD">
      <w:pPr>
        <w:ind w:right="-22"/>
        <w:rPr>
          <w:rFonts w:eastAsia="Calibri" w:cs="Times New Roman"/>
          <w:szCs w:val="20"/>
          <w:lang w:val="en-GB"/>
        </w:rPr>
      </w:pPr>
    </w:p>
    <w:p w14:paraId="13A5E7D6" w14:textId="77777777" w:rsidR="003B659E" w:rsidRPr="00841BCD" w:rsidRDefault="003B659E" w:rsidP="0008612A">
      <w:pPr>
        <w:pStyle w:val="RAN4H1"/>
      </w:pPr>
      <w:r>
        <w:t>2</w:t>
      </w:r>
      <w:r w:rsidRPr="00841BCD">
        <w:tab/>
      </w:r>
      <w:r>
        <w:t>Discussion</w:t>
      </w:r>
    </w:p>
    <w:p w14:paraId="0CEC36D0" w14:textId="65ABDA7C" w:rsidR="006727D7" w:rsidRDefault="006727D7" w:rsidP="006727D7">
      <w:pPr>
        <w:ind w:right="-22"/>
        <w:rPr>
          <w:rFonts w:eastAsia="Calibri" w:cs="Times New Roman"/>
          <w:szCs w:val="20"/>
          <w:lang w:val="en-GB"/>
        </w:rPr>
      </w:pPr>
      <w:r>
        <w:rPr>
          <w:rFonts w:eastAsia="Calibri" w:cs="Times New Roman"/>
          <w:szCs w:val="20"/>
          <w:lang w:val="en-GB"/>
        </w:rPr>
        <w:t>Latest agreements in RAN4 related to UE measurement capability ended with the following outcome at the Busan meeting in May</w:t>
      </w:r>
      <w:r w:rsidR="00512858">
        <w:rPr>
          <w:rFonts w:eastAsia="Calibri" w:cs="Times New Roman"/>
          <w:szCs w:val="20"/>
          <w:lang w:val="en-GB"/>
        </w:rPr>
        <w:t xml:space="preserve"> (no further progress in Montreal AH)</w:t>
      </w:r>
      <w:r>
        <w:rPr>
          <w:rFonts w:eastAsia="Calibri" w:cs="Times New Roman"/>
          <w:szCs w:val="20"/>
          <w:lang w:val="en-GB"/>
        </w:rPr>
        <w:t>:</w:t>
      </w:r>
    </w:p>
    <w:p w14:paraId="7CB674A3" w14:textId="0E9B90BE" w:rsidR="00512858" w:rsidRDefault="00512858" w:rsidP="00A90705">
      <w:pPr>
        <w:pStyle w:val="ListParagraph"/>
        <w:numPr>
          <w:ilvl w:val="0"/>
          <w:numId w:val="23"/>
        </w:numPr>
        <w:ind w:right="-22"/>
        <w:rPr>
          <w:rFonts w:eastAsia="Calibri" w:cs="Times New Roman"/>
          <w:szCs w:val="20"/>
          <w:lang w:val="en-GB"/>
        </w:rPr>
      </w:pPr>
      <w:r w:rsidRPr="00A90705">
        <w:rPr>
          <w:rFonts w:eastAsia="Calibri" w:cs="Times New Roman"/>
          <w:szCs w:val="20"/>
          <w:lang w:val="en-GB"/>
        </w:rPr>
        <w:t xml:space="preserve">FR2 Main CC: </w:t>
      </w:r>
      <w:r>
        <w:rPr>
          <w:rFonts w:eastAsia="Calibri" w:cs="Times New Roman"/>
          <w:szCs w:val="20"/>
          <w:lang w:val="en-GB"/>
        </w:rPr>
        <w:t xml:space="preserve">This refers to either an intra-band PCell, intra-band PSCell or </w:t>
      </w:r>
      <w:r w:rsidR="00C7249A">
        <w:rPr>
          <w:rFonts w:eastAsia="Calibri" w:cs="Times New Roman"/>
          <w:szCs w:val="20"/>
          <w:lang w:val="en-GB"/>
        </w:rPr>
        <w:t xml:space="preserve">one intra-band </w:t>
      </w:r>
      <w:r>
        <w:rPr>
          <w:rFonts w:eastAsia="Calibri" w:cs="Times New Roman"/>
          <w:szCs w:val="20"/>
          <w:lang w:val="en-GB"/>
        </w:rPr>
        <w:t xml:space="preserve">SCC of no </w:t>
      </w:r>
      <w:r w:rsidR="00C7249A">
        <w:rPr>
          <w:rFonts w:eastAsia="Calibri" w:cs="Times New Roman"/>
          <w:szCs w:val="20"/>
          <w:lang w:val="en-GB"/>
        </w:rPr>
        <w:t xml:space="preserve">intra-band </w:t>
      </w:r>
      <w:r>
        <w:rPr>
          <w:rFonts w:eastAsia="Calibri" w:cs="Times New Roman"/>
          <w:szCs w:val="20"/>
          <w:lang w:val="en-GB"/>
        </w:rPr>
        <w:t xml:space="preserve">PCell or </w:t>
      </w:r>
      <w:r w:rsidR="00C7249A">
        <w:rPr>
          <w:rFonts w:eastAsia="Calibri" w:cs="Times New Roman"/>
          <w:szCs w:val="20"/>
          <w:lang w:val="en-GB"/>
        </w:rPr>
        <w:t xml:space="preserve">intra-band </w:t>
      </w:r>
      <w:r>
        <w:rPr>
          <w:rFonts w:eastAsia="Calibri" w:cs="Times New Roman"/>
          <w:szCs w:val="20"/>
          <w:lang w:val="en-GB"/>
        </w:rPr>
        <w:t xml:space="preserve">PSCell is configured </w:t>
      </w:r>
      <w:r w:rsidR="00C7249A">
        <w:rPr>
          <w:rFonts w:eastAsia="Calibri" w:cs="Times New Roman"/>
          <w:szCs w:val="20"/>
          <w:lang w:val="en-GB"/>
        </w:rPr>
        <w:t>in the</w:t>
      </w:r>
      <w:r>
        <w:rPr>
          <w:rFonts w:eastAsia="Calibri" w:cs="Times New Roman"/>
          <w:szCs w:val="20"/>
          <w:lang w:val="en-GB"/>
        </w:rPr>
        <w:t xml:space="preserve"> band.</w:t>
      </w:r>
    </w:p>
    <w:p w14:paraId="741A3463" w14:textId="3569BF85" w:rsidR="00512858" w:rsidRPr="00A90705" w:rsidRDefault="00512858" w:rsidP="00A90705">
      <w:pPr>
        <w:pStyle w:val="ListParagraph"/>
        <w:numPr>
          <w:ilvl w:val="0"/>
          <w:numId w:val="23"/>
        </w:numPr>
        <w:ind w:right="-22"/>
        <w:rPr>
          <w:rFonts w:eastAsia="Calibri" w:cs="Times New Roman"/>
          <w:szCs w:val="20"/>
          <w:lang w:val="en-GB"/>
        </w:rPr>
      </w:pPr>
      <w:r>
        <w:rPr>
          <w:rFonts w:eastAsia="Calibri" w:cs="Times New Roman"/>
          <w:szCs w:val="20"/>
          <w:lang w:val="en-GB"/>
        </w:rPr>
        <w:t>Other CC than Main CC: This refers to any other intra-band CC than the Main CC in the band.</w:t>
      </w:r>
    </w:p>
    <w:p w14:paraId="5CFF8E1F" w14:textId="77777777" w:rsidR="006727D7" w:rsidRDefault="006727D7" w:rsidP="006727D7">
      <w:pPr>
        <w:ind w:right="-22"/>
        <w:rPr>
          <w:rFonts w:eastAsia="Calibri" w:cs="Times New Roman"/>
          <w:szCs w:val="20"/>
          <w:lang w:val="en-GB"/>
        </w:rPr>
      </w:pPr>
      <w:r>
        <w:rPr>
          <w:rFonts w:eastAsia="Calibri" w:cs="Times New Roman"/>
          <w:szCs w:val="20"/>
          <w:lang w:val="en-GB"/>
        </w:rPr>
        <w:t>Based on the agreements made in Busan meeting the UE shall be able to monitor:</w:t>
      </w:r>
    </w:p>
    <w:tbl>
      <w:tblPr>
        <w:tblStyle w:val="TableGrid"/>
        <w:tblW w:w="0" w:type="auto"/>
        <w:tblLook w:val="04A0" w:firstRow="1" w:lastRow="0" w:firstColumn="1" w:lastColumn="0" w:noHBand="0" w:noVBand="1"/>
      </w:tblPr>
      <w:tblGrid>
        <w:gridCol w:w="1696"/>
        <w:gridCol w:w="1025"/>
        <w:gridCol w:w="1430"/>
        <w:gridCol w:w="1403"/>
        <w:gridCol w:w="1423"/>
        <w:gridCol w:w="1320"/>
        <w:gridCol w:w="1320"/>
      </w:tblGrid>
      <w:tr w:rsidR="006727D7" w14:paraId="1795A5EF" w14:textId="77777777" w:rsidTr="00964831">
        <w:tc>
          <w:tcPr>
            <w:tcW w:w="1696" w:type="dxa"/>
          </w:tcPr>
          <w:p w14:paraId="52FC1CD1" w14:textId="77777777" w:rsidR="006727D7" w:rsidRDefault="006727D7" w:rsidP="00964831">
            <w:pPr>
              <w:ind w:right="-22"/>
              <w:rPr>
                <w:rFonts w:eastAsia="Calibri" w:cs="Times New Roman"/>
                <w:szCs w:val="20"/>
                <w:lang w:val="en-GB"/>
              </w:rPr>
            </w:pPr>
            <w:bookmarkStart w:id="4" w:name="_Hlk521408706"/>
          </w:p>
        </w:tc>
        <w:tc>
          <w:tcPr>
            <w:tcW w:w="2455" w:type="dxa"/>
            <w:gridSpan w:val="2"/>
          </w:tcPr>
          <w:p w14:paraId="2CEA6ACC" w14:textId="77777777" w:rsidR="006727D7" w:rsidRDefault="006727D7" w:rsidP="00964831">
            <w:pPr>
              <w:ind w:right="-22"/>
              <w:rPr>
                <w:rFonts w:eastAsia="Calibri" w:cs="Times New Roman"/>
                <w:szCs w:val="20"/>
                <w:lang w:val="en-GB"/>
              </w:rPr>
            </w:pPr>
            <w:r>
              <w:rPr>
                <w:rFonts w:eastAsia="Calibri" w:cs="Times New Roman"/>
                <w:szCs w:val="20"/>
                <w:lang w:val="en-GB"/>
              </w:rPr>
              <w:t>FR1</w:t>
            </w:r>
          </w:p>
        </w:tc>
        <w:tc>
          <w:tcPr>
            <w:tcW w:w="2826" w:type="dxa"/>
            <w:gridSpan w:val="2"/>
          </w:tcPr>
          <w:p w14:paraId="380FEB07" w14:textId="77777777" w:rsidR="006727D7" w:rsidRDefault="006727D7" w:rsidP="00964831">
            <w:pPr>
              <w:ind w:right="-22"/>
              <w:rPr>
                <w:rFonts w:eastAsia="Calibri" w:cs="Times New Roman"/>
                <w:szCs w:val="20"/>
                <w:lang w:val="en-GB"/>
              </w:rPr>
            </w:pPr>
            <w:r>
              <w:rPr>
                <w:rFonts w:eastAsia="Calibri" w:cs="Times New Roman"/>
                <w:szCs w:val="20"/>
                <w:lang w:val="en-GB"/>
              </w:rPr>
              <w:t>FR2 Main CC</w:t>
            </w:r>
          </w:p>
        </w:tc>
        <w:tc>
          <w:tcPr>
            <w:tcW w:w="2640" w:type="dxa"/>
            <w:gridSpan w:val="2"/>
          </w:tcPr>
          <w:p w14:paraId="55B839FE" w14:textId="77777777" w:rsidR="006727D7" w:rsidRDefault="006727D7" w:rsidP="00964831">
            <w:pPr>
              <w:ind w:right="-22"/>
              <w:rPr>
                <w:rFonts w:eastAsia="Calibri" w:cs="Times New Roman"/>
                <w:szCs w:val="20"/>
                <w:lang w:val="en-GB"/>
              </w:rPr>
            </w:pPr>
            <w:r>
              <w:rPr>
                <w:rFonts w:eastAsia="Calibri" w:cs="Times New Roman"/>
                <w:szCs w:val="20"/>
                <w:lang w:val="en-GB"/>
              </w:rPr>
              <w:t>FR2 other CCs than Main CC</w:t>
            </w:r>
          </w:p>
        </w:tc>
      </w:tr>
      <w:tr w:rsidR="006727D7" w14:paraId="7E7EFD43" w14:textId="77777777" w:rsidTr="00964831">
        <w:tc>
          <w:tcPr>
            <w:tcW w:w="1696" w:type="dxa"/>
          </w:tcPr>
          <w:p w14:paraId="630B8170" w14:textId="77777777" w:rsidR="006727D7" w:rsidRDefault="006727D7" w:rsidP="00964831">
            <w:pPr>
              <w:ind w:right="-22"/>
              <w:rPr>
                <w:rFonts w:eastAsia="Calibri" w:cs="Times New Roman"/>
                <w:szCs w:val="20"/>
                <w:lang w:val="en-GB"/>
              </w:rPr>
            </w:pPr>
          </w:p>
        </w:tc>
        <w:tc>
          <w:tcPr>
            <w:tcW w:w="1025" w:type="dxa"/>
          </w:tcPr>
          <w:p w14:paraId="4B7187B1" w14:textId="77777777" w:rsidR="006727D7" w:rsidRDefault="006727D7" w:rsidP="00964831">
            <w:pPr>
              <w:ind w:right="-22"/>
              <w:rPr>
                <w:rFonts w:eastAsia="Calibri" w:cs="Times New Roman"/>
                <w:szCs w:val="20"/>
                <w:lang w:val="en-GB"/>
              </w:rPr>
            </w:pPr>
            <w:r>
              <w:rPr>
                <w:rFonts w:eastAsia="Calibri" w:cs="Times New Roman"/>
                <w:szCs w:val="20"/>
                <w:lang w:val="en-GB"/>
              </w:rPr>
              <w:t>Cells</w:t>
            </w:r>
          </w:p>
        </w:tc>
        <w:tc>
          <w:tcPr>
            <w:tcW w:w="1430" w:type="dxa"/>
          </w:tcPr>
          <w:p w14:paraId="5D6F819E" w14:textId="77777777" w:rsidR="006727D7" w:rsidRDefault="006727D7" w:rsidP="00964831">
            <w:pPr>
              <w:ind w:right="-22"/>
              <w:rPr>
                <w:rFonts w:eastAsia="Calibri" w:cs="Times New Roman"/>
                <w:szCs w:val="20"/>
                <w:lang w:val="en-GB"/>
              </w:rPr>
            </w:pPr>
            <w:r>
              <w:rPr>
                <w:rFonts w:eastAsia="Calibri" w:cs="Times New Roman"/>
                <w:szCs w:val="20"/>
                <w:lang w:val="en-GB"/>
              </w:rPr>
              <w:t>SSB Beams</w:t>
            </w:r>
          </w:p>
        </w:tc>
        <w:tc>
          <w:tcPr>
            <w:tcW w:w="1403" w:type="dxa"/>
          </w:tcPr>
          <w:p w14:paraId="19CC6EF4" w14:textId="77777777" w:rsidR="006727D7" w:rsidRDefault="006727D7" w:rsidP="00964831">
            <w:pPr>
              <w:ind w:right="-22"/>
              <w:rPr>
                <w:rFonts w:eastAsia="Calibri" w:cs="Times New Roman"/>
                <w:szCs w:val="20"/>
                <w:lang w:val="en-GB"/>
              </w:rPr>
            </w:pPr>
            <w:r>
              <w:rPr>
                <w:rFonts w:eastAsia="Calibri" w:cs="Times New Roman"/>
                <w:szCs w:val="20"/>
                <w:lang w:val="en-GB"/>
              </w:rPr>
              <w:t>Cells</w:t>
            </w:r>
          </w:p>
        </w:tc>
        <w:tc>
          <w:tcPr>
            <w:tcW w:w="1423" w:type="dxa"/>
          </w:tcPr>
          <w:p w14:paraId="52C95756" w14:textId="77777777" w:rsidR="006727D7" w:rsidRDefault="006727D7" w:rsidP="00964831">
            <w:pPr>
              <w:ind w:right="-22"/>
              <w:rPr>
                <w:rFonts w:eastAsia="Calibri" w:cs="Times New Roman"/>
                <w:szCs w:val="20"/>
                <w:lang w:val="en-GB"/>
              </w:rPr>
            </w:pPr>
            <w:r>
              <w:rPr>
                <w:rFonts w:eastAsia="Calibri" w:cs="Times New Roman"/>
                <w:szCs w:val="20"/>
                <w:lang w:val="en-GB"/>
              </w:rPr>
              <w:t>SSB Beams</w:t>
            </w:r>
          </w:p>
        </w:tc>
        <w:tc>
          <w:tcPr>
            <w:tcW w:w="1320" w:type="dxa"/>
          </w:tcPr>
          <w:p w14:paraId="11287023" w14:textId="77777777" w:rsidR="006727D7" w:rsidRDefault="006727D7" w:rsidP="00964831">
            <w:pPr>
              <w:ind w:right="-22"/>
              <w:rPr>
                <w:rFonts w:eastAsia="Calibri" w:cs="Times New Roman"/>
                <w:szCs w:val="20"/>
                <w:lang w:val="en-GB"/>
              </w:rPr>
            </w:pPr>
            <w:r>
              <w:rPr>
                <w:rFonts w:eastAsia="Calibri" w:cs="Times New Roman"/>
                <w:szCs w:val="20"/>
                <w:lang w:val="en-GB"/>
              </w:rPr>
              <w:t>Cells</w:t>
            </w:r>
          </w:p>
        </w:tc>
        <w:tc>
          <w:tcPr>
            <w:tcW w:w="1320" w:type="dxa"/>
          </w:tcPr>
          <w:p w14:paraId="5762A5C9" w14:textId="77777777" w:rsidR="006727D7" w:rsidRDefault="006727D7" w:rsidP="00964831">
            <w:pPr>
              <w:ind w:right="-22"/>
              <w:rPr>
                <w:rFonts w:eastAsia="Calibri" w:cs="Times New Roman"/>
                <w:szCs w:val="20"/>
                <w:lang w:val="en-GB"/>
              </w:rPr>
            </w:pPr>
            <w:r>
              <w:rPr>
                <w:rFonts w:eastAsia="Calibri" w:cs="Times New Roman"/>
                <w:szCs w:val="20"/>
                <w:lang w:val="en-GB"/>
              </w:rPr>
              <w:t>SSB Beams</w:t>
            </w:r>
          </w:p>
        </w:tc>
      </w:tr>
      <w:tr w:rsidR="006727D7" w14:paraId="23BAB594" w14:textId="77777777" w:rsidTr="00964831">
        <w:tc>
          <w:tcPr>
            <w:tcW w:w="1696" w:type="dxa"/>
          </w:tcPr>
          <w:p w14:paraId="68C6ED19" w14:textId="77777777" w:rsidR="006727D7" w:rsidRDefault="006727D7" w:rsidP="00964831">
            <w:pPr>
              <w:ind w:right="-22"/>
              <w:rPr>
                <w:rFonts w:eastAsia="Calibri" w:cs="Times New Roman"/>
                <w:szCs w:val="20"/>
                <w:lang w:val="en-GB"/>
              </w:rPr>
            </w:pPr>
            <w:r>
              <w:rPr>
                <w:rFonts w:eastAsia="Calibri" w:cs="Times New Roman"/>
                <w:szCs w:val="20"/>
                <w:lang w:val="en-GB"/>
              </w:rPr>
              <w:t>Intra-frequency</w:t>
            </w:r>
          </w:p>
        </w:tc>
        <w:tc>
          <w:tcPr>
            <w:tcW w:w="1025" w:type="dxa"/>
          </w:tcPr>
          <w:p w14:paraId="3282B85E" w14:textId="77777777" w:rsidR="006727D7" w:rsidRDefault="006727D7" w:rsidP="00964831">
            <w:pPr>
              <w:ind w:right="-22"/>
              <w:rPr>
                <w:rFonts w:eastAsia="Calibri" w:cs="Times New Roman"/>
                <w:szCs w:val="20"/>
                <w:lang w:val="en-GB"/>
              </w:rPr>
            </w:pPr>
            <w:r>
              <w:rPr>
                <w:rFonts w:eastAsia="Calibri" w:cs="Times New Roman"/>
                <w:szCs w:val="20"/>
                <w:lang w:val="en-GB"/>
              </w:rPr>
              <w:t>8</w:t>
            </w:r>
          </w:p>
        </w:tc>
        <w:tc>
          <w:tcPr>
            <w:tcW w:w="1430" w:type="dxa"/>
          </w:tcPr>
          <w:p w14:paraId="5BE7B148" w14:textId="77777777" w:rsidR="006727D7" w:rsidRDefault="006727D7" w:rsidP="00964831">
            <w:pPr>
              <w:ind w:right="-22"/>
              <w:rPr>
                <w:rFonts w:eastAsia="Calibri" w:cs="Times New Roman"/>
                <w:szCs w:val="20"/>
                <w:lang w:val="en-GB"/>
              </w:rPr>
            </w:pPr>
            <w:r>
              <w:rPr>
                <w:rFonts w:eastAsia="Calibri" w:cs="Times New Roman"/>
                <w:szCs w:val="20"/>
                <w:lang w:val="en-GB"/>
              </w:rPr>
              <w:t>[14]</w:t>
            </w:r>
          </w:p>
        </w:tc>
        <w:tc>
          <w:tcPr>
            <w:tcW w:w="1403" w:type="dxa"/>
          </w:tcPr>
          <w:p w14:paraId="62890DC4" w14:textId="77777777" w:rsidR="006727D7" w:rsidRDefault="006727D7" w:rsidP="00964831">
            <w:pPr>
              <w:ind w:right="-22"/>
              <w:rPr>
                <w:rFonts w:eastAsia="Calibri" w:cs="Times New Roman"/>
                <w:szCs w:val="20"/>
                <w:lang w:val="en-GB"/>
              </w:rPr>
            </w:pPr>
            <w:r>
              <w:rPr>
                <w:rFonts w:eastAsia="Calibri" w:cs="Times New Roman"/>
                <w:szCs w:val="20"/>
                <w:lang w:val="en-GB"/>
              </w:rPr>
              <w:t>[6]</w:t>
            </w:r>
          </w:p>
        </w:tc>
        <w:tc>
          <w:tcPr>
            <w:tcW w:w="1423" w:type="dxa"/>
          </w:tcPr>
          <w:p w14:paraId="3EE206A6" w14:textId="77777777" w:rsidR="006727D7" w:rsidRDefault="006727D7" w:rsidP="00964831">
            <w:pPr>
              <w:ind w:right="-22"/>
              <w:rPr>
                <w:rFonts w:eastAsia="Calibri" w:cs="Times New Roman"/>
                <w:szCs w:val="20"/>
                <w:lang w:val="en-GB"/>
              </w:rPr>
            </w:pPr>
            <w:r>
              <w:rPr>
                <w:rFonts w:eastAsia="Calibri" w:cs="Times New Roman"/>
                <w:szCs w:val="20"/>
                <w:lang w:val="en-GB"/>
              </w:rPr>
              <w:t>[24]</w:t>
            </w:r>
          </w:p>
        </w:tc>
        <w:tc>
          <w:tcPr>
            <w:tcW w:w="1320" w:type="dxa"/>
          </w:tcPr>
          <w:p w14:paraId="0025DE1C" w14:textId="77777777" w:rsidR="006727D7" w:rsidRDefault="006727D7" w:rsidP="00964831">
            <w:pPr>
              <w:ind w:right="-22"/>
              <w:rPr>
                <w:rFonts w:eastAsia="Calibri" w:cs="Times New Roman"/>
                <w:szCs w:val="20"/>
                <w:lang w:val="en-GB"/>
              </w:rPr>
            </w:pPr>
            <w:r>
              <w:rPr>
                <w:rFonts w:eastAsia="Calibri" w:cs="Times New Roman"/>
                <w:szCs w:val="20"/>
                <w:lang w:val="en-GB"/>
              </w:rPr>
              <w:t>1</w:t>
            </w:r>
          </w:p>
        </w:tc>
        <w:tc>
          <w:tcPr>
            <w:tcW w:w="1320" w:type="dxa"/>
          </w:tcPr>
          <w:p w14:paraId="47C67671" w14:textId="77777777" w:rsidR="006727D7" w:rsidRDefault="006727D7" w:rsidP="00964831">
            <w:pPr>
              <w:ind w:right="-22"/>
              <w:rPr>
                <w:rFonts w:eastAsia="Calibri" w:cs="Times New Roman"/>
                <w:szCs w:val="20"/>
                <w:lang w:val="en-GB"/>
              </w:rPr>
            </w:pPr>
            <w:r>
              <w:rPr>
                <w:rFonts w:eastAsia="Calibri" w:cs="Times New Roman"/>
                <w:szCs w:val="20"/>
                <w:lang w:val="en-GB"/>
              </w:rPr>
              <w:t>[1 ~ 4]</w:t>
            </w:r>
          </w:p>
        </w:tc>
      </w:tr>
      <w:tr w:rsidR="006727D7" w14:paraId="7763BB6C" w14:textId="77777777" w:rsidTr="00964831">
        <w:tc>
          <w:tcPr>
            <w:tcW w:w="1696" w:type="dxa"/>
          </w:tcPr>
          <w:p w14:paraId="4CD4BF8A" w14:textId="77777777" w:rsidR="006727D7" w:rsidRDefault="006727D7" w:rsidP="00964831">
            <w:pPr>
              <w:ind w:right="-22"/>
              <w:rPr>
                <w:rFonts w:eastAsia="Calibri" w:cs="Times New Roman"/>
                <w:szCs w:val="20"/>
                <w:lang w:val="en-GB"/>
              </w:rPr>
            </w:pPr>
            <w:r>
              <w:rPr>
                <w:rFonts w:eastAsia="Calibri" w:cs="Times New Roman"/>
                <w:szCs w:val="20"/>
                <w:lang w:val="en-GB"/>
              </w:rPr>
              <w:t>Inter-frequency</w:t>
            </w:r>
          </w:p>
        </w:tc>
        <w:tc>
          <w:tcPr>
            <w:tcW w:w="1025" w:type="dxa"/>
          </w:tcPr>
          <w:p w14:paraId="18C4E3A2" w14:textId="77777777" w:rsidR="006727D7" w:rsidRDefault="006727D7" w:rsidP="00964831">
            <w:pPr>
              <w:ind w:right="-22"/>
              <w:rPr>
                <w:rFonts w:eastAsia="Calibri" w:cs="Times New Roman"/>
                <w:szCs w:val="20"/>
                <w:lang w:val="en-GB"/>
              </w:rPr>
            </w:pPr>
            <w:r>
              <w:rPr>
                <w:rFonts w:eastAsia="Calibri" w:cs="Times New Roman"/>
                <w:szCs w:val="20"/>
                <w:lang w:val="en-GB"/>
              </w:rPr>
              <w:t>4</w:t>
            </w:r>
          </w:p>
        </w:tc>
        <w:tc>
          <w:tcPr>
            <w:tcW w:w="1430" w:type="dxa"/>
          </w:tcPr>
          <w:p w14:paraId="545D70CD" w14:textId="77777777" w:rsidR="006727D7" w:rsidRDefault="006727D7" w:rsidP="00964831">
            <w:pPr>
              <w:ind w:right="-22"/>
              <w:rPr>
                <w:rFonts w:eastAsia="Calibri" w:cs="Times New Roman"/>
                <w:szCs w:val="20"/>
                <w:lang w:val="en-GB"/>
              </w:rPr>
            </w:pPr>
            <w:r>
              <w:rPr>
                <w:rFonts w:eastAsia="Calibri" w:cs="Times New Roman"/>
                <w:szCs w:val="20"/>
                <w:lang w:val="en-GB"/>
              </w:rPr>
              <w:t>[7]</w:t>
            </w:r>
          </w:p>
        </w:tc>
        <w:tc>
          <w:tcPr>
            <w:tcW w:w="1403" w:type="dxa"/>
          </w:tcPr>
          <w:p w14:paraId="1FBD5618" w14:textId="77777777" w:rsidR="006727D7" w:rsidRDefault="006727D7" w:rsidP="00964831">
            <w:pPr>
              <w:ind w:right="-22"/>
              <w:rPr>
                <w:rFonts w:eastAsia="Calibri" w:cs="Times New Roman"/>
                <w:szCs w:val="20"/>
                <w:lang w:val="en-GB"/>
              </w:rPr>
            </w:pPr>
            <w:r>
              <w:rPr>
                <w:rFonts w:eastAsia="Calibri" w:cs="Times New Roman"/>
                <w:szCs w:val="20"/>
                <w:lang w:val="en-GB"/>
              </w:rPr>
              <w:t>4</w:t>
            </w:r>
          </w:p>
        </w:tc>
        <w:tc>
          <w:tcPr>
            <w:tcW w:w="1423" w:type="dxa"/>
          </w:tcPr>
          <w:p w14:paraId="3D9CA698" w14:textId="77777777" w:rsidR="006727D7" w:rsidRDefault="006727D7" w:rsidP="00964831">
            <w:pPr>
              <w:ind w:right="-22"/>
              <w:rPr>
                <w:rFonts w:eastAsia="Calibri" w:cs="Times New Roman"/>
                <w:szCs w:val="20"/>
                <w:lang w:val="en-GB"/>
              </w:rPr>
            </w:pPr>
            <w:r>
              <w:rPr>
                <w:rFonts w:eastAsia="Calibri" w:cs="Times New Roman"/>
                <w:szCs w:val="20"/>
                <w:lang w:val="en-GB"/>
              </w:rPr>
              <w:t>[10]</w:t>
            </w:r>
          </w:p>
        </w:tc>
        <w:tc>
          <w:tcPr>
            <w:tcW w:w="1320" w:type="dxa"/>
          </w:tcPr>
          <w:p w14:paraId="3DAFE0D2" w14:textId="77777777" w:rsidR="006727D7" w:rsidRDefault="006727D7" w:rsidP="00964831">
            <w:pPr>
              <w:ind w:right="-22"/>
              <w:rPr>
                <w:rFonts w:eastAsia="Calibri" w:cs="Times New Roman"/>
                <w:szCs w:val="20"/>
                <w:lang w:val="en-GB"/>
              </w:rPr>
            </w:pPr>
            <w:r>
              <w:rPr>
                <w:rFonts w:eastAsia="Calibri" w:cs="Times New Roman"/>
                <w:szCs w:val="20"/>
                <w:lang w:val="en-GB"/>
              </w:rPr>
              <w:t>N/A</w:t>
            </w:r>
          </w:p>
        </w:tc>
        <w:tc>
          <w:tcPr>
            <w:tcW w:w="1320" w:type="dxa"/>
          </w:tcPr>
          <w:p w14:paraId="1F50BCB2" w14:textId="77777777" w:rsidR="006727D7" w:rsidRDefault="006727D7" w:rsidP="00964831">
            <w:pPr>
              <w:ind w:right="-22"/>
              <w:rPr>
                <w:rFonts w:eastAsia="Calibri" w:cs="Times New Roman"/>
                <w:szCs w:val="20"/>
                <w:lang w:val="en-GB"/>
              </w:rPr>
            </w:pPr>
            <w:r>
              <w:rPr>
                <w:rFonts w:eastAsia="Calibri" w:cs="Times New Roman"/>
                <w:szCs w:val="20"/>
                <w:lang w:val="en-GB"/>
              </w:rPr>
              <w:t>N/A</w:t>
            </w:r>
          </w:p>
        </w:tc>
      </w:tr>
      <w:bookmarkEnd w:id="4"/>
    </w:tbl>
    <w:p w14:paraId="481A185E" w14:textId="77777777" w:rsidR="006727D7" w:rsidRDefault="006727D7" w:rsidP="006727D7">
      <w:pPr>
        <w:ind w:right="-22"/>
        <w:rPr>
          <w:rFonts w:eastAsia="Calibri" w:cs="Times New Roman"/>
          <w:szCs w:val="20"/>
          <w:lang w:val="en-GB"/>
        </w:rPr>
      </w:pPr>
    </w:p>
    <w:p w14:paraId="3C1D6169" w14:textId="77777777" w:rsidR="006727D7" w:rsidRDefault="006727D7" w:rsidP="006727D7">
      <w:pPr>
        <w:ind w:right="-22"/>
        <w:rPr>
          <w:rFonts w:eastAsia="Calibri" w:cs="Times New Roman"/>
          <w:szCs w:val="20"/>
          <w:lang w:val="en-GB"/>
        </w:rPr>
      </w:pPr>
      <w:r>
        <w:rPr>
          <w:rFonts w:eastAsia="Calibri" w:cs="Times New Roman"/>
          <w:szCs w:val="20"/>
          <w:lang w:val="en-GB"/>
        </w:rPr>
        <w:t>Additionally, following was agreed concerning cell detection, SSB detection and measurement periods for FR2 for no DRX:</w:t>
      </w:r>
    </w:p>
    <w:p w14:paraId="4E2EC725" w14:textId="1A021FDE" w:rsidR="006727D7" w:rsidRPr="00DE68EB" w:rsidRDefault="006727D7" w:rsidP="006727D7">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PSS/SSS_sync</w:t>
      </w:r>
      <w:r w:rsidRPr="00E03AD3">
        <w:rPr>
          <w:rFonts w:ascii="Arial" w:hAnsi="Arial"/>
          <w:sz w:val="18"/>
        </w:rPr>
        <w:t>:</w:t>
      </w:r>
      <w:r w:rsidRPr="00E03AD3">
        <w:rPr>
          <w:rFonts w:ascii="Arial" w:hAnsi="Arial"/>
          <w:sz w:val="18"/>
        </w:rPr>
        <w:tab/>
      </w:r>
      <w:r>
        <w:rPr>
          <w:rFonts w:ascii="Arial" w:hAnsi="Arial"/>
          <w:sz w:val="18"/>
        </w:rPr>
        <w:tab/>
      </w:r>
      <w:r w:rsidRPr="00DE68EB">
        <w:rPr>
          <w:rFonts w:ascii="Arial" w:hAnsi="Arial"/>
          <w:sz w:val="18"/>
        </w:rPr>
        <w:t>max[ 600ms, ceil( [5] x Kp</w:t>
      </w:r>
      <w:r w:rsidR="00C7249A" w:rsidRPr="00C7249A">
        <w:t xml:space="preserve"> </w:t>
      </w:r>
      <w:r w:rsidR="00C7249A">
        <w:t>x K</w:t>
      </w:r>
      <w:r w:rsidR="00C7249A">
        <w:rPr>
          <w:vertAlign w:val="subscript"/>
        </w:rPr>
        <w:t>RLM</w:t>
      </w:r>
      <w:r w:rsidRPr="00DE68EB">
        <w:rPr>
          <w:rFonts w:ascii="Arial" w:hAnsi="Arial"/>
          <w:sz w:val="18"/>
        </w:rPr>
        <w:t>) x N1 x SMTC period ]</w:t>
      </w:r>
    </w:p>
    <w:p w14:paraId="10EAE603" w14:textId="6D978FF9" w:rsidR="006727D7" w:rsidRPr="00DE68EB" w:rsidRDefault="006727D7" w:rsidP="006727D7">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 xml:space="preserve"> SSB_measurement_period</w:t>
      </w:r>
      <w:r w:rsidRPr="00E03AD3">
        <w:rPr>
          <w:rFonts w:ascii="Arial" w:hAnsi="Arial"/>
          <w:sz w:val="18"/>
        </w:rPr>
        <w:t>:</w:t>
      </w:r>
      <w:r w:rsidRPr="00E03AD3">
        <w:rPr>
          <w:rFonts w:ascii="Arial" w:hAnsi="Arial"/>
          <w:sz w:val="18"/>
        </w:rPr>
        <w:tab/>
      </w:r>
      <w:r w:rsidRPr="00DE68EB">
        <w:rPr>
          <w:rFonts w:ascii="Arial" w:hAnsi="Arial"/>
          <w:sz w:val="18"/>
        </w:rPr>
        <w:t>max[ 400ms, ceil( 5 x Kp</w:t>
      </w:r>
      <w:r w:rsidR="00C7249A" w:rsidRPr="00C7249A">
        <w:t xml:space="preserve"> </w:t>
      </w:r>
      <w:r w:rsidR="00C7249A">
        <w:t>x K</w:t>
      </w:r>
      <w:r w:rsidR="00C7249A">
        <w:rPr>
          <w:vertAlign w:val="subscript"/>
        </w:rPr>
        <w:t>RLM</w:t>
      </w:r>
      <w:r w:rsidRPr="00DE68EB">
        <w:rPr>
          <w:rFonts w:ascii="Arial" w:hAnsi="Arial"/>
          <w:sz w:val="18"/>
        </w:rPr>
        <w:t>) x N3 x SMTC period ]</w:t>
      </w:r>
    </w:p>
    <w:p w14:paraId="1E86BA90" w14:textId="1717708A" w:rsidR="006727D7" w:rsidRPr="006703BA" w:rsidRDefault="006727D7" w:rsidP="006727D7">
      <w:pPr>
        <w:ind w:right="-22"/>
        <w:rPr>
          <w:rFonts w:eastAsia="Calibri" w:cs="Times New Roman"/>
          <w:szCs w:val="20"/>
          <w:lang w:val="en-GB"/>
        </w:rPr>
      </w:pPr>
      <w:r w:rsidRPr="006703BA">
        <w:rPr>
          <w:rFonts w:eastAsia="Calibri" w:cs="Times New Roman"/>
          <w:szCs w:val="20"/>
          <w:lang w:val="en-GB"/>
        </w:rPr>
        <w:t xml:space="preserve">In earlier meetings we have provided SLS results targeted at helping the decision related to number of cells per carrier the UE would need to be able to monitor [1, 5 and </w:t>
      </w:r>
      <w:r w:rsidRPr="00A90705">
        <w:rPr>
          <w:rFonts w:eastAsia="Calibri" w:cs="Times New Roman"/>
          <w:szCs w:val="20"/>
          <w:lang w:val="en-GB"/>
        </w:rPr>
        <w:t>7549</w:t>
      </w:r>
      <w:r w:rsidRPr="006703BA">
        <w:rPr>
          <w:rFonts w:eastAsia="Calibri" w:cs="Times New Roman"/>
          <w:szCs w:val="20"/>
          <w:lang w:val="en-GB"/>
        </w:rPr>
        <w:t xml:space="preserve">]. Based on these results we </w:t>
      </w:r>
      <w:r w:rsidR="00DE6DE9">
        <w:rPr>
          <w:rFonts w:eastAsia="Calibri" w:cs="Times New Roman"/>
          <w:szCs w:val="20"/>
          <w:lang w:val="en-GB"/>
        </w:rPr>
        <w:t>have earlier concluded</w:t>
      </w:r>
      <w:r w:rsidRPr="006703BA">
        <w:rPr>
          <w:rFonts w:eastAsia="Calibri" w:cs="Times New Roman"/>
          <w:szCs w:val="20"/>
          <w:lang w:val="en-GB"/>
        </w:rPr>
        <w:t xml:space="preserve"> in [2, 5] following for FR2:</w:t>
      </w:r>
    </w:p>
    <w:p w14:paraId="31AFE601" w14:textId="77777777" w:rsidR="006727D7" w:rsidRPr="006703BA" w:rsidRDefault="006727D7" w:rsidP="006727D7">
      <w:pPr>
        <w:ind w:left="720" w:right="-22"/>
        <w:rPr>
          <w:rFonts w:eastAsia="Calibri" w:cs="Times New Roman"/>
          <w:i/>
          <w:szCs w:val="20"/>
        </w:rPr>
      </w:pPr>
      <w:r w:rsidRPr="006703BA">
        <w:rPr>
          <w:rFonts w:eastAsia="Calibri" w:cs="Times New Roman"/>
          <w:i/>
          <w:szCs w:val="20"/>
        </w:rPr>
        <w:t>Proposal 5: Monitoring of 2 beam/SSB per cell in FR2 is not sufficient.</w:t>
      </w:r>
    </w:p>
    <w:p w14:paraId="441776FA" w14:textId="77777777" w:rsidR="006727D7" w:rsidRPr="003A453B" w:rsidRDefault="006727D7" w:rsidP="006727D7">
      <w:pPr>
        <w:ind w:left="720" w:right="-22"/>
        <w:rPr>
          <w:rFonts w:eastAsia="Calibri" w:cs="Times New Roman"/>
          <w:i/>
          <w:szCs w:val="20"/>
        </w:rPr>
      </w:pPr>
      <w:r w:rsidRPr="006703BA">
        <w:rPr>
          <w:rFonts w:eastAsia="Calibri" w:cs="Times New Roman"/>
          <w:i/>
          <w:szCs w:val="20"/>
        </w:rPr>
        <w:t>Proposal 6: The number of beams the UE need to track per cell in FR2 is higher than 2.</w:t>
      </w:r>
    </w:p>
    <w:p w14:paraId="1CBD12C7" w14:textId="4C8A9757" w:rsidR="0038673B" w:rsidRDefault="006727D7" w:rsidP="002C2D19">
      <w:pPr>
        <w:ind w:right="-22"/>
        <w:rPr>
          <w:rFonts w:eastAsia="Calibri" w:cs="Times New Roman"/>
          <w:szCs w:val="20"/>
          <w:lang w:val="en-GB"/>
        </w:rPr>
      </w:pPr>
      <w:r>
        <w:rPr>
          <w:rFonts w:eastAsia="Calibri" w:cs="Times New Roman"/>
          <w:szCs w:val="20"/>
        </w:rPr>
        <w:t xml:space="preserve">Next, we </w:t>
      </w:r>
      <w:r w:rsidR="00C63348">
        <w:rPr>
          <w:rFonts w:eastAsia="Calibri" w:cs="Times New Roman"/>
          <w:szCs w:val="20"/>
        </w:rPr>
        <w:t>discuss further on the number of</w:t>
      </w:r>
      <w:r>
        <w:rPr>
          <w:rFonts w:eastAsia="Calibri" w:cs="Times New Roman"/>
          <w:szCs w:val="20"/>
        </w:rPr>
        <w:t xml:space="preserve"> </w:t>
      </w:r>
      <w:r w:rsidR="00C63348">
        <w:rPr>
          <w:rFonts w:eastAsia="Calibri" w:cs="Times New Roman"/>
          <w:szCs w:val="20"/>
        </w:rPr>
        <w:t xml:space="preserve">SSB based </w:t>
      </w:r>
      <w:r>
        <w:rPr>
          <w:rFonts w:eastAsia="Calibri" w:cs="Times New Roman"/>
          <w:szCs w:val="20"/>
        </w:rPr>
        <w:t>beam</w:t>
      </w:r>
      <w:r w:rsidR="00C63348">
        <w:rPr>
          <w:rFonts w:eastAsia="Calibri" w:cs="Times New Roman"/>
          <w:szCs w:val="20"/>
        </w:rPr>
        <w:t>s the UE should monitor on other intra-band CCs than the main CC</w:t>
      </w:r>
      <w:r>
        <w:rPr>
          <w:rFonts w:eastAsia="Calibri" w:cs="Times New Roman"/>
          <w:szCs w:val="20"/>
        </w:rPr>
        <w:t xml:space="preserve">. We use earlier provided system level </w:t>
      </w:r>
      <w:r w:rsidR="0020562E">
        <w:rPr>
          <w:rFonts w:eastAsia="Calibri" w:cs="Times New Roman"/>
          <w:szCs w:val="20"/>
        </w:rPr>
        <w:t>and in addition new system level and link level results.</w:t>
      </w:r>
    </w:p>
    <w:p w14:paraId="1C8618FD" w14:textId="77777777" w:rsidR="003A453B" w:rsidRPr="008826C1" w:rsidRDefault="003A453B" w:rsidP="003A453B">
      <w:pPr>
        <w:pStyle w:val="Heading2"/>
        <w:rPr>
          <w:lang w:val="en-US"/>
        </w:rPr>
      </w:pPr>
      <w:r>
        <w:rPr>
          <w:lang w:val="en-US"/>
        </w:rPr>
        <w:t>2.1</w:t>
      </w:r>
      <w:r>
        <w:rPr>
          <w:lang w:val="en-US"/>
        </w:rPr>
        <w:tab/>
        <w:t>Simulation setup</w:t>
      </w:r>
    </w:p>
    <w:p w14:paraId="4A9C9D66" w14:textId="77777777" w:rsidR="0020562E" w:rsidRDefault="0020562E" w:rsidP="0020562E">
      <w:pPr>
        <w:ind w:right="-22"/>
        <w:rPr>
          <w:rFonts w:cs="Times New Roman"/>
        </w:rPr>
      </w:pPr>
      <w:r>
        <w:rPr>
          <w:rFonts w:cs="Times New Roman"/>
        </w:rPr>
        <w:t>The simulator is a fully dynamic system simulator in which all the UEs are moving dynamically in a grid of cells with 30 km/h. T</w:t>
      </w:r>
      <w:r w:rsidRPr="00265E30">
        <w:rPr>
          <w:rFonts w:cs="Times New Roman"/>
        </w:rPr>
        <w:t xml:space="preserve">here </w:t>
      </w:r>
      <w:r>
        <w:rPr>
          <w:rFonts w:cs="Times New Roman"/>
        </w:rPr>
        <w:t xml:space="preserve">are </w:t>
      </w:r>
      <w:r w:rsidRPr="00265E30">
        <w:rPr>
          <w:rFonts w:cs="Times New Roman"/>
        </w:rPr>
        <w:t>28 UEs active</w:t>
      </w:r>
      <w:r>
        <w:rPr>
          <w:rFonts w:cs="Times New Roman"/>
        </w:rPr>
        <w:t xml:space="preserve"> at a time with keep alive traffic (one UE per sector). SSB burst periodicities of </w:t>
      </w:r>
      <w:r w:rsidRPr="00EA13A6">
        <w:rPr>
          <w:rFonts w:cs="Times New Roman"/>
        </w:rPr>
        <w:t xml:space="preserve">20ms </w:t>
      </w:r>
      <w:r w:rsidRPr="00EA13A6">
        <w:rPr>
          <w:rFonts w:cs="Times New Roman"/>
        </w:rPr>
        <w:lastRenderedPageBreak/>
        <w:t>or 40ms</w:t>
      </w:r>
      <w:r w:rsidRPr="00565225">
        <w:rPr>
          <w:rFonts w:cs="Times New Roman"/>
        </w:rPr>
        <w:t xml:space="preserve"> have been used which are also used as the UE sampling rate (L1 sampling interval). I.e. the UE measurement rate is </w:t>
      </w:r>
      <w:r w:rsidRPr="00EA13A6">
        <w:rPr>
          <w:rFonts w:cs="Times New Roman"/>
        </w:rPr>
        <w:t>20ms or 40ms</w:t>
      </w:r>
      <w:r w:rsidRPr="00565225">
        <w:rPr>
          <w:rFonts w:cs="Times New Roman"/>
        </w:rPr>
        <w:t xml:space="preserve">. </w:t>
      </w:r>
      <w:r>
        <w:rPr>
          <w:rFonts w:cs="Times New Roman"/>
        </w:rPr>
        <w:t xml:space="preserve">This emulates SMTC periods of </w:t>
      </w:r>
      <w:r w:rsidRPr="00EA13A6">
        <w:rPr>
          <w:rFonts w:cs="Times New Roman"/>
        </w:rPr>
        <w:t>20ms and 40ms</w:t>
      </w:r>
      <w:r>
        <w:rPr>
          <w:rFonts w:cs="Times New Roman"/>
        </w:rPr>
        <w:t xml:space="preserve"> without any measurement restrictions due to performing any other measurements. In the simulations we use</w:t>
      </w:r>
      <w:r w:rsidRPr="00565225">
        <w:rPr>
          <w:rFonts w:cs="Times New Roman"/>
        </w:rPr>
        <w:t xml:space="preserve"> an SSB transmission offset to reduce the interference seen by the UE when performing SSB based measurements.</w:t>
      </w:r>
      <w:r>
        <w:rPr>
          <w:rFonts w:cs="Times New Roman"/>
        </w:rPr>
        <w:t xml:space="preserve"> </w:t>
      </w:r>
      <w:r w:rsidRPr="00565225">
        <w:rPr>
          <w:rFonts w:cs="Times New Roman"/>
        </w:rPr>
        <w:t>More detail</w:t>
      </w:r>
      <w:r>
        <w:rPr>
          <w:rFonts w:cs="Times New Roman"/>
        </w:rPr>
        <w:t>s</w:t>
      </w:r>
      <w:r w:rsidRPr="00565225">
        <w:rPr>
          <w:rFonts w:cs="Times New Roman"/>
        </w:rPr>
        <w:t xml:space="preserve"> </w:t>
      </w:r>
      <w:r>
        <w:rPr>
          <w:rFonts w:cs="Times New Roman"/>
        </w:rPr>
        <w:t xml:space="preserve">related to the simulation </w:t>
      </w:r>
      <w:r w:rsidRPr="00565225">
        <w:rPr>
          <w:rFonts w:cs="Times New Roman"/>
        </w:rPr>
        <w:t>assumptions can be found in Appendix A.</w:t>
      </w:r>
    </w:p>
    <w:p w14:paraId="754F2F90" w14:textId="09FDA6E4" w:rsidR="0020562E" w:rsidRDefault="0020562E" w:rsidP="0020562E">
      <w:pPr>
        <w:ind w:right="-22"/>
        <w:rPr>
          <w:rFonts w:cs="Times New Roman"/>
        </w:rPr>
      </w:pPr>
      <w:r>
        <w:rPr>
          <w:rFonts w:cs="Times New Roman"/>
        </w:rPr>
        <w:t xml:space="preserve">In the simulations </w:t>
      </w:r>
      <w:r w:rsidRPr="00565225">
        <w:rPr>
          <w:rFonts w:cs="Times New Roman"/>
        </w:rPr>
        <w:t xml:space="preserve">L1 measurement filter of </w:t>
      </w:r>
      <w:r>
        <w:rPr>
          <w:rFonts w:cs="Times New Roman"/>
        </w:rPr>
        <w:t>5</w:t>
      </w:r>
      <w:r w:rsidRPr="00565225">
        <w:rPr>
          <w:rFonts w:cs="Times New Roman"/>
        </w:rPr>
        <w:t xml:space="preserve"> samples</w:t>
      </w:r>
      <w:r>
        <w:rPr>
          <w:rFonts w:cs="Times New Roman"/>
        </w:rPr>
        <w:t xml:space="preserve"> is used. For inter-cell mobility (between cells), the modeling of measurement report, handover command and handover complete transmissions are error-free and there is no radio link monitoring active. Measurement reporting to handover command delay (handover preparation delay) is included in the simulation and modeled as a static 50ms delay. Additionally, the handover command to handover complete delay is modeled using a latency of 20ms. </w:t>
      </w:r>
    </w:p>
    <w:p w14:paraId="79E09B86" w14:textId="77777777" w:rsidR="0020562E" w:rsidRDefault="0020562E" w:rsidP="0020562E">
      <w:pPr>
        <w:ind w:right="-22"/>
        <w:rPr>
          <w:rFonts w:cs="Times New Roman"/>
        </w:rPr>
      </w:pPr>
    </w:p>
    <w:p w14:paraId="38BB5965" w14:textId="74B9DA9B" w:rsidR="0020562E" w:rsidRDefault="0020562E" w:rsidP="0020562E">
      <w:pPr>
        <w:ind w:right="-22"/>
        <w:rPr>
          <w:rFonts w:cs="Times New Roman"/>
        </w:rPr>
      </w:pPr>
      <w:r>
        <w:rPr>
          <w:rFonts w:cs="Times New Roman"/>
        </w:rPr>
        <w:t xml:space="preserve">For intra-cell inter-beam </w:t>
      </w:r>
      <w:r w:rsidR="00035CC1">
        <w:rPr>
          <w:rFonts w:cs="Times New Roman"/>
        </w:rPr>
        <w:t>management</w:t>
      </w:r>
      <w:r>
        <w:rPr>
          <w:rFonts w:cs="Times New Roman"/>
        </w:rPr>
        <w:t>, i.e. beam change, the beam detection delay is 400ms and no Index reading latency is assumed. Cell change, or normal inter-cell mobility, is done using handover procedure, including a cell detection delay (600ms), measurement delay (400ms), measurement reporting to handover command delay (50ms), and handover command to handover complete delay (20ms).</w:t>
      </w:r>
    </w:p>
    <w:p w14:paraId="066138F5" w14:textId="190464B9" w:rsidR="0020562E" w:rsidRDefault="0020562E" w:rsidP="0020562E">
      <w:pPr>
        <w:ind w:right="-22"/>
        <w:rPr>
          <w:rFonts w:cs="Times New Roman"/>
        </w:rPr>
      </w:pPr>
      <w:r>
        <w:rPr>
          <w:rFonts w:cs="Times New Roman"/>
        </w:rPr>
        <w:t xml:space="preserve">In the simulations an intra-cell beam change is performed without delay (except from the beam measurement delay). An inter-cell beam change is done by handover procedure accounting all the handover delays described. </w:t>
      </w:r>
    </w:p>
    <w:p w14:paraId="7226FB63" w14:textId="77777777" w:rsidR="00F376BF" w:rsidRDefault="00F376BF" w:rsidP="00F376BF">
      <w:pPr>
        <w:ind w:right="-22"/>
        <w:rPr>
          <w:rFonts w:cs="Times New Roman"/>
        </w:rPr>
      </w:pPr>
      <w:r>
        <w:rPr>
          <w:rFonts w:cs="Times New Roman"/>
        </w:rPr>
        <w:t>The simulations are based on the baseline simulation assumptions as agreed in [</w:t>
      </w:r>
      <w:r w:rsidR="005C1EAE">
        <w:rPr>
          <w:rFonts w:cs="Times New Roman"/>
        </w:rPr>
        <w:t>3</w:t>
      </w:r>
      <w:r>
        <w:rPr>
          <w:rFonts w:cs="Times New Roman"/>
        </w:rPr>
        <w:t>] changing the necessary parameters to apply cell and SSB settings according to [</w:t>
      </w:r>
      <w:r w:rsidR="005C1EAE">
        <w:rPr>
          <w:rFonts w:cs="Times New Roman"/>
        </w:rPr>
        <w:t>4</w:t>
      </w:r>
      <w:r>
        <w:rPr>
          <w:rFonts w:cs="Times New Roman"/>
        </w:rPr>
        <w:t>]. The network layout is illustrated in figure 1.</w:t>
      </w:r>
    </w:p>
    <w:p w14:paraId="5C86EBEA" w14:textId="77777777" w:rsidR="00F376BF" w:rsidRDefault="00F376BF" w:rsidP="00F376BF">
      <w:pPr>
        <w:keepNext/>
        <w:ind w:right="-22"/>
        <w:jc w:val="center"/>
      </w:pPr>
      <w:r w:rsidRPr="0077072A">
        <w:rPr>
          <w:rFonts w:cs="Times New Roman"/>
          <w:noProof/>
        </w:rPr>
        <w:drawing>
          <wp:inline distT="0" distB="0" distL="0" distR="0" wp14:anchorId="46E2A7E6" wp14:editId="004FF115">
            <wp:extent cx="3574908" cy="3664421"/>
            <wp:effectExtent l="0" t="0" r="6985" b="0"/>
            <wp:docPr id="8" name="Picture 7">
              <a:extLst xmlns:a="http://schemas.openxmlformats.org/drawingml/2006/main">
                <a:ext uri="{FF2B5EF4-FFF2-40B4-BE49-F238E27FC236}">
                  <a16:creationId xmlns:a16="http://schemas.microsoft.com/office/drawing/2014/main" id="{FEB0C020-97EA-4E96-BE37-B1171838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B0C020-97EA-4E96-BE37-B11718387C25}"/>
                        </a:ext>
                      </a:extLst>
                    </pic:cNvPr>
                    <pic:cNvPicPr>
                      <a:picLocks noChangeAspect="1"/>
                    </pic:cNvPicPr>
                  </pic:nvPicPr>
                  <pic:blipFill>
                    <a:blip r:embed="rId8"/>
                    <a:stretch>
                      <a:fillRect/>
                    </a:stretch>
                  </pic:blipFill>
                  <pic:spPr>
                    <a:xfrm>
                      <a:off x="0" y="0"/>
                      <a:ext cx="3574908" cy="3664421"/>
                    </a:xfrm>
                    <a:prstGeom prst="rect">
                      <a:avLst/>
                    </a:prstGeom>
                  </pic:spPr>
                </pic:pic>
              </a:graphicData>
            </a:graphic>
          </wp:inline>
        </w:drawing>
      </w:r>
    </w:p>
    <w:p w14:paraId="3F156007" w14:textId="77777777" w:rsidR="00F376BF" w:rsidRDefault="00F376BF" w:rsidP="00F376BF">
      <w:pPr>
        <w:pStyle w:val="Caption"/>
      </w:pPr>
      <w:r>
        <w:t xml:space="preserve">Figure </w:t>
      </w:r>
      <w:fldSimple w:instr=" SEQ Figure \* ARABIC ">
        <w:r w:rsidR="00D64825">
          <w:rPr>
            <w:noProof/>
          </w:rPr>
          <w:t>1</w:t>
        </w:r>
      </w:fldSimple>
      <w:r>
        <w:t xml:space="preserve"> </w:t>
      </w:r>
      <w:r w:rsidRPr="006B59CF">
        <w:t>Illustration of the network layout used in the simulation.</w:t>
      </w:r>
    </w:p>
    <w:p w14:paraId="30DFEF1A" w14:textId="5898BCC9" w:rsidR="0020562E" w:rsidRDefault="0020562E" w:rsidP="0020562E">
      <w:pPr>
        <w:ind w:right="-22"/>
        <w:rPr>
          <w:rFonts w:cs="Times New Roman"/>
        </w:rPr>
      </w:pPr>
      <w:r>
        <w:rPr>
          <w:rFonts w:cs="Times New Roman"/>
        </w:rPr>
        <w:t>We have used an Urban Macro layout with 7x</w:t>
      </w:r>
      <w:r w:rsidRPr="0077072A">
        <w:rPr>
          <w:rFonts w:cs="Times New Roman"/>
        </w:rPr>
        <w:t>4-sector sites,</w:t>
      </w:r>
      <w:r>
        <w:rPr>
          <w:rFonts w:cs="Times New Roman"/>
        </w:rPr>
        <w:t xml:space="preserve"> </w:t>
      </w:r>
      <w:r w:rsidRPr="0077072A">
        <w:rPr>
          <w:rFonts w:cs="Times New Roman"/>
        </w:rPr>
        <w:t>28 sectors total</w:t>
      </w:r>
      <w:r>
        <w:rPr>
          <w:rFonts w:cs="Times New Roman"/>
        </w:rPr>
        <w:t xml:space="preserve"> and 200ms ISD. In the simulation setup we have used a realistic deployment setup accounting the necessary DL beam gain to ensure </w:t>
      </w:r>
      <w:r w:rsidR="001D09F0">
        <w:rPr>
          <w:rFonts w:cs="Times New Roman"/>
        </w:rPr>
        <w:t xml:space="preserve">the necessary </w:t>
      </w:r>
      <w:r>
        <w:rPr>
          <w:rFonts w:cs="Times New Roman"/>
        </w:rPr>
        <w:t xml:space="preserve">cell coverage. Additionally, the simulation setup is accounting the limitation that there can be no more than 64 SSB based beams per cell. </w:t>
      </w:r>
    </w:p>
    <w:p w14:paraId="19E49163" w14:textId="77777777" w:rsidR="0020562E" w:rsidRDefault="0020562E" w:rsidP="0020562E">
      <w:pPr>
        <w:ind w:right="-22"/>
        <w:rPr>
          <w:rFonts w:cs="Times New Roman"/>
        </w:rPr>
      </w:pPr>
      <w:r>
        <w:rPr>
          <w:rFonts w:cs="Times New Roman"/>
        </w:rPr>
        <w:t xml:space="preserve">Accounting these aspects, the sector aperture in the simulations is 90 degrees. The results are based on using 48 SSBs per cell in 3 elevations. Note: the hexagonal grid is only for illustrative purposes and have no real meaning. </w:t>
      </w:r>
    </w:p>
    <w:p w14:paraId="0D60F0DC" w14:textId="77777777" w:rsidR="00020B5D" w:rsidRDefault="00020B5D" w:rsidP="00F376BF">
      <w:pPr>
        <w:ind w:right="-22"/>
        <w:rPr>
          <w:rFonts w:cs="Times New Roman"/>
        </w:rPr>
      </w:pPr>
    </w:p>
    <w:p w14:paraId="5B04ED14" w14:textId="61A98044" w:rsidR="00FE2F3E" w:rsidRPr="00755CFD" w:rsidRDefault="00755CFD" w:rsidP="00755CFD">
      <w:pPr>
        <w:pStyle w:val="Heading2"/>
        <w:rPr>
          <w:lang w:val="en-US"/>
        </w:rPr>
      </w:pPr>
      <w:r>
        <w:rPr>
          <w:lang w:val="en-US"/>
        </w:rPr>
        <w:lastRenderedPageBreak/>
        <w:t>2.2</w:t>
      </w:r>
      <w:r>
        <w:rPr>
          <w:lang w:val="en-US"/>
        </w:rPr>
        <w:tab/>
        <w:t xml:space="preserve">Simulation </w:t>
      </w:r>
      <w:r w:rsidR="0020562E">
        <w:rPr>
          <w:lang w:val="en-US"/>
        </w:rPr>
        <w:t>Results</w:t>
      </w:r>
    </w:p>
    <w:p w14:paraId="7F8FF05A" w14:textId="2FBC8DA5" w:rsidR="00FE1229" w:rsidRDefault="00334DDD">
      <w:pPr>
        <w:ind w:right="-22"/>
        <w:rPr>
          <w:rFonts w:cs="Times New Roman"/>
        </w:rPr>
      </w:pPr>
      <w:r>
        <w:rPr>
          <w:rFonts w:cs="Times New Roman"/>
        </w:rPr>
        <w:t xml:space="preserve">In </w:t>
      </w:r>
      <w:r w:rsidR="00EC4C28">
        <w:rPr>
          <w:rFonts w:cs="Times New Roman"/>
        </w:rPr>
        <w:t xml:space="preserve">former </w:t>
      </w:r>
      <w:r>
        <w:rPr>
          <w:rFonts w:cs="Times New Roman"/>
        </w:rPr>
        <w:t>meeting</w:t>
      </w:r>
      <w:r w:rsidR="00EC4C28">
        <w:rPr>
          <w:rFonts w:cs="Times New Roman"/>
        </w:rPr>
        <w:t>s</w:t>
      </w:r>
      <w:r>
        <w:rPr>
          <w:rFonts w:cs="Times New Roman"/>
        </w:rPr>
        <w:t xml:space="preserve"> we</w:t>
      </w:r>
      <w:r w:rsidR="009F66CC">
        <w:rPr>
          <w:rFonts w:cs="Times New Roman"/>
        </w:rPr>
        <w:t xml:space="preserve"> </w:t>
      </w:r>
      <w:r w:rsidR="00EC4C28">
        <w:rPr>
          <w:rFonts w:cs="Times New Roman"/>
        </w:rPr>
        <w:t xml:space="preserve">have </w:t>
      </w:r>
      <w:r w:rsidR="009F66CC">
        <w:rPr>
          <w:rFonts w:cs="Times New Roman"/>
        </w:rPr>
        <w:t>analyze</w:t>
      </w:r>
      <w:r>
        <w:rPr>
          <w:rFonts w:cs="Times New Roman"/>
        </w:rPr>
        <w:t>d</w:t>
      </w:r>
      <w:r w:rsidR="009F66CC">
        <w:rPr>
          <w:rFonts w:cs="Times New Roman"/>
        </w:rPr>
        <w:t xml:space="preserve"> the impact of cell detection delay and measurement interval and how this affects the UEs ability to track the strongest SSB based beam. </w:t>
      </w:r>
      <w:r w:rsidR="00FA079A">
        <w:rPr>
          <w:rFonts w:cs="Times New Roman"/>
        </w:rPr>
        <w:t xml:space="preserve">RAN4 </w:t>
      </w:r>
      <w:r w:rsidR="00EC4C28">
        <w:rPr>
          <w:rFonts w:cs="Times New Roman"/>
        </w:rPr>
        <w:t xml:space="preserve">has </w:t>
      </w:r>
      <w:r w:rsidR="00FA079A">
        <w:rPr>
          <w:rFonts w:cs="Times New Roman"/>
        </w:rPr>
        <w:t xml:space="preserve">decided that </w:t>
      </w:r>
      <w:r w:rsidR="00EC4C28">
        <w:rPr>
          <w:rFonts w:cs="Times New Roman"/>
        </w:rPr>
        <w:t xml:space="preserve">the </w:t>
      </w:r>
      <w:r w:rsidR="00FA079A">
        <w:rPr>
          <w:rFonts w:cs="Times New Roman"/>
        </w:rPr>
        <w:t>measurement period for FR2 is 400ms. Additionally,</w:t>
      </w:r>
      <w:r w:rsidR="009F66CC">
        <w:rPr>
          <w:rFonts w:cs="Times New Roman"/>
        </w:rPr>
        <w:t xml:space="preserve"> </w:t>
      </w:r>
      <w:r w:rsidR="00EC4C28">
        <w:rPr>
          <w:rFonts w:cs="Times New Roman"/>
        </w:rPr>
        <w:t>there</w:t>
      </w:r>
      <w:r w:rsidR="009F66CC">
        <w:rPr>
          <w:rFonts w:cs="Times New Roman"/>
        </w:rPr>
        <w:t xml:space="preserve"> is a need to apply certain relaxations to the UE measurement requirements in FR2</w:t>
      </w:r>
      <w:r w:rsidR="00FA079A">
        <w:rPr>
          <w:rFonts w:cs="Times New Roman"/>
        </w:rPr>
        <w:t xml:space="preserve"> due to UE Rx beam forming</w:t>
      </w:r>
      <w:r w:rsidR="009F66CC">
        <w:rPr>
          <w:rFonts w:cs="Times New Roman"/>
        </w:rPr>
        <w:t xml:space="preserve">. </w:t>
      </w:r>
    </w:p>
    <w:p w14:paraId="566573B3" w14:textId="04787D3F" w:rsidR="007D383A" w:rsidRPr="002D4C55" w:rsidRDefault="007D383A" w:rsidP="007D383A">
      <w:pPr>
        <w:ind w:right="-22"/>
        <w:rPr>
          <w:rFonts w:cs="Times New Roman"/>
        </w:rPr>
      </w:pPr>
      <w:r w:rsidRPr="002D4C55">
        <w:rPr>
          <w:sz w:val="24"/>
        </w:rPr>
        <w:t>2.</w:t>
      </w:r>
      <w:r w:rsidR="00381CA7">
        <w:rPr>
          <w:sz w:val="24"/>
        </w:rPr>
        <w:t>2</w:t>
      </w:r>
      <w:r w:rsidRPr="002D4C55">
        <w:rPr>
          <w:sz w:val="24"/>
        </w:rPr>
        <w:t>.</w:t>
      </w:r>
      <w:r w:rsidR="00381CA7">
        <w:rPr>
          <w:sz w:val="24"/>
        </w:rPr>
        <w:t>1</w:t>
      </w:r>
      <w:r>
        <w:rPr>
          <w:sz w:val="24"/>
        </w:rPr>
        <w:tab/>
      </w:r>
      <w:r w:rsidR="00381CA7">
        <w:rPr>
          <w:sz w:val="24"/>
        </w:rPr>
        <w:t>Simulation Metric</w:t>
      </w:r>
    </w:p>
    <w:p w14:paraId="53822B71" w14:textId="19F1D1D5" w:rsidR="008471A6" w:rsidRDefault="007D383A" w:rsidP="00F376BF">
      <w:pPr>
        <w:ind w:right="-22"/>
        <w:rPr>
          <w:rFonts w:cs="Times New Roman"/>
        </w:rPr>
      </w:pPr>
      <w:r>
        <w:rPr>
          <w:rFonts w:cs="Times New Roman"/>
        </w:rPr>
        <w:t>T</w:t>
      </w:r>
      <w:r w:rsidR="008D7903">
        <w:rPr>
          <w:rFonts w:cs="Times New Roman"/>
        </w:rPr>
        <w:t xml:space="preserve">o analyze the </w:t>
      </w:r>
      <w:r>
        <w:rPr>
          <w:rFonts w:cs="Times New Roman"/>
        </w:rPr>
        <w:t>number of beams the UE should monitor per additional intra-band CC we have looked at</w:t>
      </w:r>
      <w:r w:rsidR="008D7903">
        <w:rPr>
          <w:rFonts w:cs="Times New Roman"/>
        </w:rPr>
        <w:t xml:space="preserve"> the UE ability to track </w:t>
      </w:r>
      <w:r>
        <w:rPr>
          <w:rFonts w:cs="Times New Roman"/>
        </w:rPr>
        <w:t xml:space="preserve">beams </w:t>
      </w:r>
      <w:r w:rsidR="008D7903">
        <w:rPr>
          <w:rFonts w:cs="Times New Roman"/>
        </w:rPr>
        <w:t>to ensure that UE is not camped on a beam which is much worse that another beam, we look at following metric:</w:t>
      </w:r>
    </w:p>
    <w:p w14:paraId="1FBC9F0E" w14:textId="77777777" w:rsidR="005727CF" w:rsidRDefault="005727CF" w:rsidP="008D7903">
      <w:pPr>
        <w:pStyle w:val="ListParagraph"/>
        <w:numPr>
          <w:ilvl w:val="0"/>
          <w:numId w:val="16"/>
        </w:numPr>
        <w:ind w:right="-22"/>
        <w:rPr>
          <w:rFonts w:cs="Times New Roman"/>
        </w:rPr>
      </w:pPr>
      <w:bookmarkStart w:id="5" w:name="_Hlk510645372"/>
      <w:r>
        <w:rPr>
          <w:rFonts w:cs="Times New Roman"/>
        </w:rPr>
        <w:t>SS-RSRP differences between the serving SS beam and Nth best tracked beam</w:t>
      </w:r>
      <w:bookmarkEnd w:id="5"/>
      <w:r>
        <w:rPr>
          <w:rFonts w:cs="Times New Roman"/>
        </w:rPr>
        <w:t>.</w:t>
      </w:r>
    </w:p>
    <w:p w14:paraId="74064247" w14:textId="77777777" w:rsidR="008471A6" w:rsidRDefault="008471A6" w:rsidP="00F376BF">
      <w:pPr>
        <w:ind w:right="-22"/>
        <w:rPr>
          <w:rFonts w:cs="Times New Roman"/>
        </w:rPr>
      </w:pPr>
    </w:p>
    <w:p w14:paraId="61451C55" w14:textId="14684448" w:rsidR="005727CF" w:rsidRPr="002D4C55" w:rsidRDefault="005727CF" w:rsidP="005727CF">
      <w:pPr>
        <w:ind w:right="-22"/>
        <w:rPr>
          <w:rFonts w:cs="Times New Roman"/>
        </w:rPr>
      </w:pPr>
      <w:r w:rsidRPr="002D4C55">
        <w:rPr>
          <w:sz w:val="24"/>
        </w:rPr>
        <w:t>2.</w:t>
      </w:r>
      <w:r w:rsidR="00381CA7">
        <w:rPr>
          <w:sz w:val="24"/>
        </w:rPr>
        <w:t>2</w:t>
      </w:r>
      <w:r w:rsidRPr="002D4C55">
        <w:rPr>
          <w:sz w:val="24"/>
        </w:rPr>
        <w:t>.</w:t>
      </w:r>
      <w:r w:rsidR="00381CA7">
        <w:rPr>
          <w:sz w:val="24"/>
        </w:rPr>
        <w:t>2</w:t>
      </w:r>
      <w:r>
        <w:rPr>
          <w:sz w:val="24"/>
        </w:rPr>
        <w:tab/>
      </w:r>
      <w:r w:rsidRPr="005727CF">
        <w:rPr>
          <w:sz w:val="24"/>
        </w:rPr>
        <w:t>SS-RSRP differences between the serving SS beam and Nth best tracked beam</w:t>
      </w:r>
    </w:p>
    <w:p w14:paraId="2BF68993" w14:textId="6F92BB65" w:rsidR="00EC4C28" w:rsidRDefault="00EC4C28" w:rsidP="00F376BF">
      <w:pPr>
        <w:ind w:right="-22"/>
        <w:rPr>
          <w:rFonts w:cs="Times New Roman"/>
        </w:rPr>
      </w:pPr>
      <w:r>
        <w:rPr>
          <w:rFonts w:cs="Times New Roman"/>
        </w:rPr>
        <w:t>W</w:t>
      </w:r>
      <w:r w:rsidR="00D270BF">
        <w:rPr>
          <w:rFonts w:cs="Times New Roman"/>
        </w:rPr>
        <w:t>e look at the SS-RSRP difference between the serving SS beam and the Nth best tracked beam</w:t>
      </w:r>
      <w:r>
        <w:rPr>
          <w:rFonts w:cs="Times New Roman"/>
        </w:rPr>
        <w:t xml:space="preserve"> in two scenarios: </w:t>
      </w:r>
    </w:p>
    <w:p w14:paraId="2064CB4E" w14:textId="13C5B131" w:rsidR="00EC4C28" w:rsidRDefault="00EC4C28" w:rsidP="00A90705">
      <w:pPr>
        <w:pStyle w:val="ListParagraph"/>
        <w:numPr>
          <w:ilvl w:val="0"/>
          <w:numId w:val="23"/>
        </w:numPr>
        <w:ind w:right="-22"/>
        <w:rPr>
          <w:rFonts w:cs="Times New Roman"/>
        </w:rPr>
      </w:pPr>
      <w:r>
        <w:rPr>
          <w:rFonts w:cs="Times New Roman"/>
        </w:rPr>
        <w:t>UE monitor</w:t>
      </w:r>
      <w:r w:rsidRPr="00EC4C28">
        <w:rPr>
          <w:rFonts w:cs="Times New Roman"/>
        </w:rPr>
        <w:t xml:space="preserve"> 1 S</w:t>
      </w:r>
      <w:r>
        <w:rPr>
          <w:rFonts w:cs="Times New Roman"/>
        </w:rPr>
        <w:t>SB in addition to serving, and</w:t>
      </w:r>
    </w:p>
    <w:p w14:paraId="5504DE09" w14:textId="6B2C0454" w:rsidR="00EC4C28" w:rsidRDefault="00EC4C28" w:rsidP="00A90705">
      <w:pPr>
        <w:pStyle w:val="ListParagraph"/>
        <w:numPr>
          <w:ilvl w:val="0"/>
          <w:numId w:val="23"/>
        </w:numPr>
        <w:ind w:right="-22"/>
        <w:rPr>
          <w:rFonts w:cs="Times New Roman"/>
        </w:rPr>
      </w:pPr>
      <w:r>
        <w:rPr>
          <w:rFonts w:cs="Times New Roman"/>
        </w:rPr>
        <w:t>UE monitor 4 SSBs in addition to serving</w:t>
      </w:r>
    </w:p>
    <w:p w14:paraId="335CC1BF" w14:textId="3992EFC3" w:rsidR="005727CF" w:rsidRPr="00EC4C28" w:rsidRDefault="00D270BF" w:rsidP="00EC4C28">
      <w:pPr>
        <w:ind w:right="-22"/>
        <w:rPr>
          <w:rFonts w:cs="Times New Roman"/>
        </w:rPr>
      </w:pPr>
      <w:r w:rsidRPr="00EC4C28">
        <w:rPr>
          <w:rFonts w:cs="Times New Roman"/>
        </w:rPr>
        <w:t>The results illustrated is the SS-RSRP</w:t>
      </w:r>
      <w:r w:rsidR="00F06A44" w:rsidRPr="00EC4C28">
        <w:rPr>
          <w:rFonts w:cs="Times New Roman"/>
        </w:rPr>
        <w:t>(serving) – SS-RSRP(Nth beam). I.e. if the difference becomes negative it would mean that the Nth tracked beam is better than serving.</w:t>
      </w:r>
    </w:p>
    <w:p w14:paraId="6B1FE6C3" w14:textId="5FBC8C47" w:rsidR="00F06A44" w:rsidRDefault="00F06A44" w:rsidP="00F376BF">
      <w:pPr>
        <w:ind w:right="-22"/>
        <w:rPr>
          <w:rFonts w:cs="Times New Roman"/>
          <w:lang w:val="en-GB"/>
        </w:rPr>
      </w:pPr>
      <w:r>
        <w:rPr>
          <w:rFonts w:cs="Times New Roman"/>
          <w:lang w:val="en-GB"/>
        </w:rPr>
        <w:t xml:space="preserve">Next results </w:t>
      </w:r>
      <w:r w:rsidR="00587773">
        <w:rPr>
          <w:rFonts w:cs="Times New Roman"/>
          <w:lang w:val="en-GB"/>
        </w:rPr>
        <w:t>illustrate</w:t>
      </w:r>
      <w:r>
        <w:rPr>
          <w:rFonts w:cs="Times New Roman"/>
          <w:lang w:val="en-GB"/>
        </w:rPr>
        <w:t xml:space="preserve"> the effect from tracking a different number of beams</w:t>
      </w:r>
      <w:r w:rsidR="005E67B5">
        <w:rPr>
          <w:rFonts w:cs="Times New Roman"/>
          <w:lang w:val="en-GB"/>
        </w:rPr>
        <w:t xml:space="preserve"> on a carrier</w:t>
      </w:r>
      <w:r>
        <w:rPr>
          <w:rFonts w:cs="Times New Roman"/>
          <w:lang w:val="en-GB"/>
        </w:rPr>
        <w:t>.</w:t>
      </w:r>
      <w:r w:rsidR="001F0E4E">
        <w:rPr>
          <w:rFonts w:cs="Times New Roman"/>
          <w:lang w:val="en-GB"/>
        </w:rPr>
        <w:t xml:space="preserve"> Of interest is to analyse if there are big differences in the SS-RSRP of the serving and Nth tracked beam as this should not happen.</w:t>
      </w:r>
      <w:r w:rsidR="007A6FB5">
        <w:rPr>
          <w:rFonts w:cs="Times New Roman"/>
          <w:lang w:val="en-GB"/>
        </w:rPr>
        <w:t xml:space="preserve"> In these results we keep the measurement interval fixed at 40ms.</w:t>
      </w:r>
    </w:p>
    <w:p w14:paraId="41E4B68F" w14:textId="5F5E7C06" w:rsidR="00D64825" w:rsidRDefault="00D64825" w:rsidP="009C146D">
      <w:pPr>
        <w:ind w:right="-22"/>
        <w:rPr>
          <w:rFonts w:cs="Times New Roman"/>
          <w:lang w:val="en-GB"/>
        </w:rPr>
      </w:pPr>
    </w:p>
    <w:p w14:paraId="7E3C5F31" w14:textId="77777777" w:rsidR="00D64825" w:rsidRDefault="00D64825" w:rsidP="009C146D">
      <w:pPr>
        <w:ind w:right="-22"/>
        <w:rPr>
          <w:rFonts w:cs="Times New Roman"/>
          <w:lang w:val="en-GB"/>
        </w:rPr>
      </w:pPr>
      <w:r w:rsidRPr="00D64825">
        <w:rPr>
          <w:noProof/>
        </w:rPr>
        <w:drawing>
          <wp:inline distT="0" distB="0" distL="0" distR="0" wp14:anchorId="00707270" wp14:editId="74E2DF7E">
            <wp:extent cx="6113145" cy="32507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6D1CD36F" w14:textId="0AB6DD22" w:rsidR="007E5CD8" w:rsidRDefault="008B0E7A" w:rsidP="009C146D">
      <w:pPr>
        <w:ind w:right="-22"/>
        <w:rPr>
          <w:rFonts w:cs="Times New Roman"/>
          <w:lang w:val="en-GB"/>
        </w:rPr>
      </w:pPr>
      <w:r>
        <w:rPr>
          <w:rFonts w:cs="Times New Roman"/>
          <w:lang w:val="en-GB"/>
        </w:rPr>
        <w:t xml:space="preserve">From the results, </w:t>
      </w:r>
      <w:r w:rsidR="007E5CD8">
        <w:rPr>
          <w:rFonts w:cs="Times New Roman"/>
          <w:lang w:val="en-GB"/>
        </w:rPr>
        <w:t xml:space="preserve">we </w:t>
      </w:r>
      <w:r w:rsidR="003101FE">
        <w:rPr>
          <w:rFonts w:cs="Times New Roman"/>
          <w:lang w:val="en-GB"/>
        </w:rPr>
        <w:t>see</w:t>
      </w:r>
      <w:r w:rsidR="00E67562">
        <w:rPr>
          <w:rFonts w:cs="Times New Roman"/>
          <w:lang w:val="en-GB"/>
        </w:rPr>
        <w:t xml:space="preserve"> </w:t>
      </w:r>
      <w:r w:rsidR="009C146D">
        <w:rPr>
          <w:rFonts w:cs="Times New Roman"/>
          <w:lang w:val="en-GB"/>
        </w:rPr>
        <w:t>that w</w:t>
      </w:r>
      <w:r w:rsidR="009C146D" w:rsidRPr="009C146D">
        <w:rPr>
          <w:rFonts w:cs="Times New Roman"/>
          <w:lang w:val="en-GB"/>
        </w:rPr>
        <w:t>hen only one beam per cell is tracked, there is typically the largest difference between serving beam and other beams</w:t>
      </w:r>
      <w:r w:rsidR="009C146D">
        <w:rPr>
          <w:rFonts w:cs="Times New Roman"/>
          <w:lang w:val="en-GB"/>
        </w:rPr>
        <w:t>.</w:t>
      </w:r>
      <w:r w:rsidR="009C146D" w:rsidRPr="009C146D">
        <w:rPr>
          <w:rFonts w:cs="Times New Roman"/>
          <w:lang w:val="en-GB"/>
        </w:rPr>
        <w:t xml:space="preserve"> </w:t>
      </w:r>
      <w:r w:rsidR="009C146D">
        <w:rPr>
          <w:rFonts w:cs="Times New Roman"/>
          <w:lang w:val="en-GB"/>
        </w:rPr>
        <w:t>This means that</w:t>
      </w:r>
      <w:r w:rsidR="009C146D" w:rsidRPr="009C146D">
        <w:rPr>
          <w:rFonts w:cs="Times New Roman"/>
          <w:lang w:val="en-GB"/>
        </w:rPr>
        <w:t xml:space="preserve"> some good beams </w:t>
      </w:r>
      <w:r w:rsidR="003101FE">
        <w:rPr>
          <w:rFonts w:cs="Times New Roman"/>
          <w:lang w:val="en-GB"/>
        </w:rPr>
        <w:t xml:space="preserve">are not tracked and not included in </w:t>
      </w:r>
      <w:r w:rsidR="009C146D" w:rsidRPr="009C146D">
        <w:rPr>
          <w:rFonts w:cs="Times New Roman"/>
          <w:lang w:val="en-GB"/>
        </w:rPr>
        <w:t>the list of tracked beams</w:t>
      </w:r>
      <w:r w:rsidR="007E5CD8">
        <w:rPr>
          <w:rFonts w:cs="Times New Roman"/>
          <w:lang w:val="en-GB"/>
        </w:rPr>
        <w:t xml:space="preserve">. </w:t>
      </w:r>
    </w:p>
    <w:p w14:paraId="5E3D8EEC" w14:textId="5579D745" w:rsidR="00FE51D9" w:rsidRDefault="007E5CD8" w:rsidP="009C146D">
      <w:pPr>
        <w:ind w:right="-22"/>
        <w:rPr>
          <w:rFonts w:cs="Times New Roman"/>
          <w:lang w:val="en-GB"/>
        </w:rPr>
      </w:pPr>
      <w:r>
        <w:rPr>
          <w:rFonts w:cs="Times New Roman"/>
          <w:lang w:val="en-GB"/>
        </w:rPr>
        <w:t>In practise</w:t>
      </w:r>
      <w:r w:rsidR="00FE51D9">
        <w:rPr>
          <w:rFonts w:cs="Times New Roman"/>
          <w:lang w:val="en-GB"/>
        </w:rPr>
        <w:t>,</w:t>
      </w:r>
      <w:r>
        <w:rPr>
          <w:rFonts w:cs="Times New Roman"/>
          <w:lang w:val="en-GB"/>
        </w:rPr>
        <w:t xml:space="preserve"> </w:t>
      </w:r>
      <w:r w:rsidR="00FE51D9">
        <w:rPr>
          <w:rFonts w:cs="Times New Roman"/>
          <w:lang w:val="en-GB"/>
        </w:rPr>
        <w:t xml:space="preserve">when considering </w:t>
      </w:r>
      <w:r>
        <w:rPr>
          <w:rFonts w:cs="Times New Roman"/>
          <w:lang w:val="en-GB"/>
        </w:rPr>
        <w:t>such deployment scenario as used in the simulations</w:t>
      </w:r>
      <w:r w:rsidR="00FE51D9">
        <w:rPr>
          <w:rFonts w:cs="Times New Roman"/>
          <w:lang w:val="en-GB"/>
        </w:rPr>
        <w:t>,</w:t>
      </w:r>
      <w:r>
        <w:rPr>
          <w:rFonts w:cs="Times New Roman"/>
          <w:lang w:val="en-GB"/>
        </w:rPr>
        <w:t xml:space="preserve"> there shouldn’t be a large difference between </w:t>
      </w:r>
      <w:r w:rsidR="00FE51D9">
        <w:rPr>
          <w:rFonts w:cs="Times New Roman"/>
          <w:lang w:val="en-GB"/>
        </w:rPr>
        <w:t xml:space="preserve">the </w:t>
      </w:r>
      <w:r>
        <w:rPr>
          <w:rFonts w:cs="Times New Roman"/>
          <w:lang w:val="en-GB"/>
        </w:rPr>
        <w:t xml:space="preserve">serving beam and </w:t>
      </w:r>
      <w:r w:rsidR="00FE51D9">
        <w:rPr>
          <w:rFonts w:cs="Times New Roman"/>
          <w:lang w:val="en-GB"/>
        </w:rPr>
        <w:t>other</w:t>
      </w:r>
      <w:r>
        <w:rPr>
          <w:rFonts w:cs="Times New Roman"/>
          <w:lang w:val="en-GB"/>
        </w:rPr>
        <w:t xml:space="preserve"> beam</w:t>
      </w:r>
      <w:r w:rsidR="00FE51D9">
        <w:rPr>
          <w:rFonts w:cs="Times New Roman"/>
          <w:lang w:val="en-GB"/>
        </w:rPr>
        <w:t>s</w:t>
      </w:r>
      <w:r w:rsidR="003101FE">
        <w:rPr>
          <w:rFonts w:cs="Times New Roman"/>
          <w:lang w:val="en-GB"/>
        </w:rPr>
        <w:t>.</w:t>
      </w:r>
      <w:r w:rsidR="00FE51D9">
        <w:rPr>
          <w:rFonts w:cs="Times New Roman"/>
          <w:lang w:val="en-GB"/>
        </w:rPr>
        <w:t xml:space="preserve"> </w:t>
      </w:r>
      <w:r w:rsidR="003101FE">
        <w:rPr>
          <w:rFonts w:cs="Times New Roman"/>
          <w:lang w:val="en-GB"/>
        </w:rPr>
        <w:t xml:space="preserve">A large difference would mean </w:t>
      </w:r>
      <w:r w:rsidR="00FE51D9">
        <w:rPr>
          <w:rFonts w:cs="Times New Roman"/>
          <w:lang w:val="en-GB"/>
        </w:rPr>
        <w:t xml:space="preserve">that a non-serving beam </w:t>
      </w:r>
      <w:r w:rsidR="003101FE">
        <w:rPr>
          <w:rFonts w:cs="Times New Roman"/>
          <w:lang w:val="en-GB"/>
        </w:rPr>
        <w:t xml:space="preserve">is </w:t>
      </w:r>
      <w:r w:rsidR="00FE51D9">
        <w:rPr>
          <w:rFonts w:cs="Times New Roman"/>
          <w:lang w:val="en-GB"/>
        </w:rPr>
        <w:t xml:space="preserve">much better than </w:t>
      </w:r>
      <w:r w:rsidR="00FE51D9">
        <w:rPr>
          <w:rFonts w:cs="Times New Roman"/>
          <w:lang w:val="en-GB"/>
        </w:rPr>
        <w:lastRenderedPageBreak/>
        <w:t>the serving beam</w:t>
      </w:r>
      <w:r>
        <w:rPr>
          <w:rFonts w:cs="Times New Roman"/>
          <w:lang w:val="en-GB"/>
        </w:rPr>
        <w:t xml:space="preserve">. If a large difference is observed it means that some beams which should </w:t>
      </w:r>
      <w:r w:rsidR="00FE51D9">
        <w:rPr>
          <w:rFonts w:cs="Times New Roman"/>
          <w:lang w:val="en-GB"/>
        </w:rPr>
        <w:t xml:space="preserve">have </w:t>
      </w:r>
      <w:r>
        <w:rPr>
          <w:rFonts w:cs="Times New Roman"/>
          <w:lang w:val="en-GB"/>
        </w:rPr>
        <w:t>be</w:t>
      </w:r>
      <w:r w:rsidR="00FE51D9">
        <w:rPr>
          <w:rFonts w:cs="Times New Roman"/>
          <w:lang w:val="en-GB"/>
        </w:rPr>
        <w:t>en</w:t>
      </w:r>
      <w:r>
        <w:rPr>
          <w:rFonts w:cs="Times New Roman"/>
          <w:lang w:val="en-GB"/>
        </w:rPr>
        <w:t xml:space="preserve"> tracked are not tracked due to </w:t>
      </w:r>
      <w:r w:rsidR="00FE51D9">
        <w:rPr>
          <w:rFonts w:cs="Times New Roman"/>
          <w:lang w:val="en-GB"/>
        </w:rPr>
        <w:t xml:space="preserve">UE </w:t>
      </w:r>
      <w:r>
        <w:rPr>
          <w:rFonts w:cs="Times New Roman"/>
          <w:lang w:val="en-GB"/>
        </w:rPr>
        <w:t xml:space="preserve">tracking too few beams. </w:t>
      </w:r>
      <w:r w:rsidR="003101FE">
        <w:rPr>
          <w:rFonts w:cs="Times New Roman"/>
          <w:lang w:val="en-GB"/>
        </w:rPr>
        <w:t xml:space="preserve">I.e. UE is </w:t>
      </w:r>
      <w:r w:rsidR="005E67B5">
        <w:rPr>
          <w:rFonts w:cs="Times New Roman"/>
          <w:lang w:val="en-GB"/>
        </w:rPr>
        <w:t xml:space="preserve">not </w:t>
      </w:r>
      <w:r w:rsidR="003101FE">
        <w:rPr>
          <w:rFonts w:cs="Times New Roman"/>
          <w:lang w:val="en-GB"/>
        </w:rPr>
        <w:t xml:space="preserve">able to feedback sufficient </w:t>
      </w:r>
      <w:r w:rsidR="005E67B5">
        <w:rPr>
          <w:rFonts w:cs="Times New Roman"/>
          <w:lang w:val="en-GB"/>
        </w:rPr>
        <w:t xml:space="preserve">and timely </w:t>
      </w:r>
      <w:r w:rsidR="003101FE">
        <w:rPr>
          <w:rFonts w:cs="Times New Roman"/>
          <w:lang w:val="en-GB"/>
        </w:rPr>
        <w:t xml:space="preserve">beam measurements </w:t>
      </w:r>
      <w:r w:rsidR="005E67B5">
        <w:rPr>
          <w:rFonts w:cs="Times New Roman"/>
          <w:lang w:val="en-GB"/>
        </w:rPr>
        <w:t xml:space="preserve">information </w:t>
      </w:r>
      <w:r w:rsidR="003101FE">
        <w:rPr>
          <w:rFonts w:cs="Times New Roman"/>
          <w:lang w:val="en-GB"/>
        </w:rPr>
        <w:t>to the network which restricts the network beam management.</w:t>
      </w:r>
    </w:p>
    <w:p w14:paraId="05E83440" w14:textId="34F8C6DD" w:rsidR="009C146D" w:rsidRPr="009C146D" w:rsidRDefault="005E67B5" w:rsidP="009C146D">
      <w:pPr>
        <w:ind w:right="-22"/>
        <w:rPr>
          <w:rFonts w:cs="Times New Roman"/>
          <w:lang w:val="en-GB"/>
        </w:rPr>
      </w:pPr>
      <w:r>
        <w:rPr>
          <w:rFonts w:cs="Times New Roman"/>
          <w:lang w:val="en-GB"/>
        </w:rPr>
        <w:t>When not monitoring sufficient SSBs</w:t>
      </w:r>
      <w:r w:rsidR="00FE51D9">
        <w:rPr>
          <w:rFonts w:cs="Times New Roman"/>
          <w:lang w:val="en-GB"/>
        </w:rPr>
        <w:t>, t</w:t>
      </w:r>
      <w:r w:rsidR="007E5CD8">
        <w:rPr>
          <w:rFonts w:cs="Times New Roman"/>
          <w:lang w:val="en-GB"/>
        </w:rPr>
        <w:t>he latenc</w:t>
      </w:r>
      <w:r w:rsidR="00FE51D9">
        <w:rPr>
          <w:rFonts w:cs="Times New Roman"/>
          <w:lang w:val="en-GB"/>
        </w:rPr>
        <w:t>ies</w:t>
      </w:r>
      <w:r w:rsidR="007E5CD8">
        <w:rPr>
          <w:rFonts w:cs="Times New Roman"/>
          <w:lang w:val="en-GB"/>
        </w:rPr>
        <w:t xml:space="preserve"> from </w:t>
      </w:r>
      <w:r w:rsidR="003101FE">
        <w:rPr>
          <w:rFonts w:cs="Times New Roman"/>
          <w:lang w:val="en-GB"/>
        </w:rPr>
        <w:t xml:space="preserve">potential </w:t>
      </w:r>
      <w:r w:rsidR="007E5CD8">
        <w:rPr>
          <w:rFonts w:cs="Times New Roman"/>
          <w:lang w:val="en-GB"/>
        </w:rPr>
        <w:t xml:space="preserve">beam </w:t>
      </w:r>
      <w:r w:rsidR="00FE51D9">
        <w:rPr>
          <w:rFonts w:cs="Times New Roman"/>
          <w:lang w:val="en-GB"/>
        </w:rPr>
        <w:t xml:space="preserve">measurements </w:t>
      </w:r>
      <w:r w:rsidR="007E5CD8">
        <w:rPr>
          <w:rFonts w:cs="Times New Roman"/>
          <w:lang w:val="en-GB"/>
        </w:rPr>
        <w:t>become visible</w:t>
      </w:r>
      <w:r w:rsidR="00FE51D9">
        <w:rPr>
          <w:rFonts w:cs="Times New Roman"/>
          <w:lang w:val="en-GB"/>
        </w:rPr>
        <w:t>.</w:t>
      </w:r>
      <w:r w:rsidR="007E5CD8">
        <w:rPr>
          <w:rFonts w:cs="Times New Roman"/>
          <w:lang w:val="en-GB"/>
        </w:rPr>
        <w:t xml:space="preserve"> </w:t>
      </w:r>
      <w:r w:rsidR="00FE51D9">
        <w:rPr>
          <w:rFonts w:cs="Times New Roman"/>
          <w:lang w:val="en-GB"/>
        </w:rPr>
        <w:t xml:space="preserve">If the </w:t>
      </w:r>
      <w:r>
        <w:rPr>
          <w:rFonts w:cs="Times New Roman"/>
          <w:lang w:val="en-GB"/>
        </w:rPr>
        <w:t xml:space="preserve">measurement </w:t>
      </w:r>
      <w:r w:rsidR="00FE51D9">
        <w:rPr>
          <w:rFonts w:cs="Times New Roman"/>
          <w:lang w:val="en-GB"/>
        </w:rPr>
        <w:t>latencies become too long this will impact</w:t>
      </w:r>
      <w:r w:rsidR="007E5CD8">
        <w:rPr>
          <w:rFonts w:cs="Times New Roman"/>
          <w:lang w:val="en-GB"/>
        </w:rPr>
        <w:t xml:space="preserve"> </w:t>
      </w:r>
      <w:r w:rsidR="00DD3CF1">
        <w:rPr>
          <w:rFonts w:cs="Times New Roman"/>
          <w:lang w:val="en-GB"/>
        </w:rPr>
        <w:t>the UE</w:t>
      </w:r>
      <w:r w:rsidR="00FE51D9">
        <w:rPr>
          <w:rFonts w:cs="Times New Roman"/>
          <w:lang w:val="en-GB"/>
        </w:rPr>
        <w:t>’s</w:t>
      </w:r>
      <w:r w:rsidR="00DD3CF1">
        <w:rPr>
          <w:rFonts w:cs="Times New Roman"/>
          <w:lang w:val="en-GB"/>
        </w:rPr>
        <w:t xml:space="preserve"> ability</w:t>
      </w:r>
      <w:r w:rsidR="007E5CD8">
        <w:rPr>
          <w:rFonts w:cs="Times New Roman"/>
          <w:lang w:val="en-GB"/>
        </w:rPr>
        <w:t xml:space="preserve"> to </w:t>
      </w:r>
      <w:r w:rsidR="00DD3CF1">
        <w:rPr>
          <w:rFonts w:cs="Times New Roman"/>
          <w:lang w:val="en-GB"/>
        </w:rPr>
        <w:t xml:space="preserve">follow/track the </w:t>
      </w:r>
      <w:r w:rsidR="00FE51D9">
        <w:rPr>
          <w:rFonts w:cs="Times New Roman"/>
          <w:lang w:val="en-GB"/>
        </w:rPr>
        <w:t>dynamics in field</w:t>
      </w:r>
      <w:r>
        <w:rPr>
          <w:rFonts w:cs="Times New Roman"/>
          <w:lang w:val="en-GB"/>
        </w:rPr>
        <w:t>. I.e. the UE cannot provide measurement assistance information to network such that</w:t>
      </w:r>
      <w:r w:rsidR="00CB125D">
        <w:rPr>
          <w:rFonts w:cs="Times New Roman"/>
          <w:lang w:val="en-GB"/>
        </w:rPr>
        <w:t xml:space="preserve"> network can perform timely actions</w:t>
      </w:r>
      <w:r w:rsidR="00FE51D9">
        <w:rPr>
          <w:rFonts w:cs="Times New Roman"/>
          <w:lang w:val="en-GB"/>
        </w:rPr>
        <w:t xml:space="preserve">, which affects the </w:t>
      </w:r>
      <w:r w:rsidR="00DD3CF1">
        <w:rPr>
          <w:rFonts w:cs="Times New Roman"/>
          <w:lang w:val="en-GB"/>
        </w:rPr>
        <w:t>beam</w:t>
      </w:r>
      <w:r w:rsidR="00FE51D9">
        <w:rPr>
          <w:rFonts w:cs="Times New Roman"/>
          <w:lang w:val="en-GB"/>
        </w:rPr>
        <w:t xml:space="preserve"> management </w:t>
      </w:r>
      <w:r w:rsidR="00DD3CF1">
        <w:rPr>
          <w:rFonts w:cs="Times New Roman"/>
          <w:lang w:val="en-GB"/>
        </w:rPr>
        <w:t xml:space="preserve">as </w:t>
      </w:r>
      <w:r w:rsidR="00FE51D9">
        <w:rPr>
          <w:rFonts w:cs="Times New Roman"/>
          <w:lang w:val="en-GB"/>
        </w:rPr>
        <w:t xml:space="preserve">the UE </w:t>
      </w:r>
      <w:r w:rsidR="00DD3CF1">
        <w:rPr>
          <w:rFonts w:cs="Times New Roman"/>
          <w:lang w:val="en-GB"/>
        </w:rPr>
        <w:t>moves</w:t>
      </w:r>
      <w:r w:rsidR="00FE51D9">
        <w:rPr>
          <w:rFonts w:cs="Times New Roman"/>
          <w:lang w:val="en-GB"/>
        </w:rPr>
        <w:t>. This means that the UE mobility</w:t>
      </w:r>
      <w:r w:rsidR="00DD3CF1">
        <w:rPr>
          <w:rFonts w:cs="Times New Roman"/>
          <w:lang w:val="en-GB"/>
        </w:rPr>
        <w:t xml:space="preserve"> </w:t>
      </w:r>
      <w:r w:rsidR="00CB125D">
        <w:rPr>
          <w:rFonts w:cs="Times New Roman"/>
          <w:lang w:val="en-GB"/>
        </w:rPr>
        <w:t xml:space="preserve">and BM </w:t>
      </w:r>
      <w:r w:rsidR="00DD3CF1">
        <w:rPr>
          <w:rFonts w:cs="Times New Roman"/>
          <w:lang w:val="en-GB"/>
        </w:rPr>
        <w:t>is downgraded</w:t>
      </w:r>
      <w:r w:rsidR="00CF7756">
        <w:rPr>
          <w:rFonts w:cs="Times New Roman"/>
          <w:lang w:val="en-GB"/>
        </w:rPr>
        <w:t xml:space="preserve"> which could increase the risk of </w:t>
      </w:r>
      <w:r w:rsidR="00DE5096">
        <w:rPr>
          <w:rFonts w:cs="Times New Roman"/>
          <w:lang w:val="en-GB"/>
        </w:rPr>
        <w:t>losing connection on the CC</w:t>
      </w:r>
      <w:r w:rsidR="00CB125D">
        <w:rPr>
          <w:rFonts w:cs="Times New Roman"/>
          <w:lang w:val="en-GB"/>
        </w:rPr>
        <w:t xml:space="preserve"> and reduce the overall UE and system TP</w:t>
      </w:r>
      <w:r w:rsidR="00DD3CF1">
        <w:rPr>
          <w:rFonts w:cs="Times New Roman"/>
          <w:lang w:val="en-GB"/>
        </w:rPr>
        <w:t>.</w:t>
      </w:r>
    </w:p>
    <w:p w14:paraId="38293685" w14:textId="08207FA6" w:rsidR="00DD3CF1" w:rsidRDefault="00DD3CF1" w:rsidP="00DD3CF1">
      <w:pPr>
        <w:pStyle w:val="RAN4Observation"/>
      </w:pPr>
      <w:bookmarkStart w:id="6" w:name="_Hlk517724713"/>
      <w:r>
        <w:t xml:space="preserve">Tracking too few beams impact the UE ability to follow the dynamics in beam changes when </w:t>
      </w:r>
      <w:r w:rsidR="00DE5096">
        <w:t>the UE</w:t>
      </w:r>
      <w:r>
        <w:t xml:space="preserve"> moves</w:t>
      </w:r>
      <w:r w:rsidRPr="0008612A">
        <w:t>.</w:t>
      </w:r>
    </w:p>
    <w:bookmarkEnd w:id="6"/>
    <w:p w14:paraId="201D59CB" w14:textId="61CDA9AB" w:rsidR="00D64825" w:rsidRDefault="00D64825" w:rsidP="00D64825">
      <w:pPr>
        <w:pStyle w:val="RAN4Observation"/>
      </w:pPr>
      <w:r>
        <w:t xml:space="preserve">Tracking a </w:t>
      </w:r>
      <w:r w:rsidR="00DE5096">
        <w:t xml:space="preserve">too </w:t>
      </w:r>
      <w:r>
        <w:t>low number of beams increase</w:t>
      </w:r>
      <w:r w:rsidR="00DE5096">
        <w:t>s</w:t>
      </w:r>
      <w:r>
        <w:t xml:space="preserve"> the risk of UE not being using the beam with best SS-RSRP</w:t>
      </w:r>
      <w:r w:rsidRPr="0008612A">
        <w:t>.</w:t>
      </w:r>
    </w:p>
    <w:p w14:paraId="210A938B" w14:textId="77777777" w:rsidR="00DD3CF1" w:rsidRDefault="00DD3CF1" w:rsidP="00DD3CF1">
      <w:pPr>
        <w:pStyle w:val="RAN4Observation"/>
        <w:numPr>
          <w:ilvl w:val="0"/>
          <w:numId w:val="0"/>
        </w:numPr>
      </w:pPr>
    </w:p>
    <w:p w14:paraId="2DCB0A52" w14:textId="08814AFE" w:rsidR="00DD3CF1" w:rsidRDefault="00DD3CF1" w:rsidP="00DD3CF1">
      <w:pPr>
        <w:pStyle w:val="RAN4Observation"/>
        <w:numPr>
          <w:ilvl w:val="0"/>
          <w:numId w:val="0"/>
        </w:numPr>
      </w:pPr>
      <w:r>
        <w:t xml:space="preserve">From </w:t>
      </w:r>
      <w:r w:rsidR="005D774D">
        <w:fldChar w:fldCharType="begin"/>
      </w:r>
      <w:r w:rsidR="005D774D">
        <w:instrText xml:space="preserve"> REF _Ref510686345 \h </w:instrText>
      </w:r>
      <w:r w:rsidR="005D774D">
        <w:fldChar w:fldCharType="separate"/>
      </w:r>
      <w:r w:rsidR="005D774D">
        <w:t>the</w:t>
      </w:r>
      <w:r w:rsidR="005D774D">
        <w:fldChar w:fldCharType="end"/>
      </w:r>
      <w:r w:rsidR="005D774D">
        <w:t xml:space="preserve"> results</w:t>
      </w:r>
      <w:r>
        <w:t xml:space="preserve"> we observe that 1 beam (per cell) is clearly not enough</w:t>
      </w:r>
      <w:r w:rsidR="00563AFE">
        <w:t xml:space="preserve"> (as also observed in our earlier contributions)</w:t>
      </w:r>
      <w:r w:rsidRPr="0008612A">
        <w:t>.</w:t>
      </w:r>
      <w:r>
        <w:t xml:space="preserve"> We also observe that when tracking what is equivalent to </w:t>
      </w:r>
      <w:r w:rsidRPr="00EA13A6">
        <w:t>4 beams per cell</w:t>
      </w:r>
      <w:r>
        <w:t>, the difference between the serving beam and the 3</w:t>
      </w:r>
      <w:r w:rsidRPr="00DD3CF1">
        <w:rPr>
          <w:vertAlign w:val="superscript"/>
        </w:rPr>
        <w:t>rd</w:t>
      </w:r>
      <w:r>
        <w:t xml:space="preserve"> best beam is low. </w:t>
      </w:r>
      <w:r w:rsidR="00271E9C">
        <w:t>In general, we see that when tracking more beams, the difference between serving beam and best Nth beam diminishes which indicates that the UE is able to follow and track changes as it moves around.</w:t>
      </w:r>
    </w:p>
    <w:p w14:paraId="6157C8EC" w14:textId="7F9D22AC" w:rsidR="00271E9C" w:rsidRPr="00271E9C" w:rsidRDefault="00271E9C" w:rsidP="00271E9C">
      <w:pPr>
        <w:rPr>
          <w:lang w:val="en-GB"/>
        </w:rPr>
      </w:pPr>
      <w:r>
        <w:rPr>
          <w:lang w:val="en-GB"/>
        </w:rPr>
        <w:t>In this scenario</w:t>
      </w:r>
      <w:r w:rsidR="00CF7756">
        <w:rPr>
          <w:lang w:val="en-GB"/>
        </w:rPr>
        <w:t>,</w:t>
      </w:r>
      <w:r>
        <w:rPr>
          <w:lang w:val="en-GB"/>
        </w:rPr>
        <w:t xml:space="preserve"> tracking what is equal to 3 beams per cell is sufficient. However, this is only one scenario and without any margin. Based on this we think UE would need to more than what is equivalent to 3 beams per cell on a carrier.</w:t>
      </w:r>
    </w:p>
    <w:p w14:paraId="7FC3FD77" w14:textId="77777777" w:rsidR="00271E9C" w:rsidRDefault="00271E9C" w:rsidP="00271E9C">
      <w:pPr>
        <w:pStyle w:val="RAN4Observation"/>
      </w:pPr>
      <w:r>
        <w:t>UE would need to track more than what is equivalent to 3 beams per cell per carrier</w:t>
      </w:r>
      <w:r w:rsidRPr="0008612A">
        <w:t>.</w:t>
      </w:r>
    </w:p>
    <w:p w14:paraId="1CDFC87A" w14:textId="5FE5BFC7" w:rsidR="00271E9C" w:rsidRDefault="00563AFE" w:rsidP="00271E9C">
      <w:pPr>
        <w:rPr>
          <w:lang w:val="en-GB"/>
        </w:rPr>
      </w:pPr>
      <w:r>
        <w:rPr>
          <w:lang w:val="en-GB"/>
        </w:rPr>
        <w:t>Based on this we propose:</w:t>
      </w:r>
    </w:p>
    <w:p w14:paraId="39F91798" w14:textId="2506ABBD" w:rsidR="00563AFE" w:rsidRDefault="00563AFE" w:rsidP="00563AFE">
      <w:pPr>
        <w:pStyle w:val="RAN4proposal"/>
      </w:pPr>
      <w:bookmarkStart w:id="7" w:name="_Hlk521702127"/>
      <w:r>
        <w:t>In FR2 the UE shall be able to monitor at least 4 SSB based beams on other intra-band SCC than Main CC</w:t>
      </w:r>
      <w:r w:rsidRPr="0008612A">
        <w:t>.</w:t>
      </w:r>
    </w:p>
    <w:bookmarkEnd w:id="7"/>
    <w:p w14:paraId="15B6AED1" w14:textId="5A2EC715" w:rsidR="002C2D19" w:rsidRDefault="00563AFE" w:rsidP="003B659E">
      <w:pPr>
        <w:ind w:right="-22"/>
        <w:rPr>
          <w:rFonts w:cs="Times New Roman"/>
        </w:rPr>
      </w:pPr>
      <w:r>
        <w:t>The main CC is here understood to be the PCC, PSCC or an SCC if the PCC or PSCC is not located in the same band as the SCC.</w:t>
      </w:r>
    </w:p>
    <w:p w14:paraId="1C5D381B" w14:textId="77777777" w:rsidR="00CD7492" w:rsidRPr="0095295C" w:rsidRDefault="00CD7492" w:rsidP="0008612A">
      <w:pPr>
        <w:pStyle w:val="RAN4H1"/>
      </w:pPr>
      <w:r>
        <w:t>3</w:t>
      </w:r>
      <w:r>
        <w:tab/>
        <w:t>Conclusion</w:t>
      </w:r>
    </w:p>
    <w:p w14:paraId="3F3E35C8" w14:textId="304AEDFC" w:rsidR="00CF3246" w:rsidRDefault="00A90705" w:rsidP="007B5BD5">
      <w:r>
        <w:rPr>
          <w:rFonts w:eastAsia="Calibri" w:cs="Times New Roman"/>
          <w:szCs w:val="20"/>
          <w:lang w:val="en-GB"/>
        </w:rPr>
        <w:t>In this paper we provided our system level simulation results provided earlier to facilitate the discussion related to the number of SSB based beams to measure on additional intra-band SCCs</w:t>
      </w:r>
      <w:r w:rsidR="007B5BD5">
        <w:t xml:space="preserve">. </w:t>
      </w:r>
      <w:r w:rsidR="006703BA">
        <w:t>We have already earlier in our st</w:t>
      </w:r>
      <w:r w:rsidR="00E66C99">
        <w:t>u</w:t>
      </w:r>
      <w:r w:rsidR="006703BA">
        <w:t>dies concluded following:</w:t>
      </w:r>
    </w:p>
    <w:p w14:paraId="4126DA3B" w14:textId="77777777" w:rsidR="006703BA" w:rsidRPr="006703BA" w:rsidRDefault="006703BA" w:rsidP="006703BA">
      <w:pPr>
        <w:ind w:left="720" w:right="-22"/>
        <w:rPr>
          <w:rFonts w:eastAsia="Calibri" w:cs="Times New Roman"/>
          <w:i/>
          <w:szCs w:val="20"/>
        </w:rPr>
      </w:pPr>
      <w:r w:rsidRPr="006703BA">
        <w:rPr>
          <w:rFonts w:eastAsia="Calibri" w:cs="Times New Roman"/>
          <w:i/>
          <w:szCs w:val="20"/>
        </w:rPr>
        <w:t>Proposal 5: Monitoring of 2 beam/SSB per cell in FR2 is not sufficient.</w:t>
      </w:r>
    </w:p>
    <w:p w14:paraId="0A8ED8B6" w14:textId="77777777" w:rsidR="006703BA" w:rsidRPr="003A453B" w:rsidRDefault="006703BA" w:rsidP="006703BA">
      <w:pPr>
        <w:ind w:left="720" w:right="-22"/>
        <w:rPr>
          <w:rFonts w:eastAsia="Calibri" w:cs="Times New Roman"/>
          <w:i/>
          <w:szCs w:val="20"/>
        </w:rPr>
      </w:pPr>
      <w:r w:rsidRPr="006703BA">
        <w:rPr>
          <w:rFonts w:eastAsia="Calibri" w:cs="Times New Roman"/>
          <w:i/>
          <w:szCs w:val="20"/>
        </w:rPr>
        <w:t>Proposal 6: The number of beams the UE need to track per cell in FR2 is higher than 2.</w:t>
      </w:r>
    </w:p>
    <w:p w14:paraId="31906B7F" w14:textId="02616291" w:rsidR="006703BA" w:rsidRDefault="007B5BD5" w:rsidP="007B5BD5">
      <w:pPr>
        <w:rPr>
          <w:rFonts w:cs="Times New Roman"/>
        </w:rPr>
      </w:pPr>
      <w:r>
        <w:rPr>
          <w:rFonts w:cs="Times New Roman"/>
        </w:rPr>
        <w:t xml:space="preserve">Based on the </w:t>
      </w:r>
      <w:r w:rsidR="006703BA">
        <w:rPr>
          <w:rFonts w:cs="Times New Roman"/>
        </w:rPr>
        <w:t xml:space="preserve"> the </w:t>
      </w:r>
      <w:r>
        <w:rPr>
          <w:rFonts w:cs="Times New Roman"/>
        </w:rPr>
        <w:t xml:space="preserve">results </w:t>
      </w:r>
      <w:r w:rsidR="006703BA">
        <w:rPr>
          <w:rFonts w:cs="Times New Roman"/>
        </w:rPr>
        <w:t>in this paper we observe:</w:t>
      </w:r>
    </w:p>
    <w:p w14:paraId="3C129735" w14:textId="77777777" w:rsidR="006703BA" w:rsidRDefault="006703BA" w:rsidP="00E66C99">
      <w:pPr>
        <w:pStyle w:val="RAN4Observation"/>
        <w:numPr>
          <w:ilvl w:val="0"/>
          <w:numId w:val="22"/>
        </w:numPr>
      </w:pPr>
      <w:r>
        <w:t>Tracking too few beams impact the UE ability to follow the dynamics in beam changes when the UE moves</w:t>
      </w:r>
      <w:r w:rsidRPr="0008612A">
        <w:t>.</w:t>
      </w:r>
    </w:p>
    <w:p w14:paraId="7FFBBD0F" w14:textId="77777777" w:rsidR="006703BA" w:rsidRDefault="006703BA" w:rsidP="00E66C99">
      <w:pPr>
        <w:pStyle w:val="RAN4Observation"/>
      </w:pPr>
      <w:r>
        <w:t>Tracking a too low number of beams increases the risk of UE not being using the beam with best SS-RSRP</w:t>
      </w:r>
      <w:r w:rsidRPr="0008612A">
        <w:t>.</w:t>
      </w:r>
    </w:p>
    <w:p w14:paraId="6CA9EE31" w14:textId="77777777" w:rsidR="00E66C99" w:rsidRDefault="00E66C99" w:rsidP="00E66C99">
      <w:pPr>
        <w:pStyle w:val="RAN4Observation"/>
      </w:pPr>
      <w:r>
        <w:t>UE would need to track more than what is equivalent to 3 beams per cell per carrier</w:t>
      </w:r>
      <w:r w:rsidRPr="0008612A">
        <w:t>.</w:t>
      </w:r>
    </w:p>
    <w:p w14:paraId="0E20248D" w14:textId="4EB0B490" w:rsidR="006703BA" w:rsidRDefault="00E66C99" w:rsidP="007B5BD5">
      <w:pPr>
        <w:rPr>
          <w:rFonts w:cs="Times New Roman"/>
          <w:lang w:val="en-GB"/>
        </w:rPr>
      </w:pPr>
      <w:r>
        <w:rPr>
          <w:rFonts w:cs="Times New Roman"/>
          <w:lang w:val="en-GB"/>
        </w:rPr>
        <w:t>Based on which we propose:</w:t>
      </w:r>
    </w:p>
    <w:p w14:paraId="09E3C845" w14:textId="77777777" w:rsidR="00A90705" w:rsidRDefault="00A90705" w:rsidP="00A90705">
      <w:pPr>
        <w:pStyle w:val="RAN4proposal"/>
        <w:numPr>
          <w:ilvl w:val="0"/>
          <w:numId w:val="25"/>
        </w:numPr>
      </w:pPr>
      <w:r>
        <w:t>In FR2 the UE shall be able to monitor at least 4 SSB based beams on other intra-band SCC than Main CC</w:t>
      </w:r>
      <w:r w:rsidRPr="0008612A">
        <w:t>.</w:t>
      </w:r>
    </w:p>
    <w:p w14:paraId="50364357" w14:textId="77777777" w:rsidR="007B5BD5" w:rsidRDefault="007B5BD5" w:rsidP="007B5BD5"/>
    <w:p w14:paraId="4CC2405D" w14:textId="77777777" w:rsidR="003B659E" w:rsidRPr="00D64825" w:rsidRDefault="003B659E" w:rsidP="0008612A">
      <w:pPr>
        <w:pStyle w:val="RAN4H1"/>
      </w:pPr>
      <w:r w:rsidRPr="00D64825">
        <w:t>References</w:t>
      </w:r>
    </w:p>
    <w:p w14:paraId="532C0EDE" w14:textId="77777777" w:rsidR="003B659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sidRPr="00D64825">
        <w:rPr>
          <w:rFonts w:eastAsia="Calibri" w:cs="Times New Roman"/>
          <w:szCs w:val="20"/>
          <w:lang w:val="en-GB"/>
        </w:rPr>
        <w:t>R4-1802798</w:t>
      </w:r>
      <w:r w:rsidR="003B659E" w:rsidRPr="00D64825">
        <w:rPr>
          <w:rFonts w:eastAsia="Times New Roman" w:cs="Times New Roman"/>
          <w:szCs w:val="20"/>
          <w:lang w:val="en-GB"/>
        </w:rPr>
        <w:t xml:space="preserve">, </w:t>
      </w:r>
      <w:r w:rsidRPr="00D64825">
        <w:rPr>
          <w:rFonts w:eastAsia="Times New Roman" w:cs="Times New Roman"/>
          <w:bCs/>
          <w:szCs w:val="20"/>
          <w:lang w:val="en-GB"/>
        </w:rPr>
        <w:t>Dynamic simulation results for NR Mobility in FR2</w:t>
      </w:r>
      <w:r w:rsidR="003B659E" w:rsidRPr="00D64825">
        <w:rPr>
          <w:rFonts w:eastAsia="Times New Roman" w:cs="Times New Roman"/>
          <w:szCs w:val="20"/>
          <w:lang w:val="en-GB"/>
        </w:rPr>
        <w:t>, Nokia, Alcatel-Lucent Shanghai Bell</w:t>
      </w:r>
      <w:r w:rsidR="003B659E" w:rsidRPr="00D64825" w:rsidDel="00C651B9">
        <w:rPr>
          <w:rFonts w:eastAsia="Times New Roman" w:cs="Times New Roman"/>
          <w:szCs w:val="20"/>
          <w:lang w:val="en-GB"/>
        </w:rPr>
        <w:t xml:space="preserve"> </w:t>
      </w:r>
      <w:bookmarkEnd w:id="8"/>
    </w:p>
    <w:p w14:paraId="5C4347BE" w14:textId="77777777" w:rsidR="005C1EA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Calibri" w:cs="Times New Roman"/>
          <w:szCs w:val="20"/>
          <w:lang w:val="en-GB"/>
        </w:rPr>
        <w:lastRenderedPageBreak/>
        <w:t xml:space="preserve">R4-1802799, Summary discussion on number of cells and beams in FR2, </w:t>
      </w:r>
      <w:r w:rsidRPr="00D64825">
        <w:rPr>
          <w:rFonts w:eastAsia="Times New Roman" w:cs="Times New Roman"/>
          <w:szCs w:val="20"/>
          <w:lang w:val="en-GB"/>
        </w:rPr>
        <w:t>Nokia, Alcatel-Lucent Shanghai Bell</w:t>
      </w:r>
    </w:p>
    <w:p w14:paraId="1C242FD9" w14:textId="77777777" w:rsidR="005C1EAE" w:rsidRPr="00D64825" w:rsidRDefault="005C1EAE" w:rsidP="005C1EA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R4-1709903, System level simulation assumptions in NR RRM, Ericsson</w:t>
      </w:r>
    </w:p>
    <w:p w14:paraId="334C59EB" w14:textId="6AB0F9F3" w:rsidR="005C1EAE"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R4-1713151, Network Cell and Beam Dimensioning discussion, Nokia, Nokia Shanghai Bell</w:t>
      </w:r>
    </w:p>
    <w:p w14:paraId="2271BFA3" w14:textId="56797AE4" w:rsidR="00AA4AD1" w:rsidRPr="00AA4AD1" w:rsidRDefault="00AA4AD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A4AD1">
        <w:rPr>
          <w:rFonts w:eastAsia="Times New Roman" w:cs="Times New Roman" w:hint="eastAsia"/>
          <w:bCs/>
          <w:szCs w:val="20"/>
          <w:lang w:val="en-GB"/>
        </w:rPr>
        <w:t>R</w:t>
      </w:r>
      <w:r w:rsidRPr="00AA4AD1">
        <w:rPr>
          <w:rFonts w:eastAsia="Times New Roman" w:cs="Times New Roman"/>
          <w:bCs/>
          <w:szCs w:val="20"/>
          <w:lang w:val="en-GB"/>
        </w:rPr>
        <w:t>4</w:t>
      </w:r>
      <w:r w:rsidRPr="00AA4AD1">
        <w:rPr>
          <w:rFonts w:eastAsia="Times New Roman" w:cs="Times New Roman" w:hint="eastAsia"/>
          <w:bCs/>
          <w:szCs w:val="20"/>
          <w:lang w:val="en-GB"/>
        </w:rPr>
        <w:t>-</w:t>
      </w:r>
      <w:r w:rsidRPr="00AA4AD1">
        <w:rPr>
          <w:rFonts w:eastAsia="Times New Roman" w:cs="Times New Roman"/>
          <w:bCs/>
          <w:szCs w:val="20"/>
          <w:lang w:val="en-GB"/>
        </w:rPr>
        <w:t>1805265, Additional SLS on UE measurement capability, Nokia, Nokia Shanghai Bell</w:t>
      </w:r>
    </w:p>
    <w:p w14:paraId="13226E28" w14:textId="77777777" w:rsidR="003B659E" w:rsidRDefault="003B659E" w:rsidP="00841BCD">
      <w:pPr>
        <w:ind w:right="-22"/>
        <w:rPr>
          <w:lang w:val="en-GB"/>
        </w:rPr>
      </w:pPr>
    </w:p>
    <w:p w14:paraId="2AE8A995" w14:textId="77777777" w:rsidR="00504EE9" w:rsidRDefault="00504EE9" w:rsidP="00841BCD">
      <w:pPr>
        <w:ind w:right="-22"/>
        <w:rPr>
          <w:lang w:val="en-GB"/>
        </w:rPr>
      </w:pPr>
    </w:p>
    <w:p w14:paraId="3ABE83AF" w14:textId="77777777"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r w:rsidR="00FE2F3E">
        <w:rPr>
          <w:rFonts w:ascii="Arial" w:eastAsia="SimSun" w:hAnsi="Arial" w:cs="Times New Roman"/>
          <w:sz w:val="36"/>
          <w:szCs w:val="20"/>
          <w:lang w:val="en-GB"/>
        </w:rPr>
        <w:t>Simulation assumptions</w:t>
      </w:r>
    </w:p>
    <w:p w14:paraId="39CEA026" w14:textId="77777777" w:rsidR="00687FA0" w:rsidRPr="003B659E" w:rsidRDefault="00FE2F3E" w:rsidP="00841BCD">
      <w:pPr>
        <w:ind w:right="-22"/>
        <w:rPr>
          <w:lang w:val="en-GB"/>
        </w:rPr>
      </w:pPr>
      <w:r>
        <w:rPr>
          <w:noProof/>
          <w:lang w:val="en-GB"/>
        </w:rPr>
        <w:drawing>
          <wp:inline distT="0" distB="0" distL="0" distR="0" wp14:anchorId="6B403454" wp14:editId="19245A34">
            <wp:extent cx="6147233" cy="328371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63822" cy="3292576"/>
                    </a:xfrm>
                    <a:prstGeom prst="rect">
                      <a:avLst/>
                    </a:prstGeom>
                    <a:noFill/>
                  </pic:spPr>
                </pic:pic>
              </a:graphicData>
            </a:graphic>
          </wp:inline>
        </w:drawing>
      </w: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14098" w14:textId="77777777" w:rsidR="005E0434" w:rsidRDefault="005E0434" w:rsidP="00001C9B">
      <w:pPr>
        <w:spacing w:after="0" w:line="240" w:lineRule="auto"/>
      </w:pPr>
      <w:r>
        <w:separator/>
      </w:r>
    </w:p>
  </w:endnote>
  <w:endnote w:type="continuationSeparator" w:id="0">
    <w:p w14:paraId="27A2A7AC" w14:textId="77777777" w:rsidR="005E0434" w:rsidRDefault="005E043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521AA" w14:textId="77777777" w:rsidR="005E0434" w:rsidRDefault="005E0434" w:rsidP="00001C9B">
      <w:pPr>
        <w:spacing w:after="0" w:line="240" w:lineRule="auto"/>
      </w:pPr>
      <w:r>
        <w:separator/>
      </w:r>
    </w:p>
  </w:footnote>
  <w:footnote w:type="continuationSeparator" w:id="0">
    <w:p w14:paraId="43385207" w14:textId="77777777" w:rsidR="005E0434" w:rsidRDefault="005E043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324C75"/>
    <w:multiLevelType w:val="hybridMultilevel"/>
    <w:tmpl w:val="12EEACD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6B43B9D"/>
    <w:multiLevelType w:val="hybridMultilevel"/>
    <w:tmpl w:val="FA38EDDA"/>
    <w:lvl w:ilvl="0" w:tplc="6A32787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0436D52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A6643D"/>
    <w:multiLevelType w:val="hybridMultilevel"/>
    <w:tmpl w:val="9C32B4FA"/>
    <w:lvl w:ilvl="0" w:tplc="99FCE75C">
      <w:start w:val="2"/>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4F06A40"/>
    <w:multiLevelType w:val="hybridMultilevel"/>
    <w:tmpl w:val="95E02ABC"/>
    <w:lvl w:ilvl="0" w:tplc="E55CC1DC">
      <w:start w:val="2"/>
      <w:numFmt w:val="bullet"/>
      <w:lvlText w:val=""/>
      <w:lvlJc w:val="left"/>
      <w:pPr>
        <w:ind w:left="720" w:hanging="360"/>
      </w:pPr>
      <w:rPr>
        <w:rFonts w:ascii="Symbol" w:eastAsia="Calibri"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6894AB5"/>
    <w:multiLevelType w:val="hybridMultilevel"/>
    <w:tmpl w:val="3A180C14"/>
    <w:lvl w:ilvl="0" w:tplc="6F82601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B541CBD"/>
    <w:multiLevelType w:val="hybridMultilevel"/>
    <w:tmpl w:val="32AA21D4"/>
    <w:lvl w:ilvl="0" w:tplc="99FCE75C">
      <w:start w:val="2"/>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8"/>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10"/>
  </w:num>
  <w:num w:numId="16">
    <w:abstractNumId w:val="3"/>
  </w:num>
  <w:num w:numId="17">
    <w:abstractNumId w:val="5"/>
  </w:num>
  <w:num w:numId="18">
    <w:abstractNumId w:val="9"/>
  </w:num>
  <w:num w:numId="19">
    <w:abstractNumId w:val="5"/>
    <w:lvlOverride w:ilvl="0">
      <w:startOverride w:val="1"/>
    </w:lvlOverride>
  </w:num>
  <w:num w:numId="20">
    <w:abstractNumId w:val="4"/>
    <w:lvlOverride w:ilvl="0">
      <w:startOverride w:val="1"/>
    </w:lvlOverride>
  </w:num>
  <w:num w:numId="21">
    <w:abstractNumId w:val="4"/>
  </w:num>
  <w:num w:numId="22">
    <w:abstractNumId w:val="4"/>
    <w:lvlOverride w:ilvl="0">
      <w:startOverride w:val="1"/>
    </w:lvlOverride>
  </w:num>
  <w:num w:numId="23">
    <w:abstractNumId w:val="11"/>
  </w:num>
  <w:num w:numId="24">
    <w:abstractNumId w:val="7"/>
  </w:num>
  <w:num w:numId="2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0B5D"/>
    <w:rsid w:val="00030B7D"/>
    <w:rsid w:val="00031989"/>
    <w:rsid w:val="00035CC1"/>
    <w:rsid w:val="00064A26"/>
    <w:rsid w:val="0008612A"/>
    <w:rsid w:val="00093F7C"/>
    <w:rsid w:val="000B0056"/>
    <w:rsid w:val="000C4E1E"/>
    <w:rsid w:val="000E39A9"/>
    <w:rsid w:val="00105981"/>
    <w:rsid w:val="00153395"/>
    <w:rsid w:val="001541D7"/>
    <w:rsid w:val="00172C93"/>
    <w:rsid w:val="001745F8"/>
    <w:rsid w:val="001838CF"/>
    <w:rsid w:val="00185988"/>
    <w:rsid w:val="001A5F9B"/>
    <w:rsid w:val="001A76D6"/>
    <w:rsid w:val="001D09F0"/>
    <w:rsid w:val="001D0E6B"/>
    <w:rsid w:val="001E30F6"/>
    <w:rsid w:val="001F0E4E"/>
    <w:rsid w:val="0020562E"/>
    <w:rsid w:val="002329E6"/>
    <w:rsid w:val="00233487"/>
    <w:rsid w:val="00235F5C"/>
    <w:rsid w:val="00271E9C"/>
    <w:rsid w:val="0029385B"/>
    <w:rsid w:val="002B0997"/>
    <w:rsid w:val="002B4922"/>
    <w:rsid w:val="002C2D19"/>
    <w:rsid w:val="002D10FA"/>
    <w:rsid w:val="002D4C55"/>
    <w:rsid w:val="002E1DA0"/>
    <w:rsid w:val="002E2601"/>
    <w:rsid w:val="003101FE"/>
    <w:rsid w:val="0033090B"/>
    <w:rsid w:val="00334156"/>
    <w:rsid w:val="00334DDD"/>
    <w:rsid w:val="00337618"/>
    <w:rsid w:val="00354686"/>
    <w:rsid w:val="0037507E"/>
    <w:rsid w:val="00381CA7"/>
    <w:rsid w:val="0038673B"/>
    <w:rsid w:val="003A453B"/>
    <w:rsid w:val="003B659E"/>
    <w:rsid w:val="003C25B2"/>
    <w:rsid w:val="004077BA"/>
    <w:rsid w:val="00424E38"/>
    <w:rsid w:val="0043750A"/>
    <w:rsid w:val="004901AC"/>
    <w:rsid w:val="004A7B29"/>
    <w:rsid w:val="004B4A85"/>
    <w:rsid w:val="004C0336"/>
    <w:rsid w:val="004E5E66"/>
    <w:rsid w:val="004F6435"/>
    <w:rsid w:val="00503B4D"/>
    <w:rsid w:val="00504EE9"/>
    <w:rsid w:val="005073A7"/>
    <w:rsid w:val="00512858"/>
    <w:rsid w:val="0051326A"/>
    <w:rsid w:val="0054442C"/>
    <w:rsid w:val="00550285"/>
    <w:rsid w:val="00563AFE"/>
    <w:rsid w:val="005709A4"/>
    <w:rsid w:val="005727CF"/>
    <w:rsid w:val="00582CDC"/>
    <w:rsid w:val="005836F8"/>
    <w:rsid w:val="0058580A"/>
    <w:rsid w:val="00587773"/>
    <w:rsid w:val="005C1EAE"/>
    <w:rsid w:val="005D774D"/>
    <w:rsid w:val="005E0434"/>
    <w:rsid w:val="005E1758"/>
    <w:rsid w:val="005E61A8"/>
    <w:rsid w:val="005E67B5"/>
    <w:rsid w:val="005F6419"/>
    <w:rsid w:val="00617400"/>
    <w:rsid w:val="00663138"/>
    <w:rsid w:val="00664950"/>
    <w:rsid w:val="006703BA"/>
    <w:rsid w:val="006727D7"/>
    <w:rsid w:val="00683220"/>
    <w:rsid w:val="00687FA0"/>
    <w:rsid w:val="006B7010"/>
    <w:rsid w:val="006C11E0"/>
    <w:rsid w:val="007145FF"/>
    <w:rsid w:val="007241B3"/>
    <w:rsid w:val="00743536"/>
    <w:rsid w:val="00751515"/>
    <w:rsid w:val="00755CFD"/>
    <w:rsid w:val="00785232"/>
    <w:rsid w:val="007A1226"/>
    <w:rsid w:val="007A6FB5"/>
    <w:rsid w:val="007B5BD5"/>
    <w:rsid w:val="007C3ED0"/>
    <w:rsid w:val="007D383A"/>
    <w:rsid w:val="007E5CD8"/>
    <w:rsid w:val="00804958"/>
    <w:rsid w:val="00806A76"/>
    <w:rsid w:val="00811C9D"/>
    <w:rsid w:val="00816C80"/>
    <w:rsid w:val="00830991"/>
    <w:rsid w:val="00830EC6"/>
    <w:rsid w:val="00841BCD"/>
    <w:rsid w:val="008471A6"/>
    <w:rsid w:val="008826C1"/>
    <w:rsid w:val="008A3C72"/>
    <w:rsid w:val="008A5539"/>
    <w:rsid w:val="008B0E7A"/>
    <w:rsid w:val="008D7903"/>
    <w:rsid w:val="008F49C1"/>
    <w:rsid w:val="009042BD"/>
    <w:rsid w:val="009655E4"/>
    <w:rsid w:val="00974413"/>
    <w:rsid w:val="00977E1D"/>
    <w:rsid w:val="00985B59"/>
    <w:rsid w:val="009928DB"/>
    <w:rsid w:val="009C146D"/>
    <w:rsid w:val="009C1DFC"/>
    <w:rsid w:val="009F66CC"/>
    <w:rsid w:val="00A22B78"/>
    <w:rsid w:val="00A25AE5"/>
    <w:rsid w:val="00A71B12"/>
    <w:rsid w:val="00A90705"/>
    <w:rsid w:val="00A907CB"/>
    <w:rsid w:val="00AA1B0E"/>
    <w:rsid w:val="00AA21AE"/>
    <w:rsid w:val="00AA4AD1"/>
    <w:rsid w:val="00AC5CA7"/>
    <w:rsid w:val="00B24C68"/>
    <w:rsid w:val="00B67746"/>
    <w:rsid w:val="00B7105D"/>
    <w:rsid w:val="00BA6E48"/>
    <w:rsid w:val="00BB6036"/>
    <w:rsid w:val="00BC4FAF"/>
    <w:rsid w:val="00BF2218"/>
    <w:rsid w:val="00C11E99"/>
    <w:rsid w:val="00C2049B"/>
    <w:rsid w:val="00C31C69"/>
    <w:rsid w:val="00C62055"/>
    <w:rsid w:val="00C63348"/>
    <w:rsid w:val="00C7249A"/>
    <w:rsid w:val="00C92F8E"/>
    <w:rsid w:val="00CB125D"/>
    <w:rsid w:val="00CC3579"/>
    <w:rsid w:val="00CC59E9"/>
    <w:rsid w:val="00CD7492"/>
    <w:rsid w:val="00CE3691"/>
    <w:rsid w:val="00CE3A6B"/>
    <w:rsid w:val="00CF3246"/>
    <w:rsid w:val="00CF7756"/>
    <w:rsid w:val="00D00211"/>
    <w:rsid w:val="00D06309"/>
    <w:rsid w:val="00D270BF"/>
    <w:rsid w:val="00D351EA"/>
    <w:rsid w:val="00D36234"/>
    <w:rsid w:val="00D43403"/>
    <w:rsid w:val="00D46303"/>
    <w:rsid w:val="00D61C6D"/>
    <w:rsid w:val="00D61F03"/>
    <w:rsid w:val="00D62E71"/>
    <w:rsid w:val="00D64825"/>
    <w:rsid w:val="00D740CA"/>
    <w:rsid w:val="00D85728"/>
    <w:rsid w:val="00D91DE2"/>
    <w:rsid w:val="00D9413E"/>
    <w:rsid w:val="00D96BD6"/>
    <w:rsid w:val="00DD3CF1"/>
    <w:rsid w:val="00DE35F7"/>
    <w:rsid w:val="00DE5096"/>
    <w:rsid w:val="00DE68EB"/>
    <w:rsid w:val="00DE6C15"/>
    <w:rsid w:val="00DE6DE9"/>
    <w:rsid w:val="00DF2997"/>
    <w:rsid w:val="00DF3461"/>
    <w:rsid w:val="00E03AD3"/>
    <w:rsid w:val="00E209D8"/>
    <w:rsid w:val="00E50C47"/>
    <w:rsid w:val="00E666E7"/>
    <w:rsid w:val="00E66C99"/>
    <w:rsid w:val="00E67562"/>
    <w:rsid w:val="00E83249"/>
    <w:rsid w:val="00EA13A6"/>
    <w:rsid w:val="00EB30B8"/>
    <w:rsid w:val="00EB627A"/>
    <w:rsid w:val="00EC4C28"/>
    <w:rsid w:val="00EC7BC3"/>
    <w:rsid w:val="00ED7600"/>
    <w:rsid w:val="00EE533A"/>
    <w:rsid w:val="00EE5AF0"/>
    <w:rsid w:val="00EF0DD5"/>
    <w:rsid w:val="00F04D7A"/>
    <w:rsid w:val="00F06A44"/>
    <w:rsid w:val="00F06FFB"/>
    <w:rsid w:val="00F1362C"/>
    <w:rsid w:val="00F22EAC"/>
    <w:rsid w:val="00F376BF"/>
    <w:rsid w:val="00F54596"/>
    <w:rsid w:val="00F557EA"/>
    <w:rsid w:val="00F824F5"/>
    <w:rsid w:val="00FA079A"/>
    <w:rsid w:val="00FB7488"/>
    <w:rsid w:val="00FC29B9"/>
    <w:rsid w:val="00FC6FD3"/>
    <w:rsid w:val="00FD1C41"/>
    <w:rsid w:val="00FD5590"/>
    <w:rsid w:val="00FE1229"/>
    <w:rsid w:val="00FE2F3E"/>
    <w:rsid w:val="00FE5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E34CD4"/>
  <w15:chartTrackingRefBased/>
  <w15:docId w15:val="{A564B602-9805-47D2-8525-69E00333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1"/>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styleId="BalloonText">
    <w:name w:val="Balloon Text"/>
    <w:basedOn w:val="Normal"/>
    <w:link w:val="BalloonTextChar"/>
    <w:uiPriority w:val="99"/>
    <w:semiHidden/>
    <w:unhideWhenUsed/>
    <w:rsid w:val="00D6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825"/>
    <w:rPr>
      <w:rFonts w:ascii="Segoe UI" w:hAnsi="Segoe UI" w:cs="Segoe UI"/>
      <w:sz w:val="18"/>
      <w:szCs w:val="18"/>
    </w:rPr>
  </w:style>
  <w:style w:type="character" w:styleId="CommentReference">
    <w:name w:val="annotation reference"/>
    <w:basedOn w:val="DefaultParagraphFont"/>
    <w:uiPriority w:val="99"/>
    <w:semiHidden/>
    <w:unhideWhenUsed/>
    <w:rsid w:val="000C4E1E"/>
    <w:rPr>
      <w:sz w:val="16"/>
      <w:szCs w:val="16"/>
    </w:rPr>
  </w:style>
  <w:style w:type="paragraph" w:styleId="CommentText">
    <w:name w:val="annotation text"/>
    <w:basedOn w:val="Normal"/>
    <w:link w:val="CommentTextChar"/>
    <w:uiPriority w:val="99"/>
    <w:semiHidden/>
    <w:unhideWhenUsed/>
    <w:rsid w:val="000C4E1E"/>
    <w:pPr>
      <w:spacing w:line="240" w:lineRule="auto"/>
    </w:pPr>
    <w:rPr>
      <w:szCs w:val="20"/>
    </w:rPr>
  </w:style>
  <w:style w:type="character" w:customStyle="1" w:styleId="CommentTextChar">
    <w:name w:val="Comment Text Char"/>
    <w:basedOn w:val="DefaultParagraphFont"/>
    <w:link w:val="CommentText"/>
    <w:uiPriority w:val="99"/>
    <w:semiHidden/>
    <w:rsid w:val="000C4E1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C4E1E"/>
    <w:rPr>
      <w:b/>
      <w:bCs/>
    </w:rPr>
  </w:style>
  <w:style w:type="character" w:customStyle="1" w:styleId="CommentSubjectChar">
    <w:name w:val="Comment Subject Char"/>
    <w:basedOn w:val="CommentTextChar"/>
    <w:link w:val="CommentSubject"/>
    <w:uiPriority w:val="99"/>
    <w:semiHidden/>
    <w:rsid w:val="000C4E1E"/>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3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321BD-F1C2-415F-823B-0761A483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1157</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2018-08-10T21:27:00Z</dcterms:created>
  <dcterms:modified xsi:type="dcterms:W3CDTF">2018-08-10T21:27:00Z</dcterms:modified>
</cp:coreProperties>
</file>