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3D0A1B" w14:textId="6F1832DF" w:rsidR="00D15E11" w:rsidRPr="009F29FB" w:rsidRDefault="006F6A40" w:rsidP="00D15E11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="005666EA"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5666EA">
        <w:rPr>
          <w:rFonts w:cs="Arial"/>
          <w:bCs/>
          <w:noProof w:val="0"/>
          <w:sz w:val="24"/>
          <w:szCs w:val="24"/>
          <w:lang w:val="en-GB"/>
        </w:rPr>
        <w:t>88</w:t>
      </w:r>
      <w:r w:rsidR="00D15E11"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444F44" w:rsidRPr="00444F44">
        <w:rPr>
          <w:rFonts w:cs="Arial"/>
          <w:noProof w:val="0"/>
          <w:color w:val="000000" w:themeColor="text1"/>
          <w:sz w:val="24"/>
          <w:szCs w:val="24"/>
          <w:lang w:val="en-GB"/>
        </w:rPr>
        <w:t>R4-1810950</w:t>
      </w:r>
    </w:p>
    <w:p w14:paraId="1F024A06" w14:textId="1B4D6F7E" w:rsidR="00D15E11" w:rsidRPr="009F29FB" w:rsidRDefault="005666EA" w:rsidP="00D15E11">
      <w:pPr>
        <w:pStyle w:val="Header"/>
        <w:rPr>
          <w:rFonts w:cs="Arial"/>
          <w:bCs/>
          <w:noProof w:val="0"/>
          <w:color w:val="000000" w:themeColor="text1"/>
          <w:sz w:val="24"/>
          <w:lang w:eastAsia="ja-JP"/>
        </w:rPr>
      </w:pPr>
      <w:r w:rsidRPr="005666EA">
        <w:rPr>
          <w:rFonts w:eastAsia="新細明體" w:cs="Arial"/>
          <w:sz w:val="24"/>
          <w:lang w:eastAsia="zh-TW"/>
        </w:rPr>
        <w:t>Gothenburg, Sweden, 20th- 24th August, 2018</w:t>
      </w:r>
    </w:p>
    <w:p w14:paraId="35DE9522" w14:textId="04BAFBA9" w:rsidR="00D15E11" w:rsidRPr="009F29FB" w:rsidRDefault="00D15E11" w:rsidP="00D15E11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5666EA" w:rsidRPr="005666EA">
        <w:rPr>
          <w:rFonts w:cs="Arial"/>
          <w:b/>
          <w:bCs/>
          <w:sz w:val="24"/>
        </w:rPr>
        <w:t>7.11.4.2.2</w:t>
      </w:r>
    </w:p>
    <w:p w14:paraId="370C01BC" w14:textId="77777777" w:rsidR="00D15E11" w:rsidRPr="009F29FB" w:rsidRDefault="00D15E11" w:rsidP="00D15E11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0E2866D7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5666EA" w:rsidRPr="005666EA">
        <w:rPr>
          <w:rFonts w:ascii="Arial" w:hAnsi="Arial" w:cs="Arial"/>
          <w:b/>
          <w:bCs/>
          <w:color w:val="000000" w:themeColor="text1"/>
        </w:rPr>
        <w:t>Discussion on inter-frequency requirements</w:t>
      </w:r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77777777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61B01051" w14:textId="564CD0AA" w:rsidR="005666EA" w:rsidRDefault="005666EA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TW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eastAsiaTheme="minorEastAsia" w:cs="Arial"/>
          <w:sz w:val="22"/>
          <w:lang w:eastAsia="zh-TW"/>
        </w:rPr>
        <w:t>In last RAN4 #AH1807 meeting</w:t>
      </w:r>
      <w:r w:rsidR="00A028EF">
        <w:rPr>
          <w:rFonts w:eastAsiaTheme="minorEastAsia" w:cs="Arial"/>
          <w:sz w:val="22"/>
          <w:lang w:eastAsia="zh-TW"/>
        </w:rPr>
        <w:t xml:space="preserve">, </w:t>
      </w:r>
      <w:r>
        <w:rPr>
          <w:rFonts w:eastAsiaTheme="minorEastAsia" w:cs="Arial"/>
          <w:sz w:val="22"/>
          <w:lang w:eastAsia="zh-TW"/>
        </w:rPr>
        <w:t>the option 1 of gap sharing schemes had been agreed [1]: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5666EA" w14:paraId="55248E86" w14:textId="77777777" w:rsidTr="00FD747C">
        <w:trPr>
          <w:jc w:val="center"/>
        </w:trPr>
        <w:tc>
          <w:tcPr>
            <w:tcW w:w="9619" w:type="dxa"/>
          </w:tcPr>
          <w:p w14:paraId="0067319D" w14:textId="77777777" w:rsidR="005666EA" w:rsidRPr="001B5057" w:rsidRDefault="005666EA" w:rsidP="00FD747C">
            <w:pPr>
              <w:numPr>
                <w:ilvl w:val="0"/>
                <w:numId w:val="9"/>
              </w:numPr>
              <w:spacing w:after="0" w:line="288" w:lineRule="auto"/>
              <w:jc w:val="both"/>
              <w:rPr>
                <w:sz w:val="20"/>
                <w:szCs w:val="20"/>
              </w:rPr>
            </w:pPr>
            <w:r w:rsidRPr="001B5057">
              <w:rPr>
                <w:sz w:val="20"/>
                <w:szCs w:val="20"/>
              </w:rPr>
              <w:t>Applicability of measurement gap sharing factor:</w:t>
            </w:r>
          </w:p>
          <w:p w14:paraId="11E7136D" w14:textId="2B5549D1" w:rsidR="005666EA" w:rsidRPr="00D52FC3" w:rsidRDefault="005666EA" w:rsidP="00FD747C">
            <w:pPr>
              <w:numPr>
                <w:ilvl w:val="1"/>
                <w:numId w:val="9"/>
              </w:numPr>
              <w:spacing w:after="0" w:line="288" w:lineRule="auto"/>
              <w:jc w:val="both"/>
              <w:rPr>
                <w:sz w:val="20"/>
                <w:szCs w:val="20"/>
                <w:highlight w:val="green"/>
              </w:rPr>
            </w:pPr>
            <w:r w:rsidRPr="00D52FC3">
              <w:rPr>
                <w:sz w:val="20"/>
                <w:szCs w:val="20"/>
                <w:highlight w:val="green"/>
              </w:rPr>
              <w:t>Option 1: only gap occasions that both intra-frequency and inter-frequency/inter-RAT M</w:t>
            </w:r>
            <w:r>
              <w:rPr>
                <w:sz w:val="20"/>
                <w:szCs w:val="20"/>
                <w:highlight w:val="green"/>
              </w:rPr>
              <w:t>O</w:t>
            </w:r>
            <w:r w:rsidRPr="00D52FC3">
              <w:rPr>
                <w:sz w:val="20"/>
                <w:szCs w:val="20"/>
                <w:highlight w:val="green"/>
              </w:rPr>
              <w:t>s exist</w:t>
            </w:r>
          </w:p>
          <w:p w14:paraId="56C4C0C8" w14:textId="50484AB7" w:rsidR="005666EA" w:rsidRDefault="005666EA" w:rsidP="005666EA">
            <w:pPr>
              <w:pStyle w:val="CRCoverPage"/>
              <w:tabs>
                <w:tab w:val="right" w:pos="9639"/>
              </w:tabs>
              <w:spacing w:after="0"/>
              <w:rPr>
                <w:rFonts w:cs="Arial"/>
                <w:sz w:val="22"/>
                <w:lang w:val="en-US" w:eastAsia="ja-JP"/>
              </w:rPr>
            </w:pPr>
          </w:p>
        </w:tc>
      </w:tr>
    </w:tbl>
    <w:p w14:paraId="1B114F6B" w14:textId="5E99184F" w:rsidR="009C5564" w:rsidRDefault="005666EA" w:rsidP="00FD74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cs="Arial"/>
        </w:rPr>
      </w:pPr>
      <w:r>
        <w:rPr>
          <w:rFonts w:eastAsiaTheme="minorEastAsia" w:cs="Arial"/>
          <w:sz w:val="22"/>
          <w:lang w:eastAsia="zh-TW"/>
        </w:rPr>
        <w:t xml:space="preserve">This agreement has impact on the design of inter-frequency measurement requirement. The modifications of Alt.1 and Alt.2 are needed. Beside, in our previous paper [2], we give some observations and evaluation results to address the issue of inter-frequency measurement requirement Alt. 3: </w:t>
      </w:r>
      <w:r w:rsidRPr="005666EA">
        <w:rPr>
          <w:rFonts w:eastAsiaTheme="minorEastAsia" w:cs="Arial"/>
          <w:sz w:val="22"/>
          <w:lang w:eastAsia="zh-TW"/>
        </w:rPr>
        <w:t>UE can</w:t>
      </w:r>
      <w:r>
        <w:rPr>
          <w:rFonts w:eastAsiaTheme="minorEastAsia" w:cs="Arial"/>
          <w:sz w:val="22"/>
          <w:lang w:eastAsia="zh-TW"/>
        </w:rPr>
        <w:t>’t</w:t>
      </w:r>
      <w:r w:rsidRPr="005666EA">
        <w:rPr>
          <w:rFonts w:eastAsiaTheme="minorEastAsia" w:cs="Arial"/>
          <w:sz w:val="22"/>
          <w:lang w:eastAsia="zh-TW"/>
        </w:rPr>
        <w:t xml:space="preserve"> always obtain sufficient sample number in a measurement period</w:t>
      </w:r>
      <w:r>
        <w:rPr>
          <w:rFonts w:eastAsiaTheme="minorEastAsia" w:cs="Arial"/>
          <w:sz w:val="22"/>
          <w:lang w:eastAsia="zh-TW"/>
        </w:rPr>
        <w:t xml:space="preserve">. Considering the difficulty of listing all the </w:t>
      </w:r>
      <w:r w:rsidRPr="00FD747C">
        <w:rPr>
          <w:rFonts w:eastAsiaTheme="minorEastAsia" w:cs="Arial"/>
          <w:sz w:val="22"/>
          <w:lang w:eastAsia="zh-TW"/>
        </w:rPr>
        <w:t>fail cases</w:t>
      </w:r>
      <w:r>
        <w:rPr>
          <w:rFonts w:eastAsiaTheme="minorEastAsia" w:cs="Arial"/>
          <w:sz w:val="22"/>
          <w:lang w:eastAsia="zh-TW"/>
        </w:rPr>
        <w:t xml:space="preserve"> in the spec, in this paper we propose the modified version of </w:t>
      </w:r>
      <w:r w:rsidRPr="002446D6">
        <w:rPr>
          <w:rFonts w:eastAsiaTheme="minorEastAsia" w:cs="Arial"/>
          <w:sz w:val="22"/>
          <w:lang w:eastAsia="zh-TW"/>
        </w:rPr>
        <w:t xml:space="preserve">Alt. 3 to </w:t>
      </w:r>
      <w:r>
        <w:rPr>
          <w:rFonts w:eastAsiaTheme="minorEastAsia" w:cs="Arial"/>
          <w:sz w:val="22"/>
          <w:lang w:eastAsia="zh-TW"/>
        </w:rPr>
        <w:t xml:space="preserve">solve this issue. The idea </w:t>
      </w:r>
      <w:r w:rsidR="005374C5">
        <w:rPr>
          <w:rFonts w:eastAsiaTheme="minorEastAsia" w:cs="Arial"/>
          <w:sz w:val="22"/>
          <w:lang w:eastAsia="zh-TW"/>
        </w:rPr>
        <w:t>is borrowed from</w:t>
      </w:r>
      <w:r>
        <w:rPr>
          <w:rFonts w:eastAsiaTheme="minorEastAsia" w:cs="Arial"/>
          <w:sz w:val="22"/>
          <w:lang w:eastAsia="zh-TW"/>
        </w:rPr>
        <w:t xml:space="preserve"> Alt. 2 </w:t>
      </w:r>
      <w:r w:rsidR="005374C5">
        <w:rPr>
          <w:rFonts w:eastAsiaTheme="minorEastAsia" w:cs="Arial"/>
          <w:sz w:val="22"/>
          <w:lang w:eastAsia="zh-TW"/>
        </w:rPr>
        <w:t>but</w:t>
      </w:r>
      <w:r>
        <w:rPr>
          <w:rFonts w:eastAsiaTheme="minorEastAsia" w:cs="Arial"/>
          <w:sz w:val="22"/>
          <w:lang w:eastAsia="zh-TW"/>
        </w:rPr>
        <w:t xml:space="preserve"> still based on the assumption that</w:t>
      </w:r>
      <w:r w:rsidR="00343155" w:rsidRPr="002446D6">
        <w:rPr>
          <w:rFonts w:eastAsiaTheme="minorEastAsia" w:cs="Arial"/>
          <w:sz w:val="22"/>
          <w:lang w:eastAsia="zh-TW"/>
        </w:rPr>
        <w:t xml:space="preserve"> </w:t>
      </w:r>
      <w:r w:rsidR="00505B04" w:rsidRPr="002446D6">
        <w:rPr>
          <w:rFonts w:eastAsiaTheme="minorEastAsia" w:cs="Arial"/>
          <w:i/>
          <w:sz w:val="22"/>
          <w:lang w:eastAsia="zh-TW"/>
        </w:rPr>
        <w:t>gap occasion based round-robin inter-frequency measurement scheduling method</w:t>
      </w:r>
      <w:r w:rsidR="00505B04" w:rsidRPr="00FD747C">
        <w:rPr>
          <w:rFonts w:eastAsiaTheme="minorEastAsia" w:cs="Arial"/>
          <w:i/>
          <w:sz w:val="22"/>
          <w:lang w:eastAsia="zh-TW"/>
        </w:rPr>
        <w:t xml:space="preserve"> </w:t>
      </w:r>
      <w:r w:rsidR="00505B04" w:rsidRPr="002446D6">
        <w:rPr>
          <w:rFonts w:eastAsiaTheme="minorEastAsia" w:cs="Arial"/>
          <w:sz w:val="22"/>
          <w:lang w:eastAsia="zh-TW"/>
        </w:rPr>
        <w:t>[</w:t>
      </w:r>
      <w:r>
        <w:rPr>
          <w:rFonts w:eastAsiaTheme="minorEastAsia" w:cs="Arial"/>
          <w:sz w:val="22"/>
          <w:lang w:eastAsia="zh-TW"/>
        </w:rPr>
        <w:t xml:space="preserve">3] is used. </w:t>
      </w:r>
      <w:r w:rsidR="009C5564">
        <w:rPr>
          <w:rFonts w:eastAsiaTheme="minorEastAsia" w:cs="Arial"/>
          <w:sz w:val="22"/>
          <w:lang w:eastAsia="zh-TW"/>
        </w:rPr>
        <w:t>Regarding the issue of 2DR</w:t>
      </w:r>
      <w:r w:rsidR="009C5564">
        <w:rPr>
          <w:rFonts w:eastAsiaTheme="minorEastAsia" w:cs="Arial" w:hint="eastAsia"/>
          <w:sz w:val="22"/>
          <w:lang w:eastAsia="zh-TW"/>
        </w:rPr>
        <w:t xml:space="preserve">X </w:t>
      </w:r>
      <w:r w:rsidR="009C5564">
        <w:rPr>
          <w:rFonts w:eastAsiaTheme="minorEastAsia" w:cs="Arial"/>
          <w:sz w:val="22"/>
          <w:lang w:eastAsia="zh-TW"/>
        </w:rPr>
        <w:t xml:space="preserve">cycle configured by </w:t>
      </w:r>
      <w:r w:rsidR="005374C5">
        <w:rPr>
          <w:rFonts w:eastAsiaTheme="minorEastAsia" w:cs="Arial"/>
          <w:sz w:val="22"/>
          <w:lang w:eastAsia="zh-TW"/>
        </w:rPr>
        <w:t>MN and SN</w:t>
      </w:r>
      <w:r w:rsidR="009C5564">
        <w:rPr>
          <w:rFonts w:eastAsiaTheme="minorEastAsia" w:cs="Arial"/>
          <w:sz w:val="22"/>
          <w:lang w:eastAsia="zh-TW"/>
        </w:rPr>
        <w:t xml:space="preserve">, we suggest to define the </w:t>
      </w:r>
      <w:r w:rsidR="009C5564" w:rsidRPr="009C5564">
        <w:rPr>
          <w:rFonts w:eastAsiaTheme="minorEastAsia" w:cs="Arial"/>
          <w:sz w:val="22"/>
          <w:lang w:eastAsia="zh-TW"/>
        </w:rPr>
        <w:t>minimum requirements</w:t>
      </w:r>
      <w:r w:rsidR="009C5564">
        <w:rPr>
          <w:rFonts w:eastAsiaTheme="minorEastAsia" w:cs="Arial"/>
          <w:sz w:val="22"/>
          <w:lang w:eastAsia="zh-TW"/>
        </w:rPr>
        <w:t xml:space="preserve"> to </w:t>
      </w:r>
      <w:r w:rsidR="009C5564" w:rsidRPr="009C5564">
        <w:rPr>
          <w:rFonts w:eastAsiaTheme="minorEastAsia" w:cs="Arial"/>
          <w:sz w:val="22"/>
          <w:lang w:eastAsia="zh-TW"/>
        </w:rPr>
        <w:t>facilitate the UE implementation</w:t>
      </w:r>
      <w:r w:rsidR="009C5564">
        <w:rPr>
          <w:rFonts w:eastAsiaTheme="minorEastAsia" w:cs="Arial"/>
          <w:sz w:val="22"/>
          <w:lang w:eastAsia="zh-TW"/>
        </w:rPr>
        <w:t>.</w:t>
      </w:r>
    </w:p>
    <w:p w14:paraId="082DF8B8" w14:textId="697E159F" w:rsidR="00242B9F" w:rsidRPr="001F61A8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9C5564">
        <w:rPr>
          <w:rFonts w:cs="Arial"/>
          <w:color w:val="000000" w:themeColor="text1"/>
        </w:rPr>
        <w:t>Inter-frequency</w:t>
      </w:r>
      <w:r w:rsidR="0058331C">
        <w:rPr>
          <w:rFonts w:cs="Arial"/>
          <w:color w:val="000000" w:themeColor="text1"/>
        </w:rPr>
        <w:t xml:space="preserve"> Measurement Requirement</w:t>
      </w:r>
    </w:p>
    <w:p w14:paraId="51B7094B" w14:textId="3F387DBD" w:rsidR="009C5564" w:rsidRDefault="008A7C93" w:rsidP="00955110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Based on the agreement in last meeting, gap sharing factors are only applied on </w:t>
      </w:r>
      <w:r w:rsidRPr="008A7C93">
        <w:rPr>
          <w:rFonts w:ascii="Arial" w:eastAsiaTheme="minorEastAsia" w:hAnsi="Arial" w:cs="Arial"/>
          <w:b w:val="0"/>
          <w:sz w:val="22"/>
          <w:szCs w:val="22"/>
        </w:rPr>
        <w:t>gap occasions that both intra-frequency and inter-frequency/inter-RAT MOs exist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. The inter-frequency measurement requirement needs to distinguish the gap occasions that need the gap sharing factors or not. The principle of Alt. 3 has addressed this issue in the formula as follows: </w:t>
      </w:r>
    </w:p>
    <w:p w14:paraId="6229E6DF" w14:textId="43489214" w:rsidR="008A7C93" w:rsidRPr="007C0FF6" w:rsidRDefault="00052DA7" w:rsidP="008A7C93">
      <w:pPr>
        <w:kinsoku w:val="0"/>
        <w:overflowPunct w:val="0"/>
        <w:spacing w:after="0" w:line="240" w:lineRule="auto"/>
        <w:ind w:left="644"/>
        <w:contextualSpacing/>
        <w:textAlignment w:val="baseline"/>
        <w:rPr>
          <w:rFonts w:eastAsia="SimSun" w:cs="Arial"/>
          <w:color w:val="000000"/>
          <w:kern w:val="24"/>
          <w:sz w:val="20"/>
          <w:szCs w:val="20"/>
        </w:rPr>
      </w:pPr>
      <m:oMathPara>
        <m:oMath>
          <m:sSubSup>
            <m:sSubSupPr>
              <m:ctrlPr>
                <w:rPr>
                  <w:rFonts w:ascii="Cambria Math" w:eastAsia="SimSun" w:hAnsi="Cambria Math" w:cs="Arial"/>
                  <w:i/>
                  <w:color w:val="000000"/>
                  <w:kern w:val="24"/>
                  <w:sz w:val="20"/>
                  <w:szCs w:val="20"/>
                </w:rPr>
              </m:ctrlPr>
            </m:sSubSupPr>
            <m:e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inter,#i</m:t>
              </m:r>
            </m:sub>
            <m:sup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alt3</m:t>
              </m:r>
            </m:sup>
          </m:sSubSup>
          <m: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=M×</m:t>
          </m:r>
          <m:sSubSup>
            <m:sSubSupPr>
              <m:ctrlPr>
                <w:rPr>
                  <w:rFonts w:ascii="Cambria Math" w:eastAsia="SimSun" w:hAnsi="Cambria Math" w:cs="Arial"/>
                  <w:i/>
                  <w:color w:val="000000"/>
                  <w:kern w:val="24"/>
                  <w:sz w:val="20"/>
                  <w:szCs w:val="20"/>
                </w:rPr>
              </m:ctrlPr>
            </m:sSubSupPr>
            <m:e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N</m:t>
              </m:r>
            </m:e>
            <m:sub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scaling</m:t>
              </m:r>
            </m:sub>
            <m:sup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#i</m:t>
              </m:r>
            </m:sup>
          </m:sSubSup>
          <m: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×</m:t>
          </m:r>
          <m:r>
            <m:rPr>
              <m:sty m:val="p"/>
            </m:rP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max⁡</m:t>
          </m:r>
          <m: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(MGRP,</m:t>
          </m:r>
          <m:sSubSup>
            <m:sSubSupPr>
              <m:ctrlPr>
                <w:rPr>
                  <w:rFonts w:ascii="Cambria Math" w:eastAsia="SimSun" w:hAnsi="Cambria Math" w:cs="Arial"/>
                  <w:i/>
                  <w:color w:val="000000"/>
                  <w:kern w:val="24"/>
                  <w:sz w:val="20"/>
                  <w:szCs w:val="20"/>
                </w:rPr>
              </m:ctrlPr>
            </m:sSubSupPr>
            <m:e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SMTC</m:t>
              </m:r>
            </m:sub>
            <m:sup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#i</m:t>
              </m:r>
            </m:sup>
          </m:sSubSup>
          <m: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), i=1,2..</m:t>
          </m:r>
          <m:sSub>
            <m:sSubPr>
              <m:ctrlPr>
                <w:rPr>
                  <w:rFonts w:ascii="Cambria Math" w:eastAsia="SimSun" w:hAnsi="Cambria Math" w:cs="Arial"/>
                  <w:i/>
                  <w:color w:val="000000"/>
                  <w:kern w:val="24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N</m:t>
              </m:r>
            </m:e>
            <m:sub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freq</m:t>
              </m:r>
            </m:sub>
          </m:sSub>
          <m: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.</m:t>
          </m:r>
        </m:oMath>
      </m:oMathPara>
    </w:p>
    <w:p w14:paraId="69BF1232" w14:textId="26F9B6AF" w:rsidR="008A7C93" w:rsidRDefault="008A7C93" w:rsidP="00FD747C">
      <w:pPr>
        <w:rPr>
          <w:vertAlign w:val="subscript"/>
        </w:rPr>
      </w:pPr>
      <w:r>
        <w:t xml:space="preserve">                       where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scaling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#i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vertAlign w:val="subscript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G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MGRP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sub>
                    </m:sSub>
                  </m:e>
                </m:nary>
              </m:den>
            </m:f>
          </m:e>
        </m:d>
      </m:oMath>
      <w:r>
        <w:rPr>
          <w:vertAlign w:val="subscript"/>
        </w:rPr>
        <w:t xml:space="preserve">   </w:t>
      </w:r>
    </w:p>
    <w:p w14:paraId="4912AA66" w14:textId="3EFE0C8A" w:rsidR="008A7C93" w:rsidRDefault="008A7C93" w:rsidP="00764D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Detail definition of each parameter can be found in Appendix A. The scaling factor </w:t>
      </w: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scaling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#i</m:t>
            </m:r>
          </m:sup>
        </m:sSubSup>
      </m:oMath>
      <w:r w:rsidR="00764D8C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>
        <w:rPr>
          <w:rFonts w:ascii="Arial" w:hAnsi="Arial" w:cs="Arial"/>
        </w:rPr>
        <w:t xml:space="preserve">considers the number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j</m:t>
            </m:r>
          </m:sub>
        </m:sSub>
      </m:oMath>
      <w:r>
        <w:rPr>
          <w:rFonts w:ascii="Arial" w:hAnsi="Arial" w:cs="Arial"/>
        </w:rPr>
        <w:t xml:space="preserve"> and the type (intra-freq. or inter-freq.) of observed MOs in each gap </w:t>
      </w:r>
      <w:r>
        <w:rPr>
          <w:rFonts w:ascii="Arial" w:hAnsi="Arial" w:cs="Arial"/>
        </w:rPr>
        <w:lastRenderedPageBreak/>
        <w:t xml:space="preserve">occasion. It can be </w:t>
      </w:r>
      <w:r w:rsidR="00764D8C">
        <w:rPr>
          <w:rFonts w:ascii="Arial" w:hAnsi="Arial" w:cs="Arial"/>
        </w:rPr>
        <w:t xml:space="preserve">interpreted </w:t>
      </w:r>
      <w:r>
        <w:rPr>
          <w:rFonts w:ascii="Arial" w:hAnsi="Arial" w:cs="Arial"/>
        </w:rPr>
        <w:t>as the a</w:t>
      </w:r>
      <w:r w:rsidR="007D4B22">
        <w:rPr>
          <w:rFonts w:ascii="Arial" w:hAnsi="Arial" w:cs="Arial"/>
        </w:rPr>
        <w:t>v</w:t>
      </w:r>
      <w:r>
        <w:rPr>
          <w:rFonts w:ascii="Arial" w:hAnsi="Arial" w:cs="Arial"/>
        </w:rPr>
        <w:t>erage measurement opportunity of target MO #i. However, as we explain in our previous paper [</w:t>
      </w:r>
      <w:r w:rsidR="007D4B2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], </w:t>
      </w:r>
      <w:r w:rsidR="00764D8C">
        <w:rPr>
          <w:rFonts w:ascii="Arial" w:hAnsi="Arial" w:cs="Arial"/>
        </w:rPr>
        <w:t xml:space="preserve">an average value means that UE does not always get an exact number in </w:t>
      </w:r>
      <w:r w:rsidR="00D25574">
        <w:rPr>
          <w:rFonts w:ascii="Arial" w:hAnsi="Arial" w:cs="Arial"/>
        </w:rPr>
        <w:t>every</w:t>
      </w:r>
      <w:r w:rsidR="00764D8C">
        <w:rPr>
          <w:rFonts w:ascii="Arial" w:hAnsi="Arial" w:cs="Arial"/>
        </w:rPr>
        <w:t xml:space="preserve"> measurement period. Sometimes more, but some time less. </w:t>
      </w:r>
    </w:p>
    <w:p w14:paraId="4F3CD177" w14:textId="025F9F0F" w:rsidR="003E3DAF" w:rsidRDefault="003E3DAF" w:rsidP="00FD747C">
      <w:pPr>
        <w:rPr>
          <w:rFonts w:ascii="Arial" w:hAnsi="Arial" w:cs="Arial"/>
        </w:rPr>
      </w:pPr>
    </w:p>
    <w:p w14:paraId="2639A290" w14:textId="31C04668" w:rsidR="00AC054C" w:rsidRDefault="003E3DAF" w:rsidP="00FD747C">
      <w:pPr>
        <w:rPr>
          <w:rFonts w:ascii="Arial" w:hAnsi="Arial" w:cs="Arial"/>
        </w:rPr>
      </w:pPr>
      <w:r>
        <w:rPr>
          <w:rFonts w:ascii="Arial" w:hAnsi="Arial" w:cs="Arial"/>
        </w:rPr>
        <w:t>To address this</w:t>
      </w:r>
      <w:r w:rsidR="008A7C93">
        <w:rPr>
          <w:rFonts w:ascii="Arial" w:hAnsi="Arial" w:cs="Arial"/>
        </w:rPr>
        <w:t xml:space="preserve"> problem </w:t>
      </w:r>
      <w:r>
        <w:rPr>
          <w:rFonts w:ascii="Arial" w:hAnsi="Arial" w:cs="Arial"/>
        </w:rPr>
        <w:t xml:space="preserve">and also to provide a compromise solution between Alt.2 and Alt.3, we suggest </w:t>
      </w:r>
      <w:r w:rsidR="008A7C93">
        <w:rPr>
          <w:rFonts w:ascii="Arial" w:hAnsi="Arial" w:cs="Arial"/>
        </w:rPr>
        <w:t xml:space="preserve">to </w:t>
      </w:r>
      <w:r w:rsidR="00493895">
        <w:rPr>
          <w:rFonts w:ascii="Arial" w:hAnsi="Arial" w:cs="Arial"/>
        </w:rPr>
        <w:t xml:space="preserve">assume lowest </w:t>
      </w:r>
      <w:r w:rsidR="008A7C93">
        <w:rPr>
          <w:rFonts w:ascii="Arial" w:hAnsi="Arial" w:cs="Arial"/>
        </w:rPr>
        <w:t xml:space="preserve">measurement opportunity to calculate the scaling factor, i.e., </w:t>
      </w:r>
    </w:p>
    <w:p w14:paraId="253BAD40" w14:textId="1E7F1A13" w:rsidR="008A7C93" w:rsidRPr="00F74741" w:rsidRDefault="00AC054C" w:rsidP="00F74741">
      <w:pPr>
        <w:pStyle w:val="ListParagraph"/>
        <w:numPr>
          <w:ilvl w:val="0"/>
          <w:numId w:val="9"/>
        </w:numPr>
        <w:rPr>
          <w:rFonts w:ascii="Arial" w:hAnsi="Arial" w:cs="Arial"/>
          <w:highlight w:val="yellow"/>
        </w:rPr>
      </w:pPr>
      <w:r w:rsidRPr="00F74741">
        <w:rPr>
          <w:rFonts w:ascii="Arial" w:hAnsi="Arial" w:cs="Arial"/>
          <w:highlight w:val="yellow"/>
        </w:rPr>
        <w:t>when it doesn’t need gap sharing in gap occasion #j</w:t>
      </w:r>
      <w:r w:rsidR="008A7C93" w:rsidRPr="00F74741">
        <w:rPr>
          <w:rFonts w:ascii="Arial" w:hAnsi="Arial" w:cs="Arial"/>
        </w:rPr>
        <w:br/>
        <w:t xml:space="preserve">   </w:t>
      </w:r>
      <m:oMath>
        <m:sSub>
          <m:sSubPr>
            <m:ctrlPr>
              <w:rPr>
                <w:rFonts w:ascii="Cambria Math" w:hAnsi="Cambria Math"/>
                <w:i/>
                <w:iCs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ε</m:t>
            </m:r>
          </m:e>
          <m:sub>
            <m:r>
              <w:rPr>
                <w:rFonts w:ascii="Cambria Math" w:hAnsi="Cambria Math"/>
                <w:highlight w:val="yellow"/>
              </w:rPr>
              <m:t>i,j</m:t>
            </m:r>
          </m:sub>
        </m:sSub>
        <m:r>
          <w:rPr>
            <w:rFonts w:ascii="Cambria Math" w:hAnsi="Cambria Math"/>
            <w:highlight w:val="yellow"/>
          </w:rPr>
          <m:t>=</m:t>
        </m:r>
        <m:f>
          <m:fPr>
            <m:ctrlPr>
              <w:rPr>
                <w:rFonts w:ascii="Cambria Math" w:hAnsi="Cambria Math"/>
                <w:i/>
                <w:iCs/>
                <w:highlight w:val="yellow"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1</m:t>
            </m:r>
          </m:num>
          <m:den>
            <m:r>
              <w:rPr>
                <w:rFonts w:ascii="Cambria Math" w:hAnsi="Cambria Math"/>
                <w:highlight w:val="yellow"/>
              </w:rPr>
              <m:t>θ</m:t>
            </m:r>
          </m:den>
        </m:f>
      </m:oMath>
      <w:r w:rsidR="008A7C93" w:rsidRPr="00F74741">
        <w:rPr>
          <w:rFonts w:ascii="Arial" w:hAnsi="Arial" w:cs="Arial"/>
          <w:iCs/>
          <w:highlight w:val="yellow"/>
        </w:rPr>
        <w:t xml:space="preserve">, where </w:t>
      </w:r>
      <m:oMath>
        <m:r>
          <w:rPr>
            <w:rFonts w:ascii="Cambria Math" w:hAnsi="Cambria Math" w:cs="Arial"/>
            <w:highlight w:val="yellow"/>
          </w:rPr>
          <m:t>θ</m:t>
        </m:r>
        <m:r>
          <m:rPr>
            <m:sty m:val="p"/>
          </m:rPr>
          <w:rPr>
            <w:rFonts w:ascii="Cambria Math" w:hAnsi="Cambria Math" w:cs="Arial"/>
            <w:highlight w:val="yellow"/>
          </w:rPr>
          <m:t>=</m:t>
        </m:r>
        <m:func>
          <m:funcPr>
            <m:ctrlPr>
              <w:rPr>
                <w:rFonts w:ascii="Cambria Math" w:hAnsi="Cambria Math" w:cs="Arial"/>
                <w:highlight w:val="yellow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highlight w:val="yellow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highlight w:val="yellow"/>
                  </w:rPr>
                  <m:t>max</m:t>
                </m:r>
              </m:e>
              <m:lim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0≤j'≤</m:t>
                </m:r>
                <m:d>
                  <m:d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vertAlign w:val="subscript"/>
                          </w:rPr>
                          <m:t>G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vertAlign w:val="subscript"/>
                          </w:rPr>
                          <m:t>MGRP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 w:cs="Arial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highlight w:val="yellow"/>
                  </w:rPr>
                  <m:t xml:space="preserve"> </m:t>
                </m:r>
                <m:r>
                  <w:rPr>
                    <w:rFonts w:ascii="Cambria Math" w:hAnsi="Cambria Math" w:cs="Arial"/>
                    <w:highlight w:val="yellow"/>
                  </w:rPr>
                  <m:t>θ</m:t>
                </m:r>
              </m:e>
              <m:sub>
                <m:r>
                  <w:rPr>
                    <w:rFonts w:ascii="Cambria Math" w:hAnsi="Cambria Math" w:cs="Arial"/>
                    <w:highlight w:val="yellow"/>
                  </w:rPr>
                  <m:t>j'</m:t>
                </m:r>
              </m:sub>
            </m:sSub>
            <m:r>
              <w:rPr>
                <w:rFonts w:ascii="Cambria Math" w:hAnsi="Cambria Math" w:cs="Arial"/>
                <w:highlight w:val="yellow"/>
              </w:rPr>
              <m:t>,</m:t>
            </m:r>
          </m:e>
        </m:func>
      </m:oMath>
      <w:r w:rsidR="008A7C93" w:rsidRPr="00F74741">
        <w:rPr>
          <w:rFonts w:ascii="Arial" w:hAnsi="Arial" w:cs="Arial"/>
          <w:highlight w:val="yellow"/>
        </w:rPr>
        <w:t xml:space="preserve">   ,</w:t>
      </w:r>
    </w:p>
    <w:p w14:paraId="274887CF" w14:textId="248ED762" w:rsidR="00AC054C" w:rsidRDefault="00AC054C" w:rsidP="00F74741">
      <w:pPr>
        <w:pStyle w:val="ListParagraph"/>
        <w:numPr>
          <w:ilvl w:val="0"/>
          <w:numId w:val="9"/>
        </w:numPr>
        <w:rPr>
          <w:rFonts w:ascii="Arial" w:hAnsi="Arial" w:cs="Arial"/>
          <w:highlight w:val="yellow"/>
        </w:rPr>
      </w:pPr>
      <w:r w:rsidRPr="00F74741">
        <w:rPr>
          <w:rFonts w:ascii="Arial" w:hAnsi="Arial" w:cs="Arial"/>
          <w:highlight w:val="yellow"/>
        </w:rPr>
        <w:t>when it needs gap sharing in gap occasion #j</w:t>
      </w:r>
    </w:p>
    <w:p w14:paraId="082B24D2" w14:textId="2886AE51" w:rsidR="003E3DAF" w:rsidRDefault="003E3DAF" w:rsidP="00F74741">
      <w:pPr>
        <w:pStyle w:val="ListParagraph"/>
        <w:numPr>
          <w:ilvl w:val="1"/>
          <w:numId w:val="9"/>
        </w:numPr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For an intra-frequency layer #i</w:t>
      </w:r>
    </w:p>
    <w:p w14:paraId="291D5600" w14:textId="6FC55B88" w:rsidR="003E3DAF" w:rsidRPr="003E3DAF" w:rsidRDefault="00052DA7" w:rsidP="00952542">
      <w:pPr>
        <w:pStyle w:val="ListParagraph"/>
        <w:ind w:left="1988"/>
        <w:rPr>
          <w:rFonts w:ascii="Arial" w:hAnsi="Arial" w:cs="Arial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</w:rPr>
                <m:t>ε</m:t>
              </m:r>
            </m:e>
            <m:sub>
              <m:r>
                <w:rPr>
                  <w:rFonts w:ascii="Cambria Math" w:hAnsi="Cambria Math"/>
                  <w:highlight w:val="yellow"/>
                </w:rPr>
                <m:t>i,j</m:t>
              </m:r>
            </m:sub>
          </m:sSub>
          <m:r>
            <w:rPr>
              <w:rFonts w:ascii="Cambria Math" w:hAnsi="Cambria Math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highlight w:val="yellow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intra</m:t>
                      </m:r>
                    </m:sub>
                  </m:sSub>
                  <m:r>
                    <w:rPr>
                      <w:rFonts w:ascii="Cambria Math" w:hAnsi="Cambria Math"/>
                      <w:highlight w:val="yellow"/>
                    </w:rPr>
                    <m:t>×θ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intra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highlight w:val="yellow"/>
            </w:rPr>
            <m:t xml:space="preserve">, where   </m:t>
          </m:r>
          <m:sSub>
            <m:sSubPr>
              <m:ctrlPr>
                <w:rPr>
                  <w:rFonts w:ascii="Cambria Math" w:hAnsi="Cambria Math"/>
                  <w:i/>
                  <w:iCs/>
                  <w:highlight w:val="yellow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  <w:vertAlign w:val="subscript"/>
                </w:rPr>
                <m:t>θ</m:t>
              </m:r>
            </m:e>
            <m:sub>
              <m:r>
                <w:rPr>
                  <w:rFonts w:ascii="Cambria Math" w:hAnsi="Cambria Math"/>
                  <w:highlight w:val="yellow"/>
                  <w:vertAlign w:val="subscript"/>
                </w:rPr>
                <m:t>intra</m:t>
              </m:r>
            </m:sub>
          </m:sSub>
          <m:r>
            <m:rPr>
              <m:sty m:val="p"/>
            </m:rPr>
            <w:rPr>
              <w:rFonts w:ascii="Cambria Math" w:hAnsi="Cambria Math"/>
              <w:highlight w:val="yellow"/>
              <w:vertAlign w:val="subscript"/>
            </w:rPr>
            <m:t xml:space="preserve"> </m:t>
          </m:r>
          <m:r>
            <w:rPr>
              <w:rFonts w:ascii="Cambria Math" w:hAnsi="Cambria Math"/>
              <w:highlight w:val="yellow"/>
              <w:vertAlign w:val="subscript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  <w:highlight w:val="yellow"/>
                  <w:vertAlign w:val="subscript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iCs/>
                      <w:highlight w:val="yellow"/>
                      <w:vertAlign w:val="subscript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vertAlign w:val="subscript"/>
                    </w:rPr>
                    <m:t xml:space="preserve">max </m:t>
                  </m:r>
                </m:e>
                <m:lim>
                  <m:r>
                    <w:rPr>
                      <w:rFonts w:ascii="Cambria Math" w:hAnsi="Cambria Math"/>
                      <w:highlight w:val="yellow"/>
                      <w:vertAlign w:val="subscript"/>
                    </w:rPr>
                    <m:t>0≤j'≤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vertAlign w:val="subscript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G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MGRP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vertAlign w:val="subscript"/>
                    </w:rPr>
                    <m:t>-1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yellow"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vertAlign w:val="subscript"/>
                    </w:rPr>
                    <m:t xml:space="preserve"> θ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vertAlign w:val="subscript"/>
                    </w:rPr>
                    <m:t>intra,j'</m:t>
                  </m:r>
                </m:sub>
              </m:sSub>
            </m:e>
          </m:func>
        </m:oMath>
      </m:oMathPara>
    </w:p>
    <w:p w14:paraId="6D7BD98F" w14:textId="2C56DFA1" w:rsidR="00F74741" w:rsidRPr="00F74741" w:rsidRDefault="003E3DAF" w:rsidP="00F74741">
      <w:pPr>
        <w:pStyle w:val="ListParagraph"/>
        <w:numPr>
          <w:ilvl w:val="1"/>
          <w:numId w:val="9"/>
        </w:numPr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For an inter-frequency layer #i</w:t>
      </w:r>
    </w:p>
    <w:p w14:paraId="4623F460" w14:textId="457A863E" w:rsidR="008A7C93" w:rsidRPr="00F74741" w:rsidRDefault="00052DA7" w:rsidP="00F74741">
      <w:pPr>
        <w:pStyle w:val="ListParagraph"/>
        <w:ind w:left="0"/>
        <w:rPr>
          <w:rFonts w:ascii="Cambria Math" w:hAnsi="Cambria Math"/>
          <w:i/>
          <w:iCs/>
          <w:highlight w:val="yello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</w:rPr>
                <m:t>ε</m:t>
              </m:r>
            </m:e>
            <m:sub>
              <m:r>
                <w:rPr>
                  <w:rFonts w:ascii="Cambria Math" w:hAnsi="Cambria Math"/>
                  <w:highlight w:val="yellow"/>
                </w:rPr>
                <m:t>i,j</m:t>
              </m:r>
            </m:sub>
          </m:sSub>
          <m:r>
            <w:rPr>
              <w:rFonts w:ascii="Cambria Math" w:hAnsi="Cambria Math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highlight w:val="yellow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inter</m:t>
                      </m:r>
                    </m:sub>
                  </m:sSub>
                  <m:r>
                    <w:rPr>
                      <w:rFonts w:ascii="Cambria Math" w:hAnsi="Cambria Math"/>
                      <w:highlight w:val="yellow"/>
                    </w:rPr>
                    <m:t>×θ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inter</m:t>
                  </m:r>
                </m:sub>
              </m:sSub>
            </m:den>
          </m:f>
          <m:r>
            <w:rPr>
              <w:rFonts w:ascii="Cambria Math" w:hAnsi="Cambria Math"/>
              <w:highlight w:val="yellow"/>
            </w:rPr>
            <m:t xml:space="preserve">, where   </m:t>
          </m:r>
          <m:sSub>
            <m:sSubPr>
              <m:ctrlPr>
                <w:rPr>
                  <w:rFonts w:ascii="Cambria Math" w:hAnsi="Cambria Math"/>
                  <w:i/>
                  <w:iCs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</w:rPr>
                <m:t>θ</m:t>
              </m:r>
            </m:e>
            <m:sub>
              <m:r>
                <w:rPr>
                  <w:rFonts w:ascii="Cambria Math" w:hAnsi="Cambria Math"/>
                  <w:highlight w:val="yellow"/>
                </w:rPr>
                <m:t>inter</m:t>
              </m:r>
            </m:sub>
          </m:sSub>
          <m:r>
            <w:rPr>
              <w:rFonts w:ascii="Cambria Math" w:hAnsi="Cambria Math"/>
              <w:highlight w:val="yellow"/>
            </w:rPr>
            <m:t xml:space="preserve"> =</m:t>
          </m:r>
          <m:func>
            <m:funcPr>
              <m:ctrlPr>
                <w:rPr>
                  <w:rFonts w:ascii="Cambria Math" w:hAnsi="Cambria Math"/>
                  <w:i/>
                  <w:iCs/>
                  <w:highlight w:val="yellow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limLowPr>
                <m:e>
                  <m:r>
                    <w:rPr>
                      <w:rFonts w:ascii="Cambria Math" w:hAnsi="Cambria Math"/>
                      <w:highlight w:val="yellow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highlight w:val="yellow"/>
                      <w:vertAlign w:val="subscript"/>
                    </w:rPr>
                    <m:t>0≤j'≤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vertAlign w:val="subscript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G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MGRP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vertAlign w:val="subscript"/>
                    </w:rPr>
                    <m:t>-1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 xml:space="preserve"> θ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inter,j'</m:t>
                  </m:r>
                </m:sub>
              </m:sSub>
            </m:e>
          </m:func>
        </m:oMath>
      </m:oMathPara>
    </w:p>
    <w:p w14:paraId="47920EF6" w14:textId="087CE446" w:rsidR="00F74741" w:rsidRDefault="008A7C93" w:rsidP="00FD747C">
      <w:pPr>
        <w:rPr>
          <w:rFonts w:ascii="Arial" w:hAnsi="Arial" w:cs="Arial"/>
        </w:rPr>
      </w:pPr>
      <w:r>
        <w:rPr>
          <w:rFonts w:ascii="Arial" w:hAnsi="Arial" w:cs="Arial"/>
        </w:rPr>
        <w:t>This relaxation can provide UE flexibility on scheduling and there</w:t>
      </w:r>
      <w:r w:rsidR="002446D6">
        <w:rPr>
          <w:rFonts w:ascii="Arial" w:hAnsi="Arial" w:cs="Arial"/>
        </w:rPr>
        <w:t xml:space="preserve"> is no need to add ceiling func</w:t>
      </w:r>
      <w:r>
        <w:rPr>
          <w:rFonts w:ascii="Arial" w:hAnsi="Arial" w:cs="Arial"/>
        </w:rPr>
        <w:t>t</w:t>
      </w:r>
      <w:r w:rsidR="002446D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on. Therefore, we propose   </w:t>
      </w:r>
    </w:p>
    <w:p w14:paraId="06F120CA" w14:textId="0D332374" w:rsidR="00F74741" w:rsidRDefault="00957D95" w:rsidP="00952542">
      <w:pPr>
        <w:rPr>
          <w:rFonts w:ascii="Arial" w:hAnsi="Arial" w:cs="Arial"/>
          <w:b/>
          <w:iCs/>
          <w:vertAlign w:val="subscript"/>
        </w:rPr>
      </w:pPr>
      <w:bookmarkStart w:id="6" w:name="_Ref514664020"/>
      <w:bookmarkStart w:id="7" w:name="_Ref521427809"/>
      <w:bookmarkStart w:id="8" w:name="_Ref521427869"/>
      <w:bookmarkStart w:id="9" w:name="_Ref521427900"/>
      <w:bookmarkStart w:id="10" w:name="_Ref521427735"/>
      <w:bookmarkStart w:id="11" w:name="_Ref521427670"/>
      <w:bookmarkStart w:id="12" w:name="_Ref521271611"/>
      <w:bookmarkStart w:id="13" w:name="_Ref510482977"/>
      <w:bookmarkStart w:id="14" w:name="_Ref514060750"/>
      <w:bookmarkEnd w:id="0"/>
      <w:bookmarkEnd w:id="1"/>
      <w:bookmarkEnd w:id="2"/>
      <w:bookmarkEnd w:id="3"/>
      <w:bookmarkEnd w:id="4"/>
      <w:bookmarkEnd w:id="5"/>
      <w:r w:rsidRPr="00952542">
        <w:rPr>
          <w:rFonts w:ascii="Arial" w:hAnsi="Arial" w:cs="Arial"/>
          <w:b/>
          <w:i/>
          <w:noProof/>
          <w:sz w:val="24"/>
        </w:rPr>
        <w:t xml:space="preserve">Proposal </w:t>
      </w:r>
      <w:r w:rsidRPr="00952542">
        <w:rPr>
          <w:rFonts w:ascii="Arial" w:hAnsi="Arial" w:cs="Arial"/>
          <w:b/>
          <w:i/>
          <w:noProof/>
          <w:sz w:val="24"/>
        </w:rPr>
        <w:fldChar w:fldCharType="begin"/>
      </w:r>
      <w:r w:rsidRPr="00952542">
        <w:rPr>
          <w:rFonts w:ascii="Arial" w:hAnsi="Arial" w:cs="Arial"/>
          <w:b/>
          <w:i/>
          <w:noProof/>
          <w:sz w:val="24"/>
        </w:rPr>
        <w:instrText xml:space="preserve"> SEQ Proposal \* ARABIC </w:instrText>
      </w:r>
      <w:r w:rsidRPr="00952542">
        <w:rPr>
          <w:rFonts w:ascii="Arial" w:hAnsi="Arial" w:cs="Arial"/>
          <w:b/>
          <w:i/>
          <w:noProof/>
          <w:sz w:val="24"/>
        </w:rPr>
        <w:fldChar w:fldCharType="separate"/>
      </w:r>
      <w:r w:rsidR="00955110" w:rsidRPr="00952542">
        <w:rPr>
          <w:rFonts w:ascii="Arial" w:hAnsi="Arial" w:cs="Arial"/>
          <w:b/>
          <w:i/>
          <w:noProof/>
          <w:sz w:val="24"/>
        </w:rPr>
        <w:t>1</w:t>
      </w:r>
      <w:r w:rsidRPr="00952542">
        <w:rPr>
          <w:rFonts w:ascii="Arial" w:hAnsi="Arial" w:cs="Arial"/>
          <w:b/>
          <w:i/>
          <w:noProof/>
          <w:sz w:val="24"/>
        </w:rPr>
        <w:fldChar w:fldCharType="end"/>
      </w:r>
      <w:r w:rsidRPr="00952542">
        <w:rPr>
          <w:rFonts w:ascii="Arial" w:hAnsi="Arial" w:cs="Arial"/>
          <w:b/>
          <w:i/>
          <w:noProof/>
          <w:sz w:val="24"/>
        </w:rPr>
        <w:t xml:space="preserve">: The </w:t>
      </w:r>
      <w:r w:rsidR="008A7C93" w:rsidRPr="00952542">
        <w:rPr>
          <w:rFonts w:ascii="Arial" w:hAnsi="Arial" w:cs="Arial"/>
          <w:b/>
          <w:i/>
          <w:noProof/>
          <w:sz w:val="24"/>
        </w:rPr>
        <w:t xml:space="preserve">average measurement opportunity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i,j</m:t>
            </m:r>
          </m:sub>
        </m:sSub>
      </m:oMath>
      <w:r w:rsidR="002446D6" w:rsidRPr="00952542">
        <w:rPr>
          <w:rFonts w:ascii="Arial" w:hAnsi="Arial" w:cs="Arial"/>
          <w:b/>
          <w:i/>
          <w:noProof/>
        </w:rPr>
        <w:t xml:space="preserve"> </w:t>
      </w:r>
      <w:r w:rsidR="008A7C93" w:rsidRPr="00952542">
        <w:rPr>
          <w:rFonts w:ascii="Arial" w:hAnsi="Arial" w:cs="Arial"/>
          <w:b/>
          <w:i/>
          <w:noProof/>
          <w:sz w:val="24"/>
        </w:rPr>
        <w:t xml:space="preserve">of </w:t>
      </w:r>
      <w:r w:rsidRPr="00952542">
        <w:rPr>
          <w:rFonts w:ascii="Arial" w:hAnsi="Arial" w:cs="Arial"/>
          <w:b/>
          <w:i/>
          <w:noProof/>
          <w:sz w:val="24"/>
        </w:rPr>
        <w:t>inter-frequency measu</w:t>
      </w:r>
      <w:r w:rsidR="002446D6" w:rsidRPr="00952542">
        <w:rPr>
          <w:rFonts w:ascii="Arial" w:hAnsi="Arial" w:cs="Arial"/>
          <w:b/>
          <w:i/>
          <w:noProof/>
          <w:sz w:val="24"/>
        </w:rPr>
        <w:t>rement requirement Alt.3</w:t>
      </w:r>
      <w:r w:rsidRPr="00952542">
        <w:rPr>
          <w:rFonts w:ascii="Arial" w:hAnsi="Arial" w:cs="Arial"/>
          <w:b/>
          <w:i/>
          <w:noProof/>
          <w:sz w:val="24"/>
        </w:rPr>
        <w:t xml:space="preserve"> </w:t>
      </w:r>
      <w:bookmarkEnd w:id="6"/>
      <w:r w:rsidR="002446D6" w:rsidRPr="00952542">
        <w:rPr>
          <w:rFonts w:ascii="Arial" w:hAnsi="Arial" w:cs="Arial"/>
          <w:b/>
          <w:i/>
          <w:noProof/>
          <w:sz w:val="24"/>
        </w:rPr>
        <w:t xml:space="preserve">is replaced with </w:t>
      </w:r>
      <w:r w:rsidR="00354827" w:rsidRPr="00952542">
        <w:rPr>
          <w:rFonts w:ascii="Arial" w:hAnsi="Arial" w:cs="Arial"/>
          <w:b/>
          <w:i/>
          <w:noProof/>
          <w:sz w:val="24"/>
        </w:rPr>
        <w:t xml:space="preserve">lowest </w:t>
      </w:r>
      <w:r w:rsidR="002446D6" w:rsidRPr="00952542">
        <w:rPr>
          <w:rFonts w:ascii="Arial" w:hAnsi="Arial" w:cs="Arial"/>
          <w:b/>
          <w:i/>
          <w:noProof/>
          <w:sz w:val="24"/>
        </w:rPr>
        <w:t>measurement opportunity</w:t>
      </w:r>
      <w:r w:rsidR="00F74741" w:rsidRPr="00952542">
        <w:rPr>
          <w:rFonts w:ascii="Arial" w:hAnsi="Arial" w:cs="Arial"/>
          <w:b/>
          <w:i/>
          <w:noProof/>
          <w:sz w:val="24"/>
        </w:rPr>
        <w:t>. When</w:t>
      </w:r>
      <w:r w:rsidR="00F74741" w:rsidRPr="00952542">
        <w:rPr>
          <w:b/>
        </w:rPr>
        <w:t xml:space="preserve"> </w:t>
      </w:r>
      <w:r w:rsidR="00F74741" w:rsidRPr="00952542">
        <w:rPr>
          <w:rFonts w:ascii="Arial" w:hAnsi="Arial" w:cs="Arial"/>
          <w:b/>
          <w:i/>
          <w:noProof/>
          <w:sz w:val="24"/>
        </w:rPr>
        <w:t>it doesn’t need gap sharing in gap occasion #j</w:t>
      </w:r>
      <w:r w:rsidR="00F74741">
        <w:rPr>
          <w:rFonts w:ascii="Arial" w:hAnsi="Arial" w:cs="Arial"/>
          <w:b/>
          <w:i/>
          <w:noProof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noProof/>
            <w:sz w:val="24"/>
          </w:rPr>
          <w:br/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θ</m:t>
            </m:r>
          </m:den>
        </m:f>
      </m:oMath>
      <w:r w:rsidR="00F74741" w:rsidRPr="00570024">
        <w:rPr>
          <w:rFonts w:ascii="Arial" w:hAnsi="Arial" w:cs="Arial"/>
          <w:b/>
          <w:iCs/>
        </w:rPr>
        <w:t xml:space="preserve">, </w:t>
      </w:r>
      <w:r w:rsidR="00F74741" w:rsidRPr="00570024">
        <w:rPr>
          <w:rFonts w:ascii="Arial" w:hAnsi="Arial" w:cs="Arial"/>
          <w:b/>
          <w:i/>
          <w:noProof/>
          <w:sz w:val="24"/>
        </w:rPr>
        <w:t xml:space="preserve">where </w:t>
      </w:r>
      <m:oMath>
        <m:r>
          <m:rPr>
            <m:sty m:val="bi"/>
          </m:rPr>
          <w:rPr>
            <w:rFonts w:ascii="Cambria Math" w:hAnsi="Cambria Math" w:cs="Arial"/>
          </w:rPr>
          <m:t>θ</m:t>
        </m:r>
        <m:r>
          <m:rPr>
            <m:sty m:val="b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max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0≤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≤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G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MGRP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 w:cs="Arial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θ</m:t>
                </m:r>
              </m:e>
              <m:sub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j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'</m:t>
                    </m:r>
                  </m:sup>
                </m:sSup>
              </m:sub>
            </m:sSub>
          </m:e>
        </m:func>
        <m:r>
          <m:rPr>
            <m:sty m:val="b"/>
          </m:rPr>
          <w:rPr>
            <w:rFonts w:ascii="Cambria Math" w:hAnsi="Cambria Math" w:cs="Arial"/>
            <w:noProof/>
          </w:rPr>
          <m:t>.</m:t>
        </m:r>
      </m:oMath>
      <w:r w:rsidR="00F74741">
        <w:rPr>
          <w:rFonts w:ascii="Arial" w:hAnsi="Arial" w:cs="Arial"/>
          <w:b/>
          <w:i/>
          <w:noProof/>
        </w:rPr>
        <w:br/>
      </w:r>
      <w:r w:rsidR="00F74741" w:rsidRPr="00570024">
        <w:rPr>
          <w:rFonts w:ascii="Arial" w:hAnsi="Arial" w:cs="Arial"/>
          <w:b/>
          <w:i/>
          <w:noProof/>
          <w:sz w:val="24"/>
        </w:rPr>
        <w:t>When</w:t>
      </w:r>
      <w:r w:rsidR="00F74741" w:rsidRPr="00570024">
        <w:rPr>
          <w:b/>
        </w:rPr>
        <w:t xml:space="preserve"> </w:t>
      </w:r>
      <w:r w:rsidR="00F74741" w:rsidRPr="00570024">
        <w:rPr>
          <w:rFonts w:ascii="Arial" w:hAnsi="Arial" w:cs="Arial"/>
          <w:b/>
          <w:i/>
          <w:noProof/>
          <w:sz w:val="24"/>
        </w:rPr>
        <w:t xml:space="preserve">it needs gap sharing in gap occasion #j, </w:t>
      </w:r>
      <w:r w:rsidR="00F74741">
        <w:rPr>
          <w:rFonts w:ascii="Arial" w:hAnsi="Arial" w:cs="Arial"/>
          <w:b/>
          <w:i/>
          <w:noProof/>
          <w:sz w:val="24"/>
        </w:rPr>
        <w:br/>
      </w:r>
      <w:r w:rsidR="00F74741" w:rsidRPr="00570024">
        <w:rPr>
          <w:rFonts w:ascii="Arial" w:hAnsi="Arial" w:cs="Arial"/>
          <w:b/>
          <w:i/>
          <w:noProof/>
          <w:sz w:val="24"/>
        </w:rPr>
        <w:t>for an intra-frequency layer #</w:t>
      </w:r>
      <w:r w:rsidR="00F74741">
        <w:rPr>
          <w:rFonts w:ascii="Arial" w:hAnsi="Arial" w:cs="Arial"/>
          <w:b/>
          <w:i/>
          <w:noProof/>
          <w:sz w:val="24"/>
        </w:rPr>
        <w:t xml:space="preserve">i </w:t>
      </w:r>
      <w:r w:rsidR="00F74741">
        <w:rPr>
          <w:rFonts w:ascii="Arial" w:hAnsi="Arial" w:cs="Arial"/>
          <w:b/>
          <w:i/>
          <w:noProof/>
          <w:sz w:val="24"/>
        </w:rPr>
        <w:br/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×θ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intra</m:t>
                </m:r>
              </m:sub>
            </m:sSub>
          </m:den>
        </m:f>
      </m:oMath>
      <w:r w:rsidR="00F74741" w:rsidRPr="00570024">
        <w:rPr>
          <w:rFonts w:ascii="Arial" w:hAnsi="Arial" w:cs="Arial"/>
          <w:b/>
          <w:iCs/>
        </w:rPr>
        <w:t xml:space="preserve">, </w:t>
      </w:r>
      <w:r w:rsidR="00F74741" w:rsidRPr="00570024">
        <w:rPr>
          <w:rFonts w:ascii="Arial" w:hAnsi="Arial" w:cs="Arial"/>
          <w:b/>
          <w:i/>
          <w:noProof/>
          <w:sz w:val="24"/>
        </w:rPr>
        <w:t>where</w:t>
      </w:r>
      <w:r w:rsidR="00F74741" w:rsidRPr="00570024">
        <w:rPr>
          <w:rFonts w:ascii="Arial" w:hAnsi="Arial" w:cs="Arial"/>
          <w:b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vertAlign w:val="subscript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  <w:vertAlign w:val="subscript"/>
              </w:rPr>
              <m:t>intra</m:t>
            </m:r>
          </m:sub>
        </m:sSub>
        <m:r>
          <m:rPr>
            <m:sty m:val="b"/>
          </m:rPr>
          <w:rPr>
            <w:rFonts w:ascii="Cambria Math" w:hAnsi="Cambria Math"/>
            <w:vertAlign w:val="subscript"/>
          </w:rPr>
          <m:t xml:space="preserve"> </m:t>
        </m:r>
        <m:r>
          <m:rPr>
            <m:sty m:val="bi"/>
          </m:rPr>
          <w:rPr>
            <w:rFonts w:ascii="Cambria Math" w:hAnsi="Cambria Math"/>
            <w:vertAlign w:val="subscript"/>
          </w:rPr>
          <m:t>=</m:t>
        </m:r>
        <m:func>
          <m:funcPr>
            <m:ctrlPr>
              <w:rPr>
                <w:rFonts w:ascii="Cambria Math" w:hAnsi="Cambria Math"/>
                <w:b/>
                <w:i/>
                <w:iCs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iCs/>
                    <w:vertAlign w:val="subscript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 xml:space="preserve">max 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0≤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≤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G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MGRP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vertAlign w:val="sub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 xml:space="preserve"> θ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intra,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</m:sub>
            </m:sSub>
          </m:e>
        </m:func>
      </m:oMath>
      <w:bookmarkEnd w:id="7"/>
      <w:r w:rsidR="00F74741">
        <w:rPr>
          <w:rFonts w:ascii="Arial" w:hAnsi="Arial" w:cs="Arial"/>
          <w:b/>
          <w:iCs/>
          <w:vertAlign w:val="subscript"/>
        </w:rPr>
        <w:br/>
      </w:r>
      <w:r w:rsidR="00F74741" w:rsidRPr="00570024">
        <w:rPr>
          <w:rFonts w:ascii="Arial" w:hAnsi="Arial" w:cs="Arial"/>
          <w:b/>
          <w:i/>
          <w:noProof/>
          <w:sz w:val="24"/>
        </w:rPr>
        <w:t>and for for an inter-frequency layer #i</w:t>
      </w:r>
      <w:bookmarkEnd w:id="8"/>
      <w:r w:rsidR="00F74741">
        <w:rPr>
          <w:rFonts w:ascii="Arial" w:hAnsi="Arial" w:cs="Arial"/>
          <w:b/>
          <w:i/>
          <w:noProof/>
          <w:sz w:val="24"/>
        </w:rPr>
        <w:br/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inter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×θ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inter</m:t>
                </m:r>
              </m:sub>
            </m:sSub>
          </m:den>
        </m:f>
      </m:oMath>
      <w:r w:rsidR="00F74741" w:rsidRPr="00570024">
        <w:rPr>
          <w:rFonts w:ascii="Arial" w:hAnsi="Arial" w:cs="Arial"/>
          <w:b/>
          <w:i/>
          <w:iCs/>
          <w:noProof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inter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=</m:t>
        </m:r>
        <m:func>
          <m:funcPr>
            <m:ctrlPr>
              <w:rPr>
                <w:rFonts w:ascii="Cambria Math" w:hAnsi="Cambria Math"/>
                <w:b/>
                <w:i/>
                <w:iCs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0≤j'≤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G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MGRP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θ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inter,j'</m:t>
                </m:r>
              </m:sub>
            </m:sSub>
          </m:e>
        </m:func>
      </m:oMath>
      <w:r w:rsidR="00F74741">
        <w:rPr>
          <w:rFonts w:ascii="Arial" w:hAnsi="Arial" w:cs="Arial"/>
          <w:b/>
          <w:iCs/>
          <w:vertAlign w:val="subscript"/>
        </w:rPr>
        <w:t>.</w:t>
      </w:r>
      <w:bookmarkEnd w:id="9"/>
    </w:p>
    <w:bookmarkEnd w:id="10"/>
    <w:p w14:paraId="036AC201" w14:textId="75C59454" w:rsidR="00F74741" w:rsidRDefault="00F74741" w:rsidP="00F74741">
      <w:pPr>
        <w:rPr>
          <w:rFonts w:ascii="Arial" w:hAnsi="Arial" w:cs="Arial"/>
          <w:b/>
          <w:i/>
          <w:noProof/>
          <w:sz w:val="24"/>
        </w:rPr>
      </w:pPr>
      <w:r w:rsidRPr="00570024">
        <w:rPr>
          <w:rFonts w:ascii="Arial" w:hAnsi="Arial" w:cs="Arial"/>
          <w:b/>
          <w:i/>
          <w:noProof/>
          <w:sz w:val="24"/>
        </w:rPr>
        <w:t xml:space="preserve"> </w:t>
      </w:r>
      <w:bookmarkEnd w:id="11"/>
    </w:p>
    <w:p w14:paraId="74509E0A" w14:textId="72116A3B" w:rsidR="000A6B2F" w:rsidRPr="000A6B2F" w:rsidRDefault="00F74741" w:rsidP="00F74741">
      <w:pPr>
        <w:ind w:left="284"/>
        <w:rPr>
          <w:lang w:val="en-GB"/>
        </w:rPr>
      </w:pPr>
      <w:r w:rsidRPr="00F74741">
        <w:rPr>
          <w:rFonts w:ascii="Arial" w:hAnsi="Arial" w:cs="Arial"/>
          <w:b/>
          <w:i/>
          <w:noProof/>
          <w:sz w:val="24"/>
        </w:rPr>
        <w:t xml:space="preserve"> </w:t>
      </w:r>
      <w:bookmarkEnd w:id="12"/>
      <w:bookmarkEnd w:id="13"/>
      <w:bookmarkEnd w:id="14"/>
    </w:p>
    <w:p w14:paraId="6C1C5A6E" w14:textId="2853CB5E" w:rsidR="000A6B2F" w:rsidRDefault="002446D6" w:rsidP="000A6B2F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3</w:t>
      </w:r>
      <w:r w:rsidR="000A6B2F" w:rsidRPr="009F29FB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Inter-frequency Measurement Requirement</w:t>
      </w:r>
      <w:r w:rsidRPr="000A6B2F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in D</w:t>
      </w:r>
      <w:r w:rsidR="000A6B2F" w:rsidRPr="000A6B2F">
        <w:rPr>
          <w:rFonts w:cs="Arial"/>
          <w:color w:val="000000" w:themeColor="text1"/>
        </w:rPr>
        <w:t xml:space="preserve">RX </w:t>
      </w:r>
      <w:r>
        <w:rPr>
          <w:rFonts w:cs="Arial"/>
          <w:color w:val="000000" w:themeColor="text1"/>
        </w:rPr>
        <w:t>Mode</w:t>
      </w:r>
    </w:p>
    <w:p w14:paraId="6A7EF693" w14:textId="74EF6FE2" w:rsidR="002446D6" w:rsidRDefault="002446D6" w:rsidP="002446D6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DRX mode, it is agreed in last meeting that the p</w:t>
      </w:r>
      <w:r w:rsidRPr="006A5DD7">
        <w:rPr>
          <w:rFonts w:ascii="Arial" w:hAnsi="Arial" w:cs="Arial"/>
        </w:rPr>
        <w:t>ower consumption issue for non-aligned SMTC periodicity and DRX cycle</w:t>
      </w:r>
      <w:r>
        <w:rPr>
          <w:rFonts w:ascii="Arial" w:hAnsi="Arial" w:cs="Arial"/>
        </w:rPr>
        <w:t xml:space="preserve"> should be taken into account. The required sample number is multiplied with 1.5 when DRX cycle length ≤ 320ms and the overall formula becomes</w:t>
      </w:r>
    </w:p>
    <w:p w14:paraId="23C66382" w14:textId="601DF8BD" w:rsidR="002446D6" w:rsidRDefault="002446D6" w:rsidP="002446D6">
      <w:pPr>
        <w:pStyle w:val="Caption"/>
        <w:rPr>
          <w:rFonts w:ascii="Arial" w:eastAsiaTheme="minorEastAsia" w:hAnsi="Arial" w:cs="Arial"/>
          <w:i/>
          <w:noProof/>
          <w:sz w:val="24"/>
          <w:szCs w:val="22"/>
        </w:rPr>
      </w:pPr>
      <w:bookmarkStart w:id="15" w:name="_Ref521271618"/>
      <w:r w:rsidRPr="006A5DD7">
        <w:rPr>
          <w:rFonts w:ascii="Arial" w:eastAsiaTheme="minorEastAsia" w:hAnsi="Arial" w:cs="Arial"/>
          <w:i/>
          <w:noProof/>
          <w:sz w:val="24"/>
          <w:szCs w:val="22"/>
        </w:rPr>
        <w:t xml:space="preserve">Proposal </w:t>
      </w:r>
      <w:r w:rsidRPr="006A5DD7">
        <w:rPr>
          <w:rFonts w:ascii="Arial" w:eastAsiaTheme="minorEastAsia" w:hAnsi="Arial" w:cs="Arial"/>
          <w:i/>
          <w:noProof/>
          <w:sz w:val="24"/>
          <w:szCs w:val="22"/>
        </w:rPr>
        <w:fldChar w:fldCharType="begin"/>
      </w:r>
      <w:r w:rsidRPr="006A5DD7">
        <w:rPr>
          <w:rFonts w:ascii="Arial" w:eastAsiaTheme="minorEastAsia" w:hAnsi="Arial" w:cs="Arial"/>
          <w:i/>
          <w:noProof/>
          <w:sz w:val="24"/>
          <w:szCs w:val="22"/>
        </w:rPr>
        <w:instrText xml:space="preserve"> SEQ Proposal \* ARABIC </w:instrText>
      </w:r>
      <w:r w:rsidRPr="006A5DD7">
        <w:rPr>
          <w:rFonts w:ascii="Arial" w:eastAsiaTheme="minorEastAsia" w:hAnsi="Arial" w:cs="Arial"/>
          <w:i/>
          <w:noProof/>
          <w:sz w:val="24"/>
          <w:szCs w:val="22"/>
        </w:rPr>
        <w:fldChar w:fldCharType="separate"/>
      </w:r>
      <w:r>
        <w:rPr>
          <w:rFonts w:ascii="Arial" w:eastAsiaTheme="minorEastAsia" w:hAnsi="Arial" w:cs="Arial"/>
          <w:i/>
          <w:noProof/>
          <w:sz w:val="24"/>
          <w:szCs w:val="22"/>
        </w:rPr>
        <w:t>2</w:t>
      </w:r>
      <w:r w:rsidRPr="006A5DD7">
        <w:rPr>
          <w:rFonts w:ascii="Arial" w:eastAsiaTheme="minorEastAsia" w:hAnsi="Arial" w:cs="Arial"/>
          <w:i/>
          <w:noProof/>
          <w:sz w:val="24"/>
          <w:szCs w:val="22"/>
        </w:rPr>
        <w:fldChar w:fldCharType="end"/>
      </w:r>
      <w:r w:rsidRPr="006A5DD7">
        <w:rPr>
          <w:rFonts w:ascii="Arial" w:eastAsiaTheme="minorEastAsia" w:hAnsi="Arial" w:cs="Arial"/>
          <w:i/>
          <w:noProof/>
          <w:sz w:val="24"/>
          <w:szCs w:val="22"/>
        </w:rPr>
        <w:t>:</w:t>
      </w:r>
      <w:r w:rsidRPr="006A5DD7">
        <w:rPr>
          <w:rFonts w:eastAsiaTheme="minorEastAsia" w:cs="Arial"/>
          <w:i/>
          <w:noProof/>
          <w:sz w:val="24"/>
          <w:szCs w:val="22"/>
        </w:rPr>
        <w:t xml:space="preserve"> </w:t>
      </w:r>
      <w:r>
        <w:rPr>
          <w:rFonts w:eastAsiaTheme="minorEastAsia" w:cs="Arial"/>
          <w:i/>
          <w:noProof/>
          <w:sz w:val="24"/>
          <w:szCs w:val="22"/>
        </w:rPr>
        <w:t>I</w:t>
      </w:r>
      <w:r>
        <w:rPr>
          <w:rFonts w:ascii="Arial" w:eastAsiaTheme="minorEastAsia" w:hAnsi="Arial" w:cs="Arial"/>
          <w:i/>
          <w:noProof/>
          <w:sz w:val="24"/>
          <w:szCs w:val="22"/>
        </w:rPr>
        <w:t xml:space="preserve">n DRX mode, the </w:t>
      </w:r>
      <w:r w:rsidRPr="007C0FF6">
        <w:rPr>
          <w:rFonts w:ascii="Arial" w:eastAsiaTheme="minorEastAsia" w:hAnsi="Arial" w:cs="Arial"/>
          <w:i/>
          <w:noProof/>
          <w:sz w:val="24"/>
          <w:szCs w:val="22"/>
        </w:rPr>
        <w:t>inter-frequency measur</w:t>
      </w:r>
      <w:r>
        <w:rPr>
          <w:rFonts w:ascii="Arial" w:eastAsiaTheme="minorEastAsia" w:hAnsi="Arial" w:cs="Arial"/>
          <w:i/>
          <w:noProof/>
          <w:sz w:val="24"/>
          <w:szCs w:val="22"/>
        </w:rPr>
        <w:t xml:space="preserve">ement requirement is  </w:t>
      </w:r>
      <m:oMath>
        <m:r>
          <m:rPr>
            <m:sty m:val="b"/>
          </m:rPr>
          <w:rPr>
            <w:rFonts w:ascii="Cambria Math" w:eastAsiaTheme="minorEastAsia" w:hAnsi="Cambria Math" w:cs="Arial"/>
            <w:noProof/>
            <w:sz w:val="24"/>
            <w:szCs w:val="22"/>
          </w:rPr>
          <m:t>ceil</m:t>
        </m:r>
        <m:d>
          <m:dPr>
            <m:ctrlPr>
              <w:rPr>
                <w:rFonts w:ascii="Cambria Math" w:eastAsiaTheme="minorEastAsia" w:hAnsi="Cambria Math" w:cs="Arial"/>
                <w:noProof/>
                <w:sz w:val="24"/>
                <w:szCs w:val="22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  <w:noProof/>
                <w:sz w:val="24"/>
              </w:rPr>
              <m:t xml:space="preserve">1.5× </m:t>
            </m:r>
            <m:r>
              <m:rPr>
                <m:sty m:val="bi"/>
              </m:rPr>
              <w:rPr>
                <w:rFonts w:ascii="Cambria Math" w:hAnsi="Cambria Math" w:cs="Arial"/>
                <w:noProof/>
                <w:sz w:val="24"/>
              </w:rPr>
              <m:t>8</m:t>
            </m:r>
          </m:e>
        </m:d>
        <m:r>
          <m:rPr>
            <m:sty m:val="bi"/>
          </m:rPr>
          <w:rPr>
            <w:rFonts w:ascii="Cambria Math" w:hAnsi="Cambria Math" w:cs="Arial"/>
            <w:noProof/>
            <w:sz w:val="24"/>
          </w:rPr>
          <m:t>×max</m:t>
        </m:r>
        <m:d>
          <m:dPr>
            <m:ctrlPr>
              <w:rPr>
                <w:rFonts w:ascii="Cambria Math" w:hAnsi="Cambria Math" w:cs="Arial"/>
                <w:b w:val="0"/>
                <w:i/>
                <w:noProof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noProof/>
                <w:sz w:val="24"/>
              </w:rPr>
              <m:t>MGRP,</m:t>
            </m:r>
            <m:sSub>
              <m:sSubPr>
                <m:ctrlPr>
                  <w:rPr>
                    <w:rFonts w:ascii="Cambria Math" w:hAnsi="Cambria Math" w:cs="Arial"/>
                    <w:b w:val="0"/>
                    <w:i/>
                    <w:noProof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4"/>
                  </w:rPr>
                  <m:t>SMTC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  <w:noProof/>
                <w:sz w:val="24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b w:val="0"/>
                    <w:i/>
                    <w:noProof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sz w:val="24"/>
                  </w:rPr>
                  <m:t>DRX</m:t>
                </m:r>
              </m:sub>
            </m:sSub>
          </m:e>
        </m:d>
        <m:r>
          <m:rPr>
            <m:sty m:val="bi"/>
          </m:rPr>
          <w:rPr>
            <w:rFonts w:ascii="Cambria Math" w:hAnsi="Cambria Math" w:cs="Arial"/>
            <w:noProof/>
            <w:sz w:val="24"/>
          </w:rPr>
          <m:t>×</m:t>
        </m:r>
        <m:f>
          <m:fPr>
            <m:ctrlPr>
              <w:rPr>
                <w:rFonts w:ascii="Cambria Math" w:hAnsi="Cambria Math"/>
                <w:i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>Δ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j=0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G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MGRP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i,j</m:t>
                    </m:r>
                  </m:sub>
                </m:sSub>
              </m:e>
            </m:nary>
          </m:den>
        </m:f>
        <m:r>
          <m:rPr>
            <m:sty m:val="bi"/>
          </m:rPr>
          <w:rPr>
            <w:rFonts w:ascii="Cambria Math" w:hAnsi="Cambria Math" w:cs="Arial"/>
            <w:sz w:val="24"/>
            <w:szCs w:val="24"/>
            <w:lang w:val="en-GB"/>
          </w:rPr>
          <m:t>,</m:t>
        </m:r>
      </m:oMath>
      <w:r>
        <w:rPr>
          <w:rFonts w:ascii="Arial" w:eastAsiaTheme="minorEastAsia" w:hAnsi="Arial" w:cs="Arial"/>
          <w:i/>
          <w:noProof/>
          <w:sz w:val="24"/>
          <w:szCs w:val="24"/>
          <w:lang w:val="en-GB"/>
        </w:rPr>
        <w:t xml:space="preserve"> </w:t>
      </w:r>
      <w:r>
        <w:rPr>
          <w:rFonts w:ascii="Arial" w:eastAsiaTheme="minorEastAsia" w:hAnsi="Arial" w:cs="Arial"/>
          <w:i/>
          <w:noProof/>
          <w:sz w:val="24"/>
          <w:szCs w:val="22"/>
        </w:rPr>
        <w:t>w</w:t>
      </w:r>
      <w:r w:rsidRPr="00357050">
        <w:rPr>
          <w:rFonts w:ascii="Arial" w:eastAsiaTheme="minorEastAsia" w:hAnsi="Arial" w:cs="Arial"/>
          <w:i/>
          <w:noProof/>
          <w:sz w:val="24"/>
          <w:szCs w:val="22"/>
        </w:rPr>
        <w:t xml:space="preserve">hen DRX cycle length </w:t>
      </w:r>
      <w:r>
        <w:rPr>
          <w:rFonts w:ascii="Arial" w:eastAsiaTheme="minorEastAsia" w:hAnsi="Arial" w:cs="Arial"/>
          <w:i/>
          <w:noProof/>
          <w:sz w:val="24"/>
          <w:szCs w:val="22"/>
        </w:rPr>
        <w:t>is less and</w:t>
      </w:r>
      <w:r w:rsidRPr="00957D95">
        <w:rPr>
          <w:rFonts w:ascii="Arial" w:eastAsiaTheme="minorEastAsia" w:hAnsi="Arial" w:cs="Arial"/>
          <w:i/>
          <w:noProof/>
          <w:sz w:val="24"/>
          <w:szCs w:val="22"/>
        </w:rPr>
        <w:t xml:space="preserve"> </w:t>
      </w:r>
      <w:r>
        <w:rPr>
          <w:rFonts w:ascii="Arial" w:eastAsiaTheme="minorEastAsia" w:hAnsi="Arial" w:cs="Arial"/>
          <w:i/>
          <w:noProof/>
          <w:sz w:val="24"/>
          <w:szCs w:val="22"/>
        </w:rPr>
        <w:t>equal to</w:t>
      </w:r>
      <w:r w:rsidRPr="00357050">
        <w:rPr>
          <w:rFonts w:ascii="Arial" w:eastAsiaTheme="minorEastAsia" w:hAnsi="Arial" w:cs="Arial"/>
          <w:i/>
          <w:noProof/>
          <w:sz w:val="24"/>
          <w:szCs w:val="22"/>
        </w:rPr>
        <w:t xml:space="preserve"> 320ms</w:t>
      </w:r>
      <w:r>
        <w:rPr>
          <w:rFonts w:ascii="Arial" w:eastAsiaTheme="minorEastAsia" w:hAnsi="Arial" w:cs="Arial"/>
          <w:i/>
          <w:noProof/>
          <w:sz w:val="24"/>
          <w:szCs w:val="22"/>
        </w:rPr>
        <w:t>.</w:t>
      </w:r>
      <w:bookmarkEnd w:id="15"/>
      <w:r>
        <w:rPr>
          <w:rFonts w:ascii="Arial" w:eastAsiaTheme="minorEastAsia" w:hAnsi="Arial" w:cs="Arial"/>
          <w:i/>
          <w:noProof/>
          <w:sz w:val="24"/>
          <w:szCs w:val="22"/>
        </w:rPr>
        <w:t xml:space="preserve"> </w:t>
      </w:r>
      <w:r w:rsidRPr="007C0FF6">
        <w:rPr>
          <w:rFonts w:ascii="Arial" w:eastAsiaTheme="minorEastAsia" w:hAnsi="Arial" w:cs="Arial"/>
          <w:i/>
          <w:noProof/>
          <w:sz w:val="24"/>
          <w:szCs w:val="22"/>
        </w:rPr>
        <w:t xml:space="preserve"> </w:t>
      </w:r>
    </w:p>
    <w:p w14:paraId="293F8BB4" w14:textId="77777777" w:rsidR="002446D6" w:rsidRPr="00FD747C" w:rsidRDefault="002446D6" w:rsidP="00FD747C"/>
    <w:p w14:paraId="471CACB4" w14:textId="68B50D5C" w:rsidR="007331BD" w:rsidRDefault="000A6B2F" w:rsidP="00FD747C">
      <w:pPr>
        <w:rPr>
          <w:rFonts w:ascii="Arial" w:hAnsi="Arial" w:cs="Arial"/>
        </w:rPr>
      </w:pPr>
      <w:r w:rsidRPr="00FD63E4">
        <w:rPr>
          <w:rFonts w:ascii="Arial" w:hAnsi="Arial" w:cs="Arial"/>
        </w:rPr>
        <w:t>In RA2#99 meeting, DRX configuration for EN-DC was discussed. In general, the principle of separate DRX configuration</w:t>
      </w:r>
      <w:r>
        <w:rPr>
          <w:rFonts w:ascii="Arial" w:hAnsi="Arial" w:cs="Arial"/>
        </w:rPr>
        <w:t>s</w:t>
      </w:r>
      <w:r w:rsidRPr="00FD63E4">
        <w:rPr>
          <w:rFonts w:ascii="Arial" w:hAnsi="Arial" w:cs="Arial"/>
        </w:rPr>
        <w:t xml:space="preserve"> in LTE-DC was applied in EN-DC</w:t>
      </w:r>
      <w:r>
        <w:rPr>
          <w:rFonts w:ascii="Arial" w:hAnsi="Arial" w:cs="Arial"/>
        </w:rPr>
        <w:t>.</w:t>
      </w:r>
      <w:r w:rsidR="002446D6" w:rsidRPr="002446D6">
        <w:t xml:space="preserve"> </w:t>
      </w:r>
      <w:r w:rsidR="002446D6" w:rsidRPr="002446D6">
        <w:rPr>
          <w:rFonts w:ascii="Arial" w:hAnsi="Arial" w:cs="Arial"/>
        </w:rPr>
        <w:t>When UE conducts the intra-frequency measurement, it is intuitive that the requirement follows the DRX configured to the cell groups that the serving cell is located. However, when UE conducts the inter-frequency measurement, which DRX configuration to be used for the measurement requirement become more complicated.</w:t>
      </w:r>
      <w:r w:rsidR="002446D6">
        <w:rPr>
          <w:rFonts w:ascii="Arial" w:hAnsi="Arial" w:cs="Arial"/>
        </w:rPr>
        <w:t xml:space="preserve"> For exampl</w:t>
      </w:r>
      <w:r w:rsidR="001E60FB">
        <w:rPr>
          <w:rFonts w:ascii="Arial" w:hAnsi="Arial" w:cs="Arial"/>
        </w:rPr>
        <w:t xml:space="preserve">e: </w:t>
      </w:r>
    </w:p>
    <w:p w14:paraId="518A3CA5" w14:textId="6A68B7C9" w:rsidR="00FD747C" w:rsidRDefault="00FD747C" w:rsidP="00FD747C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570024">
        <w:rPr>
          <w:rFonts w:ascii="Arial" w:hAnsi="Arial" w:cs="Arial"/>
        </w:rPr>
        <w:t>When both MCG and SCG exist, and MN configures a measurement object in FR2. UE need to use a</w:t>
      </w:r>
      <w:r w:rsidR="00C13DD5">
        <w:rPr>
          <w:rFonts w:ascii="Arial" w:hAnsi="Arial" w:cs="Arial"/>
        </w:rPr>
        <w:t>n</w:t>
      </w:r>
      <w:r w:rsidRPr="00570024">
        <w:rPr>
          <w:rFonts w:ascii="Arial" w:hAnsi="Arial" w:cs="Arial"/>
        </w:rPr>
        <w:t xml:space="preserve"> RF chain in SCG to measure this frequency.</w:t>
      </w:r>
    </w:p>
    <w:p w14:paraId="283D1F6A" w14:textId="4E5F8099" w:rsidR="002446D6" w:rsidRDefault="007331BD" w:rsidP="00FD747C">
      <w:pPr>
        <w:pStyle w:val="ListParagraph"/>
        <w:numPr>
          <w:ilvl w:val="0"/>
          <w:numId w:val="15"/>
        </w:numPr>
      </w:pPr>
      <w:r w:rsidRPr="00FD747C">
        <w:rPr>
          <w:rFonts w:ascii="Arial" w:hAnsi="Arial" w:cs="Arial"/>
        </w:rPr>
        <w:t>When both MCG and SCG exist, and SN configures a measurement object in FR1. It is a UE implementation to use a</w:t>
      </w:r>
      <w:r w:rsidR="00C13DD5">
        <w:rPr>
          <w:rFonts w:ascii="Arial" w:hAnsi="Arial" w:cs="Arial"/>
        </w:rPr>
        <w:t>n</w:t>
      </w:r>
      <w:r w:rsidRPr="00FD747C">
        <w:rPr>
          <w:rFonts w:ascii="Arial" w:hAnsi="Arial" w:cs="Arial"/>
        </w:rPr>
        <w:t xml:space="preserve"> RF chain in MCG or SCG to measure this frequency.</w:t>
      </w:r>
      <w:r w:rsidR="002446D6" w:rsidRPr="00FD747C">
        <w:rPr>
          <w:rFonts w:ascii="Arial" w:hAnsi="Arial" w:cs="Arial"/>
        </w:rPr>
        <w:t xml:space="preserve"> </w:t>
      </w:r>
    </w:p>
    <w:p w14:paraId="24CD1C9A" w14:textId="1AAE350F" w:rsidR="002446D6" w:rsidRDefault="002446D6" w:rsidP="00FD747C">
      <w:pPr>
        <w:jc w:val="both"/>
      </w:pPr>
      <w:r>
        <w:rPr>
          <w:rFonts w:ascii="Arial" w:hAnsi="Arial" w:cs="Arial"/>
        </w:rPr>
        <w:t xml:space="preserve">Above are two cases that one RF chain might need to meet the requirements based on 2 different DRX cycles. </w:t>
      </w:r>
      <w:r w:rsidRPr="00FD63E4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[</w:t>
      </w:r>
      <w:r w:rsidR="007D4B22">
        <w:rPr>
          <w:rFonts w:ascii="Arial" w:hAnsi="Arial" w:cs="Arial"/>
        </w:rPr>
        <w:t>4</w:t>
      </w:r>
      <w:r>
        <w:rPr>
          <w:rFonts w:ascii="Arial" w:hAnsi="Arial" w:cs="Arial"/>
        </w:rPr>
        <w:t>]</w:t>
      </w:r>
      <w:r w:rsidRPr="00FD63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we have shown </w:t>
      </w:r>
      <w:r w:rsidRPr="00FD63E4">
        <w:rPr>
          <w:rFonts w:ascii="Arial" w:hAnsi="Arial" w:cs="Arial"/>
        </w:rPr>
        <w:t xml:space="preserve">the evaluation on UE power consumption with </w:t>
      </w:r>
      <w:r>
        <w:rPr>
          <w:rFonts w:ascii="Arial" w:hAnsi="Arial" w:cs="Arial"/>
        </w:rPr>
        <w:t xml:space="preserve">2 </w:t>
      </w:r>
      <w:r w:rsidRPr="00FD63E4">
        <w:rPr>
          <w:rFonts w:ascii="Arial" w:hAnsi="Arial" w:cs="Arial"/>
        </w:rPr>
        <w:t>different DRX configuration assumptions</w:t>
      </w:r>
      <w:r w:rsidR="006F33BD">
        <w:rPr>
          <w:rFonts w:ascii="Arial" w:hAnsi="Arial" w:cs="Arial"/>
        </w:rPr>
        <w:t xml:space="preserve"> and concluded that </w:t>
      </w:r>
      <w:r w:rsidR="006F33BD" w:rsidRPr="006F33BD">
        <w:rPr>
          <w:rFonts w:ascii="Arial" w:hAnsi="Arial" w:cs="Arial"/>
        </w:rPr>
        <w:t>up to 13.5% additional UE power is consumed</w:t>
      </w:r>
      <w:r w:rsidR="006F33BD">
        <w:rPr>
          <w:rFonts w:ascii="Arial" w:hAnsi="Arial" w:cs="Arial"/>
        </w:rPr>
        <w:t xml:space="preserve">. </w:t>
      </w:r>
      <w:r w:rsidRPr="00FD63E4">
        <w:rPr>
          <w:rFonts w:ascii="Arial" w:hAnsi="Arial" w:cs="Arial"/>
        </w:rPr>
        <w:t>Although separate DRX configuration</w:t>
      </w:r>
      <w:r>
        <w:rPr>
          <w:rFonts w:ascii="Arial" w:hAnsi="Arial" w:cs="Arial"/>
        </w:rPr>
        <w:t>s</w:t>
      </w:r>
      <w:r w:rsidRPr="00FD63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are </w:t>
      </w:r>
      <w:r w:rsidRPr="00FD63E4">
        <w:rPr>
          <w:rFonts w:ascii="Arial" w:hAnsi="Arial" w:cs="Arial"/>
        </w:rPr>
        <w:t xml:space="preserve">provided </w:t>
      </w:r>
      <w:r>
        <w:rPr>
          <w:rFonts w:ascii="Arial" w:hAnsi="Arial" w:cs="Arial"/>
        </w:rPr>
        <w:t>from MN and SN</w:t>
      </w:r>
      <w:r w:rsidRPr="00FD63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 information can be exchanged between them. UE vendors understand the difficulty of DRX cycles alignment for Network. To accommodate the high power consumption issue, which might cause </w:t>
      </w:r>
      <w:r w:rsidR="00C13DD5">
        <w:rPr>
          <w:rFonts w:ascii="Arial" w:hAnsi="Arial" w:cs="Arial"/>
        </w:rPr>
        <w:t xml:space="preserve">bad </w:t>
      </w:r>
      <w:r>
        <w:rPr>
          <w:rFonts w:ascii="Arial" w:hAnsi="Arial" w:cs="Arial"/>
        </w:rPr>
        <w:t xml:space="preserve">UE experience, we suggest RAN4 to define the minimum requirement and give UE flexibility to enter the power saving mode. </w:t>
      </w:r>
      <w:r w:rsidDel="002446D6">
        <w:rPr>
          <w:rFonts w:ascii="Arial" w:hAnsi="Arial" w:cs="Arial"/>
        </w:rPr>
        <w:t xml:space="preserve"> </w:t>
      </w:r>
    </w:p>
    <w:p w14:paraId="6BCF0AB9" w14:textId="77777777" w:rsidR="002446D6" w:rsidRDefault="002446D6" w:rsidP="002446D6">
      <w:pPr>
        <w:pStyle w:val="Caption"/>
        <w:rPr>
          <w:rFonts w:ascii="Arial" w:eastAsiaTheme="minorEastAsia" w:hAnsi="Arial" w:cs="Arial"/>
          <w:i/>
          <w:sz w:val="24"/>
          <w:szCs w:val="24"/>
        </w:rPr>
      </w:pPr>
      <w:bookmarkStart w:id="16" w:name="_Ref521271624"/>
      <w:r w:rsidRPr="00B25693">
        <w:rPr>
          <w:rFonts w:ascii="Arial" w:eastAsiaTheme="minorEastAsia" w:hAnsi="Arial" w:cs="Arial"/>
          <w:i/>
          <w:sz w:val="24"/>
          <w:szCs w:val="24"/>
        </w:rPr>
        <w:t xml:space="preserve">Proposal </w:t>
      </w:r>
      <w:r w:rsidRPr="00B25693">
        <w:rPr>
          <w:rFonts w:ascii="Arial" w:eastAsiaTheme="minorEastAsia" w:hAnsi="Arial" w:cs="Arial"/>
          <w:i/>
          <w:sz w:val="24"/>
          <w:szCs w:val="24"/>
        </w:rPr>
        <w:fldChar w:fldCharType="begin"/>
      </w:r>
      <w:r w:rsidRPr="00B25693">
        <w:rPr>
          <w:rFonts w:ascii="Arial" w:eastAsiaTheme="minorEastAsia" w:hAnsi="Arial" w:cs="Arial"/>
          <w:i/>
          <w:sz w:val="24"/>
          <w:szCs w:val="24"/>
        </w:rPr>
        <w:instrText xml:space="preserve"> SEQ Proposal \* ARABIC </w:instrText>
      </w:r>
      <w:r w:rsidRPr="00B25693">
        <w:rPr>
          <w:rFonts w:ascii="Arial" w:eastAsiaTheme="minorEastAsia" w:hAnsi="Arial" w:cs="Arial"/>
          <w:i/>
          <w:sz w:val="24"/>
          <w:szCs w:val="24"/>
        </w:rPr>
        <w:fldChar w:fldCharType="separate"/>
      </w:r>
      <w:r>
        <w:rPr>
          <w:rFonts w:ascii="Arial" w:eastAsiaTheme="minorEastAsia" w:hAnsi="Arial" w:cs="Arial"/>
          <w:i/>
          <w:noProof/>
          <w:sz w:val="24"/>
          <w:szCs w:val="24"/>
        </w:rPr>
        <w:t>3</w:t>
      </w:r>
      <w:r w:rsidRPr="00B25693">
        <w:rPr>
          <w:rFonts w:ascii="Arial" w:eastAsiaTheme="minorEastAsia" w:hAnsi="Arial" w:cs="Arial"/>
          <w:i/>
          <w:sz w:val="24"/>
          <w:szCs w:val="24"/>
        </w:rPr>
        <w:fldChar w:fldCharType="end"/>
      </w:r>
      <w:r w:rsidRPr="00B25693">
        <w:rPr>
          <w:rFonts w:ascii="Arial" w:eastAsiaTheme="minorEastAsia" w:hAnsi="Arial" w:cs="Arial"/>
          <w:i/>
          <w:sz w:val="24"/>
          <w:szCs w:val="24"/>
        </w:rPr>
        <w:t xml:space="preserve">: </w:t>
      </w:r>
      <w:r>
        <w:rPr>
          <w:rFonts w:ascii="Arial" w:eastAsiaTheme="minorEastAsia" w:hAnsi="Arial" w:cs="Arial"/>
          <w:i/>
          <w:sz w:val="24"/>
          <w:szCs w:val="24"/>
        </w:rPr>
        <w:t>RAN4 to define the minimum requirement in DRX mode and provide UE flexibility to enter the power saving mode.</w:t>
      </w:r>
      <w:bookmarkEnd w:id="16"/>
    </w:p>
    <w:p w14:paraId="79DCC2F7" w14:textId="77777777" w:rsidR="002446D6" w:rsidRDefault="002446D6" w:rsidP="00B32AB4">
      <w:pPr>
        <w:jc w:val="both"/>
        <w:rPr>
          <w:rFonts w:ascii="Arial" w:hAnsi="Arial" w:cs="Arial"/>
        </w:rPr>
      </w:pPr>
    </w:p>
    <w:p w14:paraId="2AB667EC" w14:textId="3B7A2490" w:rsidR="007331BD" w:rsidRDefault="000A6B2F" w:rsidP="00FD747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RAN4 should clarify which DRX configuration will be used in the inter-frequency measurement requirement. Two principles are suggested:</w:t>
      </w:r>
      <w:r w:rsidR="007331BD">
        <w:rPr>
          <w:rFonts w:ascii="Arial" w:hAnsi="Arial" w:cs="Arial"/>
        </w:rPr>
        <w:t xml:space="preserve"> </w:t>
      </w:r>
    </w:p>
    <w:p w14:paraId="7813BFA0" w14:textId="4E0CA7B8" w:rsidR="007331BD" w:rsidRPr="00F74741" w:rsidRDefault="000A6B2F" w:rsidP="00FD747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FD747C">
        <w:rPr>
          <w:rFonts w:ascii="Arial" w:hAnsi="Arial" w:cs="Arial"/>
        </w:rPr>
        <w:t>Requirements should not limit the UE implementation.</w:t>
      </w:r>
      <w:r w:rsidR="007331BD" w:rsidRPr="00F74741">
        <w:rPr>
          <w:rFonts w:ascii="Arial" w:hAnsi="Arial" w:cs="Arial"/>
        </w:rPr>
        <w:t xml:space="preserve"> </w:t>
      </w:r>
    </w:p>
    <w:p w14:paraId="696B5CA6" w14:textId="51529904" w:rsidR="002446D6" w:rsidRPr="00F74741" w:rsidRDefault="000A6B2F" w:rsidP="00FD747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F74741">
        <w:rPr>
          <w:rFonts w:ascii="Arial" w:hAnsi="Arial" w:cs="Arial"/>
        </w:rPr>
        <w:t>Requirements should consider the UE power consumption</w:t>
      </w:r>
      <w:r w:rsidR="002446D6" w:rsidRPr="00F74741">
        <w:rPr>
          <w:rFonts w:ascii="Arial" w:hAnsi="Arial" w:cs="Arial"/>
        </w:rPr>
        <w:t>.</w:t>
      </w:r>
    </w:p>
    <w:p w14:paraId="2E9DE4AA" w14:textId="68C51374" w:rsidR="00A35F1A" w:rsidRDefault="002446D6" w:rsidP="00B32A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Therefore, we list all the possible situations in Table 2.</w:t>
      </w:r>
    </w:p>
    <w:p w14:paraId="2150E772" w14:textId="3A713EFE" w:rsidR="008D4FB6" w:rsidRDefault="000A6B2F" w:rsidP="00B32AB4">
      <w:pPr>
        <w:jc w:val="both"/>
        <w:rPr>
          <w:rFonts w:ascii="Arial" w:hAnsi="Arial" w:cs="Arial"/>
          <w:b/>
          <w:i/>
          <w:sz w:val="24"/>
          <w:szCs w:val="24"/>
        </w:rPr>
      </w:pPr>
      <w:bookmarkStart w:id="17" w:name="_Ref514104631"/>
      <w:bookmarkStart w:id="18" w:name="_Ref506377658"/>
      <w:bookmarkStart w:id="19" w:name="_Ref514060775"/>
      <w:r w:rsidRPr="00B25693">
        <w:rPr>
          <w:rFonts w:ascii="Arial" w:hAnsi="Arial" w:cs="Arial"/>
          <w:b/>
          <w:i/>
          <w:sz w:val="24"/>
          <w:szCs w:val="24"/>
        </w:rPr>
        <w:t xml:space="preserve">Proposal </w:t>
      </w:r>
      <w:r w:rsidRPr="00B25693">
        <w:rPr>
          <w:rFonts w:ascii="Arial" w:hAnsi="Arial" w:cs="Arial"/>
          <w:b/>
          <w:i/>
          <w:sz w:val="24"/>
          <w:szCs w:val="24"/>
        </w:rPr>
        <w:fldChar w:fldCharType="begin"/>
      </w:r>
      <w:r w:rsidRPr="00B25693">
        <w:rPr>
          <w:rFonts w:ascii="Arial" w:hAnsi="Arial" w:cs="Arial"/>
          <w:b/>
          <w:i/>
          <w:sz w:val="24"/>
          <w:szCs w:val="24"/>
        </w:rPr>
        <w:instrText xml:space="preserve"> SEQ Proposal \* ARABIC </w:instrText>
      </w:r>
      <w:r w:rsidRPr="00B25693">
        <w:rPr>
          <w:rFonts w:ascii="Arial" w:hAnsi="Arial" w:cs="Arial"/>
          <w:b/>
          <w:i/>
          <w:sz w:val="24"/>
          <w:szCs w:val="24"/>
        </w:rPr>
        <w:fldChar w:fldCharType="separate"/>
      </w:r>
      <w:r w:rsidR="002446D6">
        <w:rPr>
          <w:rFonts w:ascii="Arial" w:hAnsi="Arial" w:cs="Arial"/>
          <w:b/>
          <w:i/>
          <w:noProof/>
          <w:sz w:val="24"/>
          <w:szCs w:val="24"/>
        </w:rPr>
        <w:t>4</w:t>
      </w:r>
      <w:r w:rsidRPr="00B25693">
        <w:rPr>
          <w:rFonts w:ascii="Arial" w:hAnsi="Arial" w:cs="Arial"/>
          <w:b/>
          <w:i/>
          <w:sz w:val="24"/>
          <w:szCs w:val="24"/>
        </w:rPr>
        <w:fldChar w:fldCharType="end"/>
      </w:r>
      <w:r w:rsidRPr="00B25693">
        <w:rPr>
          <w:rFonts w:ascii="Arial" w:hAnsi="Arial" w:cs="Arial"/>
          <w:b/>
          <w:i/>
          <w:sz w:val="24"/>
          <w:szCs w:val="24"/>
        </w:rPr>
        <w:t xml:space="preserve">: For inter-frequency measurement, the delay relay requirement follows the DRX table shown </w:t>
      </w:r>
      <w:r w:rsidR="008D4FB6">
        <w:rPr>
          <w:rFonts w:ascii="Arial" w:hAnsi="Arial" w:cs="Arial"/>
          <w:b/>
          <w:i/>
          <w:sz w:val="24"/>
          <w:szCs w:val="24"/>
        </w:rPr>
        <w:t xml:space="preserve">below </w:t>
      </w:r>
    </w:p>
    <w:p w14:paraId="7426EA16" w14:textId="3912C991" w:rsidR="008D4FB6" w:rsidRDefault="008D4FB6" w:rsidP="008D4FB6">
      <w:pPr>
        <w:jc w:val="center"/>
        <w:rPr>
          <w:rFonts w:ascii="Arial" w:hAnsi="Arial" w:cs="Arial"/>
          <w:b/>
          <w:i/>
          <w:noProof/>
          <w:sz w:val="24"/>
        </w:rPr>
      </w:pPr>
      <w:r w:rsidRPr="00ED4D2F">
        <w:rPr>
          <w:b/>
        </w:rPr>
        <w:t xml:space="preserve">Table </w:t>
      </w:r>
      <w:r w:rsidR="001E35BB">
        <w:rPr>
          <w:b/>
        </w:rPr>
        <w:t>1</w:t>
      </w:r>
      <w:r>
        <w:rPr>
          <w:b/>
        </w:rPr>
        <w:t>:</w:t>
      </w:r>
      <w:r w:rsidRPr="00ED4D2F">
        <w:rPr>
          <w:b/>
        </w:rPr>
        <w:t xml:space="preserve"> </w:t>
      </w:r>
      <w:r>
        <w:rPr>
          <w:b/>
        </w:rPr>
        <w:t>Rule to select DRX cycle configured by MN or SN.</w:t>
      </w:r>
    </w:p>
    <w:tbl>
      <w:tblPr>
        <w:tblStyle w:val="2"/>
        <w:tblW w:w="5098" w:type="dxa"/>
        <w:jc w:val="center"/>
        <w:tblLook w:val="04A0" w:firstRow="1" w:lastRow="0" w:firstColumn="1" w:lastColumn="0" w:noHBand="0" w:noVBand="1"/>
      </w:tblPr>
      <w:tblGrid>
        <w:gridCol w:w="828"/>
        <w:gridCol w:w="851"/>
        <w:gridCol w:w="1709"/>
        <w:gridCol w:w="1710"/>
      </w:tblGrid>
      <w:tr w:rsidR="008D4FB6" w:rsidRPr="00E5254F" w14:paraId="4A790EC8" w14:textId="77777777" w:rsidTr="002B74ED">
        <w:trPr>
          <w:trHeight w:val="300"/>
          <w:jc w:val="center"/>
        </w:trPr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14:paraId="13EF33BF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DRX On/Off</w:t>
            </w:r>
          </w:p>
        </w:tc>
        <w:tc>
          <w:tcPr>
            <w:tcW w:w="1709" w:type="dxa"/>
            <w:vMerge w:val="restart"/>
            <w:tcBorders>
              <w:bottom w:val="single" w:sz="4" w:space="0" w:color="auto"/>
            </w:tcBorders>
            <w:hideMark/>
          </w:tcPr>
          <w:p w14:paraId="5AA0F3A3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MO configured by MN</w:t>
            </w:r>
          </w:p>
        </w:tc>
        <w:tc>
          <w:tcPr>
            <w:tcW w:w="1710" w:type="dxa"/>
            <w:vMerge w:val="restart"/>
            <w:tcBorders>
              <w:bottom w:val="single" w:sz="4" w:space="0" w:color="auto"/>
            </w:tcBorders>
            <w:hideMark/>
          </w:tcPr>
          <w:p w14:paraId="6BAF9877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MO Configured by SN</w:t>
            </w:r>
          </w:p>
        </w:tc>
      </w:tr>
      <w:tr w:rsidR="008D4FB6" w:rsidRPr="00E5254F" w14:paraId="238E7474" w14:textId="77777777" w:rsidTr="002B74ED">
        <w:trPr>
          <w:jc w:val="center"/>
        </w:trPr>
        <w:tc>
          <w:tcPr>
            <w:tcW w:w="828" w:type="dxa"/>
            <w:vAlign w:val="center"/>
          </w:tcPr>
          <w:p w14:paraId="2138EABF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DRX</w:t>
            </w:r>
            <w:r w:rsidRPr="00E5254F">
              <w:rPr>
                <w:vertAlign w:val="subscript"/>
              </w:rPr>
              <w:t>MN</w:t>
            </w:r>
          </w:p>
        </w:tc>
        <w:tc>
          <w:tcPr>
            <w:tcW w:w="851" w:type="dxa"/>
            <w:vAlign w:val="center"/>
          </w:tcPr>
          <w:p w14:paraId="1F925DEE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DRX</w:t>
            </w:r>
            <w:r w:rsidRPr="00E5254F">
              <w:rPr>
                <w:vertAlign w:val="subscript"/>
              </w:rPr>
              <w:t>SN</w:t>
            </w:r>
          </w:p>
        </w:tc>
        <w:tc>
          <w:tcPr>
            <w:tcW w:w="1709" w:type="dxa"/>
            <w:vMerge/>
          </w:tcPr>
          <w:p w14:paraId="4D2A444F" w14:textId="77777777" w:rsidR="008D4FB6" w:rsidRPr="00E5254F" w:rsidRDefault="008D4FB6" w:rsidP="002B74ED">
            <w:pPr>
              <w:spacing w:after="0"/>
            </w:pPr>
          </w:p>
        </w:tc>
        <w:tc>
          <w:tcPr>
            <w:tcW w:w="1710" w:type="dxa"/>
            <w:vMerge/>
          </w:tcPr>
          <w:p w14:paraId="698B6429" w14:textId="77777777" w:rsidR="008D4FB6" w:rsidRPr="00E5254F" w:rsidRDefault="008D4FB6" w:rsidP="002B74ED">
            <w:pPr>
              <w:spacing w:after="0"/>
            </w:pPr>
          </w:p>
        </w:tc>
      </w:tr>
      <w:tr w:rsidR="008D4FB6" w:rsidRPr="00E5254F" w14:paraId="086A38F4" w14:textId="77777777" w:rsidTr="002B74ED">
        <w:trPr>
          <w:jc w:val="center"/>
        </w:trPr>
        <w:tc>
          <w:tcPr>
            <w:tcW w:w="828" w:type="dxa"/>
            <w:vAlign w:val="center"/>
          </w:tcPr>
          <w:p w14:paraId="2B164DC6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ON</w:t>
            </w:r>
          </w:p>
        </w:tc>
        <w:tc>
          <w:tcPr>
            <w:tcW w:w="851" w:type="dxa"/>
            <w:vAlign w:val="center"/>
          </w:tcPr>
          <w:p w14:paraId="11B27149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OFF</w:t>
            </w:r>
          </w:p>
        </w:tc>
        <w:tc>
          <w:tcPr>
            <w:tcW w:w="1709" w:type="dxa"/>
            <w:shd w:val="clear" w:color="auto" w:fill="FBD4B4" w:themeFill="accent6" w:themeFillTint="66"/>
            <w:vAlign w:val="center"/>
          </w:tcPr>
          <w:p w14:paraId="05B0B485" w14:textId="77777777" w:rsidR="008D4FB6" w:rsidRPr="0097095E" w:rsidRDefault="008D4FB6" w:rsidP="002B74ED">
            <w:pPr>
              <w:spacing w:after="0"/>
              <w:jc w:val="center"/>
            </w:pPr>
            <w:r w:rsidRPr="0097095E">
              <w:t>DRX</w:t>
            </w:r>
            <w:r w:rsidRPr="0097095E">
              <w:rPr>
                <w:vertAlign w:val="subscript"/>
              </w:rPr>
              <w:t>MN</w:t>
            </w:r>
          </w:p>
        </w:tc>
        <w:tc>
          <w:tcPr>
            <w:tcW w:w="1710" w:type="dxa"/>
            <w:shd w:val="clear" w:color="auto" w:fill="FBD4B4" w:themeFill="accent6" w:themeFillTint="66"/>
          </w:tcPr>
          <w:p w14:paraId="670A123A" w14:textId="77777777" w:rsidR="008D4FB6" w:rsidRPr="0097095E" w:rsidRDefault="008D4FB6" w:rsidP="002B74ED">
            <w:pPr>
              <w:spacing w:after="0"/>
              <w:jc w:val="center"/>
            </w:pPr>
            <w:r w:rsidRPr="0097095E">
              <w:t>DRX</w:t>
            </w:r>
            <w:r w:rsidRPr="0097095E">
              <w:rPr>
                <w:vertAlign w:val="subscript"/>
              </w:rPr>
              <w:t>MN</w:t>
            </w:r>
          </w:p>
        </w:tc>
      </w:tr>
      <w:tr w:rsidR="008D4FB6" w:rsidRPr="00E5254F" w14:paraId="52FAF67D" w14:textId="77777777" w:rsidTr="002B74ED">
        <w:trPr>
          <w:jc w:val="center"/>
        </w:trPr>
        <w:tc>
          <w:tcPr>
            <w:tcW w:w="828" w:type="dxa"/>
            <w:vAlign w:val="center"/>
          </w:tcPr>
          <w:p w14:paraId="6E17A21C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OFF</w:t>
            </w:r>
          </w:p>
        </w:tc>
        <w:tc>
          <w:tcPr>
            <w:tcW w:w="851" w:type="dxa"/>
            <w:vAlign w:val="center"/>
          </w:tcPr>
          <w:p w14:paraId="1BB2F23A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ON</w:t>
            </w:r>
          </w:p>
        </w:tc>
        <w:tc>
          <w:tcPr>
            <w:tcW w:w="1709" w:type="dxa"/>
            <w:shd w:val="clear" w:color="auto" w:fill="B6DDE8" w:themeFill="accent5" w:themeFillTint="66"/>
          </w:tcPr>
          <w:p w14:paraId="3B035DD5" w14:textId="77777777" w:rsidR="008D4FB6" w:rsidRPr="0097095E" w:rsidRDefault="008D4FB6" w:rsidP="002B74ED">
            <w:pPr>
              <w:spacing w:after="0"/>
              <w:jc w:val="center"/>
            </w:pPr>
            <w:r w:rsidRPr="0097095E">
              <w:t>DRX</w:t>
            </w:r>
            <w:r w:rsidRPr="0097095E">
              <w:rPr>
                <w:vertAlign w:val="subscript"/>
              </w:rPr>
              <w:t>SN</w:t>
            </w:r>
          </w:p>
        </w:tc>
        <w:tc>
          <w:tcPr>
            <w:tcW w:w="1710" w:type="dxa"/>
            <w:shd w:val="clear" w:color="auto" w:fill="B6DDE8" w:themeFill="accent5" w:themeFillTint="66"/>
          </w:tcPr>
          <w:p w14:paraId="0B338827" w14:textId="77777777" w:rsidR="008D4FB6" w:rsidRPr="0097095E" w:rsidRDefault="008D4FB6" w:rsidP="002B74ED">
            <w:pPr>
              <w:spacing w:after="0"/>
              <w:jc w:val="center"/>
            </w:pPr>
            <w:r w:rsidRPr="0097095E">
              <w:t>DRX</w:t>
            </w:r>
            <w:r w:rsidRPr="0097095E">
              <w:rPr>
                <w:vertAlign w:val="subscript"/>
              </w:rPr>
              <w:t>SN</w:t>
            </w:r>
          </w:p>
        </w:tc>
      </w:tr>
      <w:tr w:rsidR="008D4FB6" w:rsidRPr="00E5254F" w14:paraId="123C9EEE" w14:textId="77777777" w:rsidTr="002B74ED">
        <w:trPr>
          <w:jc w:val="center"/>
        </w:trPr>
        <w:tc>
          <w:tcPr>
            <w:tcW w:w="828" w:type="dxa"/>
            <w:vAlign w:val="center"/>
          </w:tcPr>
          <w:p w14:paraId="00CF0DB4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ON</w:t>
            </w:r>
          </w:p>
        </w:tc>
        <w:tc>
          <w:tcPr>
            <w:tcW w:w="851" w:type="dxa"/>
            <w:vAlign w:val="center"/>
          </w:tcPr>
          <w:p w14:paraId="224D6246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ON</w:t>
            </w:r>
          </w:p>
        </w:tc>
        <w:tc>
          <w:tcPr>
            <w:tcW w:w="3419" w:type="dxa"/>
            <w:gridSpan w:val="2"/>
            <w:shd w:val="clear" w:color="auto" w:fill="D6E3BC" w:themeFill="accent3" w:themeFillTint="66"/>
          </w:tcPr>
          <w:p w14:paraId="0DBFCD88" w14:textId="77777777" w:rsidR="008D4FB6" w:rsidRPr="0097095E" w:rsidRDefault="008D4FB6" w:rsidP="002B74ED">
            <w:pPr>
              <w:spacing w:after="0"/>
              <w:jc w:val="center"/>
            </w:pPr>
            <w:r w:rsidRPr="0097095E">
              <w:t>Max{ DRX</w:t>
            </w:r>
            <w:r w:rsidRPr="0097095E">
              <w:rPr>
                <w:vertAlign w:val="subscript"/>
              </w:rPr>
              <w:t>MN</w:t>
            </w:r>
            <w:r w:rsidRPr="0097095E">
              <w:t>, DRX</w:t>
            </w:r>
            <w:r w:rsidRPr="0097095E">
              <w:rPr>
                <w:vertAlign w:val="subscript"/>
              </w:rPr>
              <w:t>SN</w:t>
            </w:r>
            <w:r w:rsidRPr="0097095E">
              <w:t xml:space="preserve"> }</w:t>
            </w:r>
          </w:p>
        </w:tc>
      </w:tr>
      <w:bookmarkEnd w:id="17"/>
      <w:bookmarkEnd w:id="18"/>
      <w:bookmarkEnd w:id="19"/>
    </w:tbl>
    <w:p w14:paraId="577CA934" w14:textId="77777777" w:rsidR="000A6B2F" w:rsidRPr="000A6B2F" w:rsidRDefault="000A6B2F" w:rsidP="000A6B2F">
      <w:pPr>
        <w:rPr>
          <w:lang w:val="en-GB" w:eastAsia="en-US"/>
        </w:rPr>
      </w:pPr>
    </w:p>
    <w:p w14:paraId="01E2DA79" w14:textId="49C58D57" w:rsidR="000A6B2F" w:rsidRDefault="002446D6" w:rsidP="000A6B2F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4</w:t>
      </w:r>
      <w:r w:rsidR="000A6B2F" w:rsidRPr="009F29FB">
        <w:rPr>
          <w:rFonts w:cs="Arial"/>
          <w:color w:val="000000" w:themeColor="text1"/>
        </w:rPr>
        <w:tab/>
      </w:r>
      <w:r w:rsidR="000A6B2F" w:rsidRPr="000A6B2F">
        <w:rPr>
          <w:rFonts w:eastAsia="新細明體" w:cs="Arial"/>
          <w:color w:val="000000" w:themeColor="text1"/>
          <w:lang w:eastAsia="zh-TW"/>
        </w:rPr>
        <w:t>Summary</w:t>
      </w:r>
      <w:r w:rsidR="000A6B2F" w:rsidRPr="009F29FB">
        <w:rPr>
          <w:rFonts w:cs="Arial"/>
          <w:color w:val="000000" w:themeColor="text1"/>
        </w:rPr>
        <w:t xml:space="preserve"> </w:t>
      </w:r>
    </w:p>
    <w:p w14:paraId="31E4DEAE" w14:textId="2EE449D2" w:rsidR="000A6B2F" w:rsidRPr="008D4FB6" w:rsidRDefault="000A6B2F" w:rsidP="00FD747C">
      <w:pPr>
        <w:pStyle w:val="TAL"/>
        <w:jc w:val="both"/>
      </w:pPr>
      <w:r w:rsidRPr="00513EBE">
        <w:rPr>
          <w:rFonts w:cs="Arial"/>
          <w:sz w:val="22"/>
        </w:rPr>
        <w:t>In this contribution</w:t>
      </w:r>
      <w:r>
        <w:rPr>
          <w:rFonts w:cs="Arial"/>
          <w:sz w:val="22"/>
        </w:rPr>
        <w:t>,</w:t>
      </w:r>
      <w:r w:rsidRPr="009F29FB">
        <w:rPr>
          <w:rFonts w:cs="Arial"/>
          <w:sz w:val="22"/>
        </w:rPr>
        <w:t xml:space="preserve"> </w:t>
      </w:r>
      <w:r>
        <w:rPr>
          <w:rFonts w:cs="Arial"/>
          <w:sz w:val="22"/>
        </w:rPr>
        <w:t>we</w:t>
      </w:r>
      <w:r w:rsidR="007D4B22">
        <w:rPr>
          <w:rFonts w:cs="Arial"/>
          <w:sz w:val="22"/>
        </w:rPr>
        <w:t xml:space="preserve"> propose</w:t>
      </w:r>
      <w:r>
        <w:rPr>
          <w:rFonts w:cs="Arial"/>
          <w:sz w:val="22"/>
        </w:rPr>
        <w:t xml:space="preserve"> </w:t>
      </w:r>
      <w:r w:rsidR="00957D95">
        <w:fldChar w:fldCharType="begin"/>
      </w:r>
      <w:r w:rsidR="00957D95">
        <w:instrText xml:space="preserve"> REF _Ref514663904 \h  \* MERGEFORMAT </w:instrText>
      </w:r>
      <w:r w:rsidR="00957D95">
        <w:fldChar w:fldCharType="end"/>
      </w:r>
    </w:p>
    <w:p w14:paraId="5365A556" w14:textId="31268854" w:rsidR="00F74741" w:rsidRDefault="00F74741" w:rsidP="00791C7D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fldChar w:fldCharType="begin"/>
      </w:r>
      <w:r>
        <w:rPr>
          <w:rFonts w:ascii="Arial" w:hAnsi="Arial" w:cs="Arial"/>
          <w:b/>
          <w:i/>
          <w:sz w:val="24"/>
          <w:szCs w:val="24"/>
        </w:rPr>
        <w:instrText xml:space="preserve"> REF _Ref521427900 \h </w:instrText>
      </w:r>
      <w:r>
        <w:rPr>
          <w:rFonts w:ascii="Arial" w:hAnsi="Arial" w:cs="Arial"/>
          <w:b/>
          <w:i/>
          <w:sz w:val="24"/>
          <w:szCs w:val="24"/>
        </w:rPr>
      </w:r>
      <w:r>
        <w:rPr>
          <w:rFonts w:ascii="Arial" w:hAnsi="Arial" w:cs="Arial"/>
          <w:b/>
          <w:i/>
          <w:sz w:val="24"/>
          <w:szCs w:val="24"/>
        </w:rPr>
        <w:fldChar w:fldCharType="separate"/>
      </w:r>
      <w:r w:rsidRPr="00952542">
        <w:rPr>
          <w:rFonts w:ascii="Arial" w:hAnsi="Arial" w:cs="Arial"/>
          <w:b/>
          <w:i/>
          <w:noProof/>
          <w:sz w:val="24"/>
        </w:rPr>
        <w:t xml:space="preserve">Proposal 1: The average measurement opportunity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</m:oMath>
      <w:r w:rsidRPr="00952542">
        <w:rPr>
          <w:rFonts w:ascii="Arial" w:hAnsi="Arial" w:cs="Arial"/>
          <w:b/>
          <w:i/>
          <w:noProof/>
        </w:rPr>
        <w:t xml:space="preserve"> </w:t>
      </w:r>
      <w:r w:rsidRPr="00952542">
        <w:rPr>
          <w:rFonts w:ascii="Arial" w:hAnsi="Arial" w:cs="Arial"/>
          <w:b/>
          <w:i/>
          <w:noProof/>
          <w:sz w:val="24"/>
        </w:rPr>
        <w:t>of inter-frequency measurement requirement Alt.3 is replaced with lowest measurement opportunity. When</w:t>
      </w:r>
      <w:r w:rsidRPr="00952542">
        <w:rPr>
          <w:b/>
        </w:rPr>
        <w:t xml:space="preserve"> </w:t>
      </w:r>
      <w:r w:rsidRPr="00952542">
        <w:rPr>
          <w:rFonts w:ascii="Arial" w:hAnsi="Arial" w:cs="Arial"/>
          <w:b/>
          <w:i/>
          <w:noProof/>
          <w:sz w:val="24"/>
        </w:rPr>
        <w:t>it doesn’t need gap sharing in gap occasion #j</w:t>
      </w:r>
      <w:r>
        <w:rPr>
          <w:rFonts w:ascii="Arial" w:hAnsi="Arial" w:cs="Arial"/>
          <w:b/>
          <w:i/>
          <w:noProof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noProof/>
            <w:sz w:val="24"/>
          </w:rPr>
          <w:br/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den>
        </m:f>
      </m:oMath>
      <w:r w:rsidRPr="00570024">
        <w:rPr>
          <w:rFonts w:ascii="Arial" w:hAnsi="Arial" w:cs="Arial"/>
          <w:b/>
          <w:iCs/>
        </w:rPr>
        <w:t xml:space="preserve">, </w:t>
      </w:r>
      <w:r w:rsidRPr="00570024">
        <w:rPr>
          <w:rFonts w:ascii="Arial" w:hAnsi="Arial" w:cs="Arial"/>
          <w:b/>
          <w:i/>
          <w:noProof/>
          <w:sz w:val="24"/>
        </w:rPr>
        <w:t xml:space="preserve">where </w:t>
      </w:r>
      <m:oMath>
        <m:r>
          <m:rPr>
            <m:sty m:val="p"/>
          </m:rPr>
          <w:rPr>
            <w:rFonts w:ascii="Cambria Math" w:hAnsi="Cambria Math" w:cs="Arial"/>
          </w:rPr>
          <m:t>θ=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max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0≤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≤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G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MGRP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 w:cs="Arial"/>
                    <w:b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 θ</m:t>
                </m:r>
              </m:e>
              <m:sub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'</m:t>
                    </m:r>
                  </m:sup>
                </m:sSup>
              </m:sub>
            </m:sSub>
          </m:e>
        </m:func>
        <m:r>
          <m:rPr>
            <m:sty m:val="p"/>
          </m:rPr>
          <w:rPr>
            <w:rFonts w:ascii="Cambria Math" w:hAnsi="Cambria Math" w:cs="Arial"/>
            <w:noProof/>
          </w:rPr>
          <m:t>.</m:t>
        </m:r>
      </m:oMath>
      <w:r>
        <w:rPr>
          <w:rFonts w:ascii="Arial" w:hAnsi="Arial" w:cs="Arial"/>
          <w:b/>
          <w:i/>
          <w:noProof/>
        </w:rPr>
        <w:br/>
      </w:r>
      <w:r w:rsidRPr="00570024">
        <w:rPr>
          <w:rFonts w:ascii="Arial" w:hAnsi="Arial" w:cs="Arial"/>
          <w:b/>
          <w:i/>
          <w:noProof/>
          <w:sz w:val="24"/>
        </w:rPr>
        <w:t>When</w:t>
      </w:r>
      <w:r w:rsidRPr="00570024">
        <w:rPr>
          <w:b/>
        </w:rPr>
        <w:t xml:space="preserve"> </w:t>
      </w:r>
      <w:r w:rsidRPr="00570024">
        <w:rPr>
          <w:rFonts w:ascii="Arial" w:hAnsi="Arial" w:cs="Arial"/>
          <w:b/>
          <w:i/>
          <w:noProof/>
          <w:sz w:val="24"/>
        </w:rPr>
        <w:t xml:space="preserve">it needs gap sharing in gap occasion #j, </w:t>
      </w:r>
      <w:r>
        <w:rPr>
          <w:rFonts w:ascii="Arial" w:hAnsi="Arial" w:cs="Arial"/>
          <w:b/>
          <w:i/>
          <w:noProof/>
          <w:sz w:val="24"/>
        </w:rPr>
        <w:br/>
      </w:r>
      <w:r w:rsidRPr="00570024">
        <w:rPr>
          <w:rFonts w:ascii="Arial" w:hAnsi="Arial" w:cs="Arial"/>
          <w:b/>
          <w:i/>
          <w:noProof/>
          <w:sz w:val="24"/>
        </w:rPr>
        <w:t>for an intra-frequency layer #</w:t>
      </w:r>
      <w:r>
        <w:rPr>
          <w:rFonts w:ascii="Arial" w:hAnsi="Arial" w:cs="Arial"/>
          <w:b/>
          <w:i/>
          <w:noProof/>
          <w:sz w:val="24"/>
        </w:rPr>
        <w:t xml:space="preserve">i </w:t>
      </w:r>
      <w:r>
        <w:rPr>
          <w:rFonts w:ascii="Arial" w:hAnsi="Arial" w:cs="Arial"/>
          <w:b/>
          <w:i/>
          <w:noProof/>
          <w:sz w:val="24"/>
        </w:rPr>
        <w:br/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</m:t>
                </m:r>
              </m:sub>
            </m:sSub>
          </m:den>
        </m:f>
      </m:oMath>
      <w:r w:rsidRPr="00570024">
        <w:rPr>
          <w:rFonts w:ascii="Arial" w:hAnsi="Arial" w:cs="Arial"/>
          <w:b/>
          <w:iCs/>
        </w:rPr>
        <w:t xml:space="preserve">, </w:t>
      </w:r>
      <w:r w:rsidRPr="00570024">
        <w:rPr>
          <w:rFonts w:ascii="Arial" w:hAnsi="Arial" w:cs="Arial"/>
          <w:b/>
          <w:i/>
          <w:noProof/>
          <w:sz w:val="24"/>
        </w:rPr>
        <w:t>where</w:t>
      </w:r>
      <w:r w:rsidRPr="00570024">
        <w:rPr>
          <w:rFonts w:ascii="Arial" w:hAnsi="Arial" w:cs="Arial"/>
          <w:b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intra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 xml:space="preserve"> =</m:t>
        </m:r>
        <m:func>
          <m:funcPr>
            <m:ctrlPr>
              <w:rPr>
                <w:rFonts w:ascii="Cambria Math" w:hAnsi="Cambria Math"/>
                <w:b/>
                <w:i/>
                <w:iCs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iCs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 xml:space="preserve">max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0≤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≤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G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MGRP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 xml:space="preserve"> 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intra,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</m:sub>
            </m:sSub>
          </m:e>
        </m:func>
      </m:oMath>
      <w:r>
        <w:rPr>
          <w:rFonts w:ascii="Arial" w:hAnsi="Arial" w:cs="Arial"/>
          <w:b/>
          <w:iCs/>
          <w:vertAlign w:val="subscript"/>
        </w:rPr>
        <w:br/>
      </w:r>
      <w:r w:rsidRPr="00570024">
        <w:rPr>
          <w:rFonts w:ascii="Arial" w:hAnsi="Arial" w:cs="Arial"/>
          <w:b/>
          <w:i/>
          <w:noProof/>
          <w:sz w:val="24"/>
        </w:rPr>
        <w:t>and for for an inter-frequency layer #i</w:t>
      </w:r>
      <w:r>
        <w:rPr>
          <w:rFonts w:ascii="Arial" w:hAnsi="Arial" w:cs="Arial"/>
          <w:b/>
          <w:i/>
          <w:noProof/>
          <w:sz w:val="24"/>
        </w:rPr>
        <w:br/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</m:t>
                </m:r>
              </m:sub>
            </m:sSub>
          </m:den>
        </m:f>
      </m:oMath>
      <w:r w:rsidRPr="00570024">
        <w:rPr>
          <w:rFonts w:ascii="Arial" w:hAnsi="Arial" w:cs="Arial"/>
          <w:b/>
          <w:i/>
          <w:iCs/>
          <w:noProof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=</m:t>
        </m:r>
        <m:func>
          <m:funcPr>
            <m:ctrlPr>
              <w:rPr>
                <w:rFonts w:ascii="Cambria Math" w:hAnsi="Cambria Math"/>
                <w:b/>
                <w:i/>
                <w:iCs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0≤j'≤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G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MGRP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inter,j'</m:t>
                </m:r>
              </m:sub>
            </m:sSub>
          </m:e>
        </m:func>
      </m:oMath>
      <w:r>
        <w:rPr>
          <w:rFonts w:ascii="Arial" w:hAnsi="Arial" w:cs="Arial"/>
          <w:b/>
          <w:iCs/>
          <w:vertAlign w:val="subscript"/>
        </w:rPr>
        <w:t>.</w:t>
      </w:r>
      <w:r>
        <w:rPr>
          <w:rFonts w:ascii="Arial" w:hAnsi="Arial" w:cs="Arial"/>
          <w:b/>
          <w:i/>
          <w:sz w:val="24"/>
          <w:szCs w:val="24"/>
        </w:rPr>
        <w:fldChar w:fldCharType="end"/>
      </w:r>
    </w:p>
    <w:p w14:paraId="7D84BD70" w14:textId="77777777" w:rsidR="00F74741" w:rsidRDefault="00F74741" w:rsidP="00791C7D">
      <w:pPr>
        <w:rPr>
          <w:rFonts w:ascii="Arial" w:hAnsi="Arial" w:cs="Arial"/>
          <w:b/>
          <w:i/>
          <w:sz w:val="24"/>
          <w:szCs w:val="24"/>
        </w:rPr>
      </w:pPr>
    </w:p>
    <w:p w14:paraId="76C07CFD" w14:textId="1C4A6EAF" w:rsidR="007D4B22" w:rsidRDefault="007D4B22" w:rsidP="00791C7D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lastRenderedPageBreak/>
        <w:fldChar w:fldCharType="begin"/>
      </w:r>
      <w:r>
        <w:rPr>
          <w:rFonts w:ascii="Arial" w:hAnsi="Arial" w:cs="Arial"/>
          <w:b/>
          <w:i/>
          <w:sz w:val="24"/>
          <w:szCs w:val="24"/>
        </w:rPr>
        <w:instrText xml:space="preserve"> REF _Ref521271618 \h  \* MERGEFORMAT </w:instrText>
      </w:r>
      <w:r>
        <w:rPr>
          <w:rFonts w:ascii="Arial" w:hAnsi="Arial" w:cs="Arial"/>
          <w:b/>
          <w:i/>
          <w:sz w:val="24"/>
          <w:szCs w:val="24"/>
        </w:rPr>
      </w:r>
      <w:r>
        <w:rPr>
          <w:rFonts w:ascii="Arial" w:hAnsi="Arial" w:cs="Arial"/>
          <w:b/>
          <w:i/>
          <w:sz w:val="24"/>
          <w:szCs w:val="24"/>
        </w:rPr>
        <w:fldChar w:fldCharType="separate"/>
      </w:r>
      <w:r w:rsidRPr="00FD747C">
        <w:rPr>
          <w:rFonts w:ascii="Arial" w:hAnsi="Arial" w:cs="Arial"/>
          <w:b/>
          <w:i/>
          <w:sz w:val="24"/>
          <w:szCs w:val="24"/>
        </w:rPr>
        <w:t xml:space="preserve">Proposal 2: In DRX mode, the inter-frequency measurement requirement is 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ceil</m:t>
        </m:r>
        <m:d>
          <m:d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1.5× 8</m:t>
            </m:r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×max</m:t>
        </m:r>
        <m:d>
          <m:d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MGRP,</m:t>
            </m:r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SMTC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DRX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Arial"/>
                    <w:b/>
                    <w:i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j=0</m:t>
                </m:r>
              </m:sub>
              <m:sup>
                <m:d>
                  <m:d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MGRP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ε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i,j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,</m:t>
        </m:r>
      </m:oMath>
      <w:r w:rsidRPr="00FD747C">
        <w:rPr>
          <w:rFonts w:ascii="Arial" w:hAnsi="Arial" w:cs="Arial"/>
          <w:b/>
          <w:i/>
          <w:sz w:val="24"/>
          <w:szCs w:val="24"/>
        </w:rPr>
        <w:t xml:space="preserve"> when DRX cycle length is less and equal to 320ms.</w:t>
      </w:r>
      <w:r>
        <w:rPr>
          <w:rFonts w:ascii="Arial" w:hAnsi="Arial" w:cs="Arial"/>
          <w:b/>
          <w:i/>
          <w:sz w:val="24"/>
          <w:szCs w:val="24"/>
        </w:rPr>
        <w:fldChar w:fldCharType="end"/>
      </w:r>
    </w:p>
    <w:p w14:paraId="20EFF5FA" w14:textId="77777777" w:rsidR="007D4B22" w:rsidRDefault="007D4B22" w:rsidP="00791C7D">
      <w:pPr>
        <w:rPr>
          <w:rFonts w:ascii="Arial" w:hAnsi="Arial" w:cs="Arial"/>
          <w:b/>
          <w:i/>
          <w:sz w:val="24"/>
          <w:szCs w:val="24"/>
        </w:rPr>
      </w:pPr>
    </w:p>
    <w:p w14:paraId="6C28E52A" w14:textId="13DC5C0A" w:rsidR="00805EFB" w:rsidRDefault="007D4B22" w:rsidP="00791C7D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fldChar w:fldCharType="begin"/>
      </w:r>
      <w:r>
        <w:rPr>
          <w:rFonts w:ascii="Arial" w:hAnsi="Arial" w:cs="Arial"/>
          <w:b/>
          <w:i/>
          <w:sz w:val="24"/>
          <w:szCs w:val="24"/>
        </w:rPr>
        <w:instrText xml:space="preserve"> REF _Ref521271624 \h  \* MERGEFORMAT </w:instrText>
      </w:r>
      <w:r>
        <w:rPr>
          <w:rFonts w:ascii="Arial" w:hAnsi="Arial" w:cs="Arial"/>
          <w:b/>
          <w:i/>
          <w:sz w:val="24"/>
          <w:szCs w:val="24"/>
        </w:rPr>
      </w:r>
      <w:r>
        <w:rPr>
          <w:rFonts w:ascii="Arial" w:hAnsi="Arial" w:cs="Arial"/>
          <w:b/>
          <w:i/>
          <w:sz w:val="24"/>
          <w:szCs w:val="24"/>
        </w:rPr>
        <w:fldChar w:fldCharType="separate"/>
      </w:r>
      <w:r w:rsidRPr="00FD747C">
        <w:rPr>
          <w:rFonts w:ascii="Arial" w:hAnsi="Arial" w:cs="Arial"/>
          <w:b/>
          <w:i/>
          <w:sz w:val="24"/>
          <w:szCs w:val="24"/>
        </w:rPr>
        <w:t>Proposal 3: RAN4 to define the minimum requirement in DRX mode and provide UE flexibility to enter the power saving mode.</w:t>
      </w:r>
      <w:r>
        <w:rPr>
          <w:rFonts w:ascii="Arial" w:hAnsi="Arial" w:cs="Arial"/>
          <w:b/>
          <w:i/>
          <w:sz w:val="24"/>
          <w:szCs w:val="24"/>
        </w:rPr>
        <w:fldChar w:fldCharType="end"/>
      </w:r>
    </w:p>
    <w:p w14:paraId="1740A08E" w14:textId="65D39C92" w:rsidR="00322DFB" w:rsidRPr="00322DFB" w:rsidRDefault="00322DFB" w:rsidP="00791C7D">
      <w:pPr>
        <w:rPr>
          <w:rFonts w:ascii="Arial" w:hAnsi="Arial" w:cs="Arial"/>
          <w:b/>
          <w:i/>
          <w:noProof/>
          <w:sz w:val="24"/>
        </w:rPr>
      </w:pPr>
      <w:bookmarkStart w:id="20" w:name="_GoBack"/>
      <w:bookmarkEnd w:id="20"/>
    </w:p>
    <w:p w14:paraId="6306D8D1" w14:textId="77777777" w:rsidR="001E35BB" w:rsidRDefault="008D4FB6" w:rsidP="00952542">
      <w:pPr>
        <w:rPr>
          <w:rFonts w:ascii="Arial" w:hAnsi="Arial" w:cs="Arial"/>
          <w:b/>
          <w:i/>
          <w:sz w:val="24"/>
          <w:szCs w:val="24"/>
        </w:rPr>
      </w:pPr>
      <w:r w:rsidRPr="008D4FB6">
        <w:rPr>
          <w:rFonts w:ascii="Arial" w:hAnsi="Arial" w:cs="Arial"/>
          <w:b/>
          <w:i/>
          <w:sz w:val="24"/>
          <w:szCs w:val="24"/>
        </w:rPr>
        <w:fldChar w:fldCharType="begin"/>
      </w:r>
      <w:r w:rsidRPr="008D4FB6">
        <w:rPr>
          <w:rFonts w:ascii="Arial" w:hAnsi="Arial" w:cs="Arial"/>
          <w:b/>
          <w:i/>
          <w:sz w:val="24"/>
          <w:szCs w:val="24"/>
        </w:rPr>
        <w:instrText xml:space="preserve"> REF _Ref514104631 \h </w:instrText>
      </w:r>
      <w:r>
        <w:rPr>
          <w:rFonts w:ascii="Arial" w:hAnsi="Arial" w:cs="Arial"/>
          <w:b/>
          <w:i/>
          <w:sz w:val="24"/>
          <w:szCs w:val="24"/>
        </w:rPr>
        <w:instrText xml:space="preserve"> \* MERGEFORMAT </w:instrText>
      </w:r>
      <w:r w:rsidRPr="008D4FB6">
        <w:rPr>
          <w:rFonts w:ascii="Arial" w:hAnsi="Arial" w:cs="Arial"/>
          <w:b/>
          <w:i/>
          <w:sz w:val="24"/>
          <w:szCs w:val="24"/>
        </w:rPr>
      </w:r>
      <w:r w:rsidRPr="008D4FB6">
        <w:rPr>
          <w:rFonts w:ascii="Arial" w:hAnsi="Arial" w:cs="Arial"/>
          <w:b/>
          <w:i/>
          <w:sz w:val="24"/>
          <w:szCs w:val="24"/>
        </w:rPr>
        <w:fldChar w:fldCharType="separate"/>
      </w:r>
      <w:r w:rsidR="001E35BB" w:rsidRPr="00B25693">
        <w:rPr>
          <w:rFonts w:ascii="Arial" w:hAnsi="Arial" w:cs="Arial"/>
          <w:b/>
          <w:i/>
          <w:sz w:val="24"/>
          <w:szCs w:val="24"/>
        </w:rPr>
        <w:t xml:space="preserve">Proposal </w:t>
      </w:r>
      <w:r w:rsidR="001E35BB">
        <w:rPr>
          <w:rFonts w:ascii="Arial" w:hAnsi="Arial" w:cs="Arial"/>
          <w:b/>
          <w:i/>
          <w:sz w:val="24"/>
          <w:szCs w:val="24"/>
        </w:rPr>
        <w:t>4</w:t>
      </w:r>
      <w:r w:rsidR="001E35BB" w:rsidRPr="00B25693">
        <w:rPr>
          <w:rFonts w:ascii="Arial" w:hAnsi="Arial" w:cs="Arial"/>
          <w:b/>
          <w:i/>
          <w:sz w:val="24"/>
          <w:szCs w:val="24"/>
        </w:rPr>
        <w:t xml:space="preserve">: For inter-frequency measurement, the delay relay requirement follows the DRX table shown </w:t>
      </w:r>
      <w:r w:rsidR="001E35BB">
        <w:rPr>
          <w:rFonts w:ascii="Arial" w:hAnsi="Arial" w:cs="Arial"/>
          <w:b/>
          <w:i/>
          <w:sz w:val="24"/>
          <w:szCs w:val="24"/>
        </w:rPr>
        <w:t xml:space="preserve">below </w:t>
      </w:r>
    </w:p>
    <w:p w14:paraId="18B8BFDE" w14:textId="77777777" w:rsidR="001E35BB" w:rsidRDefault="001E35BB" w:rsidP="008D4FB6">
      <w:pPr>
        <w:jc w:val="center"/>
        <w:rPr>
          <w:rFonts w:ascii="Arial" w:hAnsi="Arial" w:cs="Arial"/>
          <w:b/>
          <w:i/>
          <w:noProof/>
          <w:sz w:val="24"/>
        </w:rPr>
      </w:pPr>
      <w:r w:rsidRPr="00ED4D2F">
        <w:rPr>
          <w:b/>
        </w:rPr>
        <w:t xml:space="preserve">Table </w:t>
      </w:r>
      <w:r>
        <w:rPr>
          <w:b/>
        </w:rPr>
        <w:t>1:</w:t>
      </w:r>
      <w:r w:rsidRPr="00ED4D2F">
        <w:rPr>
          <w:b/>
        </w:rPr>
        <w:t xml:space="preserve"> </w:t>
      </w:r>
      <w:r>
        <w:rPr>
          <w:b/>
        </w:rPr>
        <w:t>Rule to select DRX cycle configured by MN or SN.</w:t>
      </w:r>
    </w:p>
    <w:tbl>
      <w:tblPr>
        <w:tblStyle w:val="2"/>
        <w:tblW w:w="5098" w:type="dxa"/>
        <w:jc w:val="center"/>
        <w:tblLook w:val="04A0" w:firstRow="1" w:lastRow="0" w:firstColumn="1" w:lastColumn="0" w:noHBand="0" w:noVBand="1"/>
      </w:tblPr>
      <w:tblGrid>
        <w:gridCol w:w="916"/>
        <w:gridCol w:w="849"/>
        <w:gridCol w:w="1665"/>
        <w:gridCol w:w="1668"/>
      </w:tblGrid>
      <w:tr w:rsidR="001E35BB" w:rsidRPr="00E5254F" w14:paraId="09117018" w14:textId="77777777" w:rsidTr="002B74ED">
        <w:trPr>
          <w:trHeight w:val="300"/>
          <w:jc w:val="center"/>
        </w:trPr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14:paraId="02A55762" w14:textId="77777777" w:rsidR="001E35BB" w:rsidRPr="00E5254F" w:rsidRDefault="001E35BB" w:rsidP="00952542">
            <w:pPr>
              <w:spacing w:after="0"/>
            </w:pPr>
            <w:r w:rsidRPr="00E5254F">
              <w:t>DRX On/Off</w:t>
            </w:r>
          </w:p>
        </w:tc>
        <w:tc>
          <w:tcPr>
            <w:tcW w:w="1709" w:type="dxa"/>
            <w:vMerge w:val="restart"/>
            <w:tcBorders>
              <w:bottom w:val="single" w:sz="4" w:space="0" w:color="auto"/>
            </w:tcBorders>
            <w:hideMark/>
          </w:tcPr>
          <w:p w14:paraId="1C15F2C4" w14:textId="77777777" w:rsidR="001E35BB" w:rsidRPr="00E5254F" w:rsidRDefault="001E35BB" w:rsidP="00952542">
            <w:pPr>
              <w:spacing w:after="0"/>
            </w:pPr>
            <w:r w:rsidRPr="00E5254F">
              <w:t>MO configured by MN</w:t>
            </w:r>
          </w:p>
        </w:tc>
        <w:tc>
          <w:tcPr>
            <w:tcW w:w="1710" w:type="dxa"/>
            <w:vMerge w:val="restart"/>
            <w:tcBorders>
              <w:bottom w:val="single" w:sz="4" w:space="0" w:color="auto"/>
            </w:tcBorders>
            <w:hideMark/>
          </w:tcPr>
          <w:p w14:paraId="110F0A79" w14:textId="77777777" w:rsidR="001E35BB" w:rsidRPr="00E5254F" w:rsidRDefault="001E35BB" w:rsidP="00952542">
            <w:pPr>
              <w:spacing w:after="0"/>
            </w:pPr>
            <w:r w:rsidRPr="00E5254F">
              <w:t>MO Configured by SN</w:t>
            </w:r>
          </w:p>
        </w:tc>
      </w:tr>
      <w:tr w:rsidR="001E35BB" w:rsidRPr="00E5254F" w14:paraId="29CFD7D4" w14:textId="77777777" w:rsidTr="002B74ED">
        <w:trPr>
          <w:jc w:val="center"/>
        </w:trPr>
        <w:tc>
          <w:tcPr>
            <w:tcW w:w="828" w:type="dxa"/>
            <w:vAlign w:val="center"/>
          </w:tcPr>
          <w:p w14:paraId="7D05FBAB" w14:textId="77777777" w:rsidR="001E35BB" w:rsidRPr="00E5254F" w:rsidRDefault="001E35BB" w:rsidP="00952542">
            <w:pPr>
              <w:spacing w:after="0"/>
            </w:pPr>
            <w:r w:rsidRPr="00E5254F">
              <w:t>DRX</w:t>
            </w:r>
            <w:r w:rsidRPr="00952542">
              <w:t>MN</w:t>
            </w:r>
          </w:p>
        </w:tc>
        <w:tc>
          <w:tcPr>
            <w:tcW w:w="851" w:type="dxa"/>
            <w:vAlign w:val="center"/>
          </w:tcPr>
          <w:p w14:paraId="6994BCBD" w14:textId="77777777" w:rsidR="001E35BB" w:rsidRPr="00E5254F" w:rsidRDefault="001E35BB" w:rsidP="00952542">
            <w:pPr>
              <w:spacing w:after="0"/>
            </w:pPr>
            <w:r w:rsidRPr="00E5254F">
              <w:t>DRX</w:t>
            </w:r>
            <w:r w:rsidRPr="00952542">
              <w:t>SN</w:t>
            </w:r>
          </w:p>
        </w:tc>
        <w:tc>
          <w:tcPr>
            <w:tcW w:w="1709" w:type="dxa"/>
            <w:vMerge/>
          </w:tcPr>
          <w:p w14:paraId="0A1994FA" w14:textId="77777777" w:rsidR="001E35BB" w:rsidRPr="00E5254F" w:rsidRDefault="001E35BB" w:rsidP="002B74ED">
            <w:pPr>
              <w:spacing w:after="0"/>
            </w:pPr>
          </w:p>
        </w:tc>
        <w:tc>
          <w:tcPr>
            <w:tcW w:w="1710" w:type="dxa"/>
            <w:vMerge/>
          </w:tcPr>
          <w:p w14:paraId="1274E708" w14:textId="77777777" w:rsidR="001E35BB" w:rsidRPr="00E5254F" w:rsidRDefault="001E35BB" w:rsidP="002B74ED">
            <w:pPr>
              <w:spacing w:after="0"/>
            </w:pPr>
          </w:p>
        </w:tc>
      </w:tr>
      <w:tr w:rsidR="001E35BB" w:rsidRPr="00E5254F" w14:paraId="357B3EB0" w14:textId="77777777" w:rsidTr="002B74ED">
        <w:trPr>
          <w:jc w:val="center"/>
        </w:trPr>
        <w:tc>
          <w:tcPr>
            <w:tcW w:w="828" w:type="dxa"/>
            <w:vAlign w:val="center"/>
          </w:tcPr>
          <w:p w14:paraId="2597A327" w14:textId="77777777" w:rsidR="001E35BB" w:rsidRPr="00E5254F" w:rsidRDefault="001E35BB" w:rsidP="00952542">
            <w:pPr>
              <w:spacing w:after="0"/>
            </w:pPr>
            <w:r w:rsidRPr="00E5254F">
              <w:t>ON</w:t>
            </w:r>
          </w:p>
        </w:tc>
        <w:tc>
          <w:tcPr>
            <w:tcW w:w="851" w:type="dxa"/>
            <w:vAlign w:val="center"/>
          </w:tcPr>
          <w:p w14:paraId="455ADF6B" w14:textId="77777777" w:rsidR="001E35BB" w:rsidRPr="00E5254F" w:rsidRDefault="001E35BB" w:rsidP="00952542">
            <w:pPr>
              <w:spacing w:after="0"/>
            </w:pPr>
            <w:r w:rsidRPr="00E5254F">
              <w:t>OFF</w:t>
            </w:r>
          </w:p>
        </w:tc>
        <w:tc>
          <w:tcPr>
            <w:tcW w:w="1709" w:type="dxa"/>
            <w:shd w:val="clear" w:color="auto" w:fill="FBD4B4" w:themeFill="accent6" w:themeFillTint="66"/>
            <w:vAlign w:val="center"/>
          </w:tcPr>
          <w:p w14:paraId="4A39D3F4" w14:textId="77777777" w:rsidR="001E35BB" w:rsidRPr="0097095E" w:rsidRDefault="001E35BB" w:rsidP="00952542">
            <w:pPr>
              <w:spacing w:after="0"/>
            </w:pPr>
            <w:r w:rsidRPr="0097095E">
              <w:t>DRX</w:t>
            </w:r>
            <w:r w:rsidRPr="00952542">
              <w:t>MN</w:t>
            </w:r>
          </w:p>
        </w:tc>
        <w:tc>
          <w:tcPr>
            <w:tcW w:w="1710" w:type="dxa"/>
            <w:shd w:val="clear" w:color="auto" w:fill="FBD4B4" w:themeFill="accent6" w:themeFillTint="66"/>
          </w:tcPr>
          <w:p w14:paraId="27850771" w14:textId="77777777" w:rsidR="001E35BB" w:rsidRPr="0097095E" w:rsidRDefault="001E35BB" w:rsidP="00952542">
            <w:pPr>
              <w:spacing w:after="0"/>
            </w:pPr>
            <w:r w:rsidRPr="0097095E">
              <w:t>DRX</w:t>
            </w:r>
            <w:r w:rsidRPr="00952542">
              <w:t>MN</w:t>
            </w:r>
          </w:p>
        </w:tc>
      </w:tr>
      <w:tr w:rsidR="001E35BB" w:rsidRPr="00E5254F" w14:paraId="5210188F" w14:textId="77777777" w:rsidTr="002B74ED">
        <w:trPr>
          <w:jc w:val="center"/>
        </w:trPr>
        <w:tc>
          <w:tcPr>
            <w:tcW w:w="828" w:type="dxa"/>
            <w:vAlign w:val="center"/>
          </w:tcPr>
          <w:p w14:paraId="5420A819" w14:textId="77777777" w:rsidR="001E35BB" w:rsidRPr="00E5254F" w:rsidRDefault="001E35BB" w:rsidP="00952542">
            <w:pPr>
              <w:spacing w:after="0"/>
            </w:pPr>
            <w:r w:rsidRPr="00E5254F">
              <w:t>OFF</w:t>
            </w:r>
          </w:p>
        </w:tc>
        <w:tc>
          <w:tcPr>
            <w:tcW w:w="851" w:type="dxa"/>
            <w:vAlign w:val="center"/>
          </w:tcPr>
          <w:p w14:paraId="03DDAFD6" w14:textId="77777777" w:rsidR="001E35BB" w:rsidRPr="00E5254F" w:rsidRDefault="001E35BB" w:rsidP="00952542">
            <w:pPr>
              <w:spacing w:after="0"/>
            </w:pPr>
            <w:r w:rsidRPr="00E5254F">
              <w:t>ON</w:t>
            </w:r>
          </w:p>
        </w:tc>
        <w:tc>
          <w:tcPr>
            <w:tcW w:w="1709" w:type="dxa"/>
            <w:shd w:val="clear" w:color="auto" w:fill="B6DDE8" w:themeFill="accent5" w:themeFillTint="66"/>
          </w:tcPr>
          <w:p w14:paraId="6AAF55AB" w14:textId="77777777" w:rsidR="001E35BB" w:rsidRPr="0097095E" w:rsidRDefault="001E35BB" w:rsidP="00952542">
            <w:pPr>
              <w:spacing w:after="0"/>
            </w:pPr>
            <w:r w:rsidRPr="0097095E">
              <w:t>DRX</w:t>
            </w:r>
            <w:r w:rsidRPr="00952542">
              <w:t>SN</w:t>
            </w:r>
          </w:p>
        </w:tc>
        <w:tc>
          <w:tcPr>
            <w:tcW w:w="1710" w:type="dxa"/>
            <w:shd w:val="clear" w:color="auto" w:fill="B6DDE8" w:themeFill="accent5" w:themeFillTint="66"/>
          </w:tcPr>
          <w:p w14:paraId="63767269" w14:textId="77777777" w:rsidR="001E35BB" w:rsidRPr="0097095E" w:rsidRDefault="001E35BB" w:rsidP="00952542">
            <w:pPr>
              <w:spacing w:after="0"/>
            </w:pPr>
            <w:r w:rsidRPr="0097095E">
              <w:t>DRX</w:t>
            </w:r>
            <w:r w:rsidRPr="00952542">
              <w:t>SN</w:t>
            </w:r>
          </w:p>
        </w:tc>
      </w:tr>
      <w:tr w:rsidR="001E35BB" w:rsidRPr="00E5254F" w14:paraId="2AF6A077" w14:textId="77777777" w:rsidTr="002B74ED">
        <w:trPr>
          <w:jc w:val="center"/>
        </w:trPr>
        <w:tc>
          <w:tcPr>
            <w:tcW w:w="828" w:type="dxa"/>
            <w:vAlign w:val="center"/>
          </w:tcPr>
          <w:p w14:paraId="4E8B0DCD" w14:textId="77777777" w:rsidR="001E35BB" w:rsidRPr="00E5254F" w:rsidRDefault="001E35BB" w:rsidP="00952542">
            <w:pPr>
              <w:spacing w:after="0"/>
            </w:pPr>
            <w:r w:rsidRPr="00E5254F">
              <w:t>ON</w:t>
            </w:r>
          </w:p>
        </w:tc>
        <w:tc>
          <w:tcPr>
            <w:tcW w:w="851" w:type="dxa"/>
            <w:vAlign w:val="center"/>
          </w:tcPr>
          <w:p w14:paraId="479D41DF" w14:textId="77777777" w:rsidR="001E35BB" w:rsidRPr="00E5254F" w:rsidRDefault="001E35BB" w:rsidP="00952542">
            <w:pPr>
              <w:spacing w:after="0"/>
            </w:pPr>
            <w:r w:rsidRPr="00E5254F">
              <w:t>ON</w:t>
            </w:r>
          </w:p>
        </w:tc>
        <w:tc>
          <w:tcPr>
            <w:tcW w:w="3419" w:type="dxa"/>
            <w:gridSpan w:val="2"/>
            <w:shd w:val="clear" w:color="auto" w:fill="D6E3BC" w:themeFill="accent3" w:themeFillTint="66"/>
          </w:tcPr>
          <w:p w14:paraId="76F4DE07" w14:textId="77777777" w:rsidR="001E35BB" w:rsidRPr="0097095E" w:rsidRDefault="001E35BB" w:rsidP="00952542">
            <w:pPr>
              <w:spacing w:after="0"/>
            </w:pPr>
            <w:r w:rsidRPr="0097095E">
              <w:t>Max{ DRX</w:t>
            </w:r>
            <w:r w:rsidRPr="00952542">
              <w:t>MN</w:t>
            </w:r>
            <w:r w:rsidRPr="0097095E">
              <w:t>, DRX</w:t>
            </w:r>
            <w:r w:rsidRPr="00952542">
              <w:t>SN</w:t>
            </w:r>
            <w:r w:rsidRPr="0097095E">
              <w:t xml:space="preserve"> }</w:t>
            </w:r>
          </w:p>
        </w:tc>
      </w:tr>
    </w:tbl>
    <w:p w14:paraId="24FEA305" w14:textId="1C3BB0F0" w:rsidR="008D4FB6" w:rsidRPr="000A6B2F" w:rsidRDefault="008D4FB6" w:rsidP="00932A8D">
      <w:pPr>
        <w:rPr>
          <w:lang w:eastAsia="en-US"/>
        </w:rPr>
      </w:pPr>
      <w:r w:rsidRPr="008D4FB6">
        <w:rPr>
          <w:rFonts w:ascii="Arial" w:hAnsi="Arial" w:cs="Arial"/>
          <w:b/>
          <w:i/>
          <w:sz w:val="24"/>
          <w:szCs w:val="24"/>
        </w:rPr>
        <w:fldChar w:fldCharType="end"/>
      </w:r>
    </w:p>
    <w:p w14:paraId="171151A8" w14:textId="022A835B" w:rsidR="00A106BA" w:rsidRPr="009F29FB" w:rsidRDefault="002446D6" w:rsidP="00866604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191EFC8E" w14:textId="74D101EC" w:rsidR="00343155" w:rsidRDefault="00343155" w:rsidP="00EB730D">
      <w:pPr>
        <w:ind w:right="72"/>
        <w:rPr>
          <w:rFonts w:ascii="Arial" w:hAnsi="Arial" w:cs="Arial"/>
        </w:rPr>
      </w:pPr>
      <w:r w:rsidRPr="009F29FB">
        <w:rPr>
          <w:rFonts w:ascii="Arial" w:hAnsi="Arial" w:cs="Arial"/>
        </w:rPr>
        <w:t>[</w:t>
      </w:r>
      <w:r w:rsidR="00955110">
        <w:rPr>
          <w:rFonts w:ascii="Arial" w:hAnsi="Arial" w:cs="Arial"/>
        </w:rPr>
        <w:t>1</w:t>
      </w:r>
      <w:r w:rsidRPr="009F29FB">
        <w:rPr>
          <w:rFonts w:ascii="Arial" w:hAnsi="Arial" w:cs="Arial"/>
        </w:rPr>
        <w:t xml:space="preserve">] </w:t>
      </w:r>
      <w:r w:rsidR="007D4B22" w:rsidRPr="007D4B22">
        <w:rPr>
          <w:rFonts w:ascii="Arial" w:hAnsi="Arial" w:cs="Arial"/>
        </w:rPr>
        <w:t>R4-1809353</w:t>
      </w:r>
      <w:r w:rsidRPr="009F29F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D4B22" w:rsidRPr="007D4B22">
        <w:rPr>
          <w:rFonts w:ascii="Arial" w:hAnsi="Arial" w:cs="Arial"/>
        </w:rPr>
        <w:t>Discussion summary for UE measurement gap AI 5.2.3</w:t>
      </w:r>
      <w:r w:rsidRPr="009F29FB">
        <w:rPr>
          <w:rFonts w:ascii="Arial" w:hAnsi="Arial" w:cs="Arial"/>
        </w:rPr>
        <w:t xml:space="preserve">, </w:t>
      </w:r>
      <w:r w:rsidR="007D4B22">
        <w:rPr>
          <w:rFonts w:ascii="Arial" w:hAnsi="Arial" w:cs="Arial"/>
        </w:rPr>
        <w:t>Intel</w:t>
      </w:r>
      <w:r w:rsidRPr="009F29FB">
        <w:rPr>
          <w:rFonts w:ascii="Arial" w:hAnsi="Arial" w:cs="Arial"/>
        </w:rPr>
        <w:t xml:space="preserve">, </w:t>
      </w:r>
      <w:r w:rsidR="007D4B22">
        <w:rPr>
          <w:rFonts w:ascii="Arial" w:hAnsi="Arial" w:cs="Arial"/>
        </w:rPr>
        <w:t>Jul</w:t>
      </w:r>
      <w:r>
        <w:rPr>
          <w:rFonts w:ascii="Arial" w:hAnsi="Arial" w:cs="Arial"/>
        </w:rPr>
        <w:t>.</w:t>
      </w:r>
      <w:r w:rsidRPr="009F29FB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8</w:t>
      </w:r>
      <w:r w:rsidRPr="009F29FB">
        <w:rPr>
          <w:rFonts w:ascii="Arial" w:hAnsi="Arial" w:cs="Arial"/>
        </w:rPr>
        <w:t>.</w:t>
      </w:r>
    </w:p>
    <w:p w14:paraId="17ACA528" w14:textId="6A1A714B" w:rsidR="00955110" w:rsidRDefault="00955110" w:rsidP="00EB730D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7D4B22" w:rsidRPr="007D4B22">
        <w:rPr>
          <w:rFonts w:ascii="Arial" w:hAnsi="Arial" w:cs="Arial"/>
        </w:rPr>
        <w:t>R4-1808926</w:t>
      </w:r>
      <w:r>
        <w:rPr>
          <w:rFonts w:ascii="Arial" w:hAnsi="Arial" w:cs="Arial"/>
        </w:rPr>
        <w:t xml:space="preserve">, </w:t>
      </w:r>
      <w:r w:rsidR="007D4B22" w:rsidRPr="007D4B22">
        <w:rPr>
          <w:rFonts w:ascii="Arial" w:hAnsi="Arial" w:cs="Arial"/>
        </w:rPr>
        <w:t>Discussion on requirements of inter-frequency measurement</w:t>
      </w:r>
      <w:r>
        <w:rPr>
          <w:rFonts w:ascii="Arial" w:hAnsi="Arial" w:cs="Arial"/>
        </w:rPr>
        <w:t>,</w:t>
      </w:r>
      <w:r w:rsidRPr="00505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Mediatek, </w:t>
      </w:r>
      <w:r w:rsidR="007D4B22">
        <w:rPr>
          <w:rFonts w:ascii="Arial" w:hAnsi="Arial" w:cs="Arial"/>
        </w:rPr>
        <w:t>Jul</w:t>
      </w:r>
      <w:r>
        <w:rPr>
          <w:rFonts w:ascii="Arial" w:hAnsi="Arial" w:cs="Arial"/>
        </w:rPr>
        <w:t>. 2018.</w:t>
      </w:r>
    </w:p>
    <w:p w14:paraId="749A6D9C" w14:textId="66BA77EC" w:rsidR="00955110" w:rsidRDefault="00955110" w:rsidP="00EB730D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="007D4B22" w:rsidRPr="007D4B22">
        <w:rPr>
          <w:rFonts w:ascii="Arial" w:hAnsi="Arial" w:cs="Arial"/>
        </w:rPr>
        <w:t>R4-1803787, Further aspects of measurement gap design for NR. Multiple layers, Ericsson, Apr. 2018.</w:t>
      </w:r>
    </w:p>
    <w:p w14:paraId="7AA909BC" w14:textId="0F8A1BCB" w:rsidR="00242B9F" w:rsidRPr="009F29FB" w:rsidRDefault="000A6B17" w:rsidP="00242B9F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7D4B22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] </w:t>
      </w:r>
      <w:r w:rsidRPr="00FD63E4">
        <w:rPr>
          <w:rFonts w:ascii="Arial" w:hAnsi="Arial" w:cs="Arial"/>
        </w:rPr>
        <w:t>R2-1801530</w:t>
      </w:r>
      <w:r>
        <w:rPr>
          <w:rFonts w:ascii="Arial" w:hAnsi="Arial" w:cs="Arial"/>
        </w:rPr>
        <w:t>, “</w:t>
      </w:r>
      <w:r w:rsidRPr="00FD63E4">
        <w:rPr>
          <w:rFonts w:ascii="Arial" w:hAnsi="Arial" w:cs="Arial"/>
        </w:rPr>
        <w:t>UE Power Consumption with DRX Coordination in EN-DC</w:t>
      </w:r>
      <w:r>
        <w:rPr>
          <w:rFonts w:ascii="Arial" w:hAnsi="Arial" w:cs="Arial"/>
        </w:rPr>
        <w:t>”, Mediatek</w:t>
      </w:r>
      <w:r w:rsidRPr="009F29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Jan</w:t>
      </w:r>
      <w:r w:rsidRPr="009F29FB">
        <w:rPr>
          <w:rFonts w:ascii="Arial" w:hAnsi="Arial" w:cs="Arial"/>
        </w:rPr>
        <w:t>. 201</w:t>
      </w:r>
      <w:r>
        <w:rPr>
          <w:rFonts w:ascii="Arial" w:hAnsi="Arial" w:cs="Arial"/>
        </w:rPr>
        <w:t>8</w:t>
      </w:r>
      <w:r w:rsidRPr="009F29FB">
        <w:rPr>
          <w:rFonts w:ascii="Arial" w:hAnsi="Arial" w:cs="Arial"/>
        </w:rPr>
        <w:t>.</w:t>
      </w:r>
    </w:p>
    <w:p w14:paraId="4B17843E" w14:textId="2A35496E" w:rsidR="005666EA" w:rsidRPr="00793469" w:rsidRDefault="005666EA" w:rsidP="005666EA">
      <w:pPr>
        <w:pStyle w:val="Heading1"/>
        <w:jc w:val="both"/>
        <w:rPr>
          <w:rFonts w:cs="Arial"/>
          <w:b/>
          <w:color w:val="000000" w:themeColor="text1"/>
        </w:rPr>
      </w:pPr>
      <w:r>
        <w:rPr>
          <w:rFonts w:eastAsia="新細明體" w:cs="Arial"/>
          <w:b/>
          <w:color w:val="000000" w:themeColor="text1"/>
          <w:lang w:eastAsia="zh-TW"/>
        </w:rPr>
        <w:t>6</w:t>
      </w:r>
      <w:r w:rsidRPr="00793469">
        <w:rPr>
          <w:rFonts w:cs="Arial"/>
          <w:b/>
          <w:color w:val="000000" w:themeColor="text1"/>
        </w:rPr>
        <w:tab/>
      </w:r>
      <w:r>
        <w:rPr>
          <w:rFonts w:eastAsia="新細明體" w:cs="Arial"/>
          <w:b/>
          <w:color w:val="000000" w:themeColor="text1"/>
          <w:lang w:eastAsia="zh-TW"/>
        </w:rPr>
        <w:t>Appendix A</w:t>
      </w:r>
      <w:r w:rsidRPr="00793469">
        <w:rPr>
          <w:rFonts w:cs="Arial"/>
          <w:b/>
          <w:color w:val="000000" w:themeColor="text1"/>
        </w:rPr>
        <w:t xml:space="preserve"> </w:t>
      </w:r>
    </w:p>
    <w:p w14:paraId="60391D3B" w14:textId="77777777" w:rsidR="005666EA" w:rsidRPr="0060733A" w:rsidRDefault="005666EA" w:rsidP="005666EA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>For UE which support and are configured with per FR gaps, N</w:t>
      </w:r>
      <w:r w:rsidRPr="0060733A">
        <w:rPr>
          <w:sz w:val="20"/>
          <w:szCs w:val="20"/>
          <w:vertAlign w:val="subscript"/>
        </w:rPr>
        <w:t>scaling,i</w:t>
      </w:r>
      <w:r w:rsidRPr="0060733A" w:rsidDel="000B2AD4">
        <w:rPr>
          <w:sz w:val="20"/>
          <w:szCs w:val="20"/>
        </w:rPr>
        <w:t xml:space="preserve"> </w:t>
      </w:r>
      <w:r w:rsidRPr="0060733A">
        <w:rPr>
          <w:sz w:val="20"/>
          <w:szCs w:val="20"/>
        </w:rPr>
        <w:t>is defined on a per frequency range basis, considering the gap pattern and carriers configured in the relevant frequency range. For UE which are configured with per UE gaps, N</w:t>
      </w:r>
      <w:r w:rsidRPr="0060733A">
        <w:rPr>
          <w:sz w:val="20"/>
          <w:szCs w:val="20"/>
          <w:vertAlign w:val="subscript"/>
        </w:rPr>
        <w:t>scaling,i</w:t>
      </w:r>
      <w:r w:rsidRPr="0060733A" w:rsidDel="000B2AD4">
        <w:rPr>
          <w:sz w:val="20"/>
          <w:szCs w:val="20"/>
        </w:rPr>
        <w:t xml:space="preserve"> </w:t>
      </w:r>
      <w:r w:rsidRPr="0060733A">
        <w:rPr>
          <w:sz w:val="20"/>
          <w:szCs w:val="20"/>
        </w:rPr>
        <w:t>is defined considering the per UE gap pattern and all confifured carriers.</w:t>
      </w:r>
    </w:p>
    <w:p w14:paraId="0A23510E" w14:textId="77777777" w:rsidR="005666EA" w:rsidRPr="0060733A" w:rsidRDefault="005666EA" w:rsidP="005666EA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>Considering that there are N</w:t>
      </w:r>
      <w:r w:rsidRPr="0060733A">
        <w:rPr>
          <w:sz w:val="20"/>
          <w:szCs w:val="20"/>
          <w:vertAlign w:val="subscript"/>
        </w:rPr>
        <w:t xml:space="preserve">freq,NSA </w:t>
      </w:r>
      <w:r w:rsidRPr="0060733A">
        <w:rPr>
          <w:sz w:val="20"/>
          <w:szCs w:val="20"/>
        </w:rPr>
        <w:t xml:space="preserve">carriers to be measured, denote each carrier with index </w:t>
      </w:r>
      <w:r w:rsidRPr="0060733A">
        <w:rPr>
          <w:i/>
          <w:sz w:val="20"/>
          <w:szCs w:val="20"/>
        </w:rPr>
        <w:t>i</w:t>
      </w:r>
      <w:r w:rsidRPr="0060733A">
        <w:rPr>
          <w:sz w:val="20"/>
          <w:szCs w:val="20"/>
        </w:rPr>
        <w:t xml:space="preserve"> where </w:t>
      </w:r>
      <w:r w:rsidRPr="0060733A">
        <w:rPr>
          <w:i/>
          <w:sz w:val="20"/>
          <w:szCs w:val="20"/>
        </w:rPr>
        <w:t>i</w:t>
      </w:r>
      <w:r w:rsidRPr="0060733A">
        <w:rPr>
          <w:sz w:val="20"/>
          <w:szCs w:val="20"/>
        </w:rPr>
        <w:t>={0…N</w:t>
      </w:r>
      <w:r w:rsidRPr="0060733A">
        <w:rPr>
          <w:sz w:val="20"/>
          <w:szCs w:val="20"/>
          <w:vertAlign w:val="subscript"/>
        </w:rPr>
        <w:t>freq,NSA</w:t>
      </w:r>
      <w:r w:rsidRPr="0060733A">
        <w:rPr>
          <w:sz w:val="20"/>
          <w:szCs w:val="20"/>
        </w:rPr>
        <w:t>-1}</w:t>
      </w:r>
    </w:p>
    <w:p w14:paraId="07E939CA" w14:textId="77777777" w:rsidR="005666EA" w:rsidRPr="0060733A" w:rsidRDefault="005666EA" w:rsidP="005666EA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lastRenderedPageBreak/>
        <w:t>Determine the gap utilization reputation period G</w:t>
      </w:r>
    </w:p>
    <w:p w14:paraId="195ABA99" w14:textId="77777777" w:rsidR="005666EA" w:rsidRPr="0060733A" w:rsidRDefault="005666EA" w:rsidP="005666EA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ab/>
        <w:t>G=max(MGRP, SMTC period0, … SMTC period</w:t>
      </w:r>
      <w:r w:rsidRPr="0060733A">
        <w:rPr>
          <w:sz w:val="20"/>
          <w:szCs w:val="20"/>
          <w:vertAlign w:val="subscript"/>
        </w:rPr>
        <w:t xml:space="preserve">i , </w:t>
      </w:r>
      <w:r w:rsidRPr="0060733A">
        <w:rPr>
          <w:sz w:val="20"/>
          <w:szCs w:val="20"/>
        </w:rPr>
        <w:t xml:space="preserve">PRS period1,…)) </w:t>
      </w:r>
    </w:p>
    <w:p w14:paraId="48B54C9C" w14:textId="77777777" w:rsidR="005666EA" w:rsidRPr="0060733A" w:rsidRDefault="005666EA" w:rsidP="005666EA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 xml:space="preserve">Denote each gap in the period G with index </w:t>
      </w:r>
      <w:r w:rsidRPr="0060733A">
        <w:rPr>
          <w:i/>
          <w:sz w:val="20"/>
          <w:szCs w:val="20"/>
        </w:rPr>
        <w:t>j</w:t>
      </w:r>
      <w:r w:rsidRPr="0060733A">
        <w:rPr>
          <w:sz w:val="20"/>
          <w:szCs w:val="20"/>
        </w:rPr>
        <w:t xml:space="preserve"> where </w:t>
      </w:r>
      <w:r w:rsidRPr="0060733A">
        <w:rPr>
          <w:i/>
          <w:sz w:val="20"/>
          <w:szCs w:val="20"/>
        </w:rPr>
        <w:t>j</w:t>
      </w:r>
      <w:r w:rsidRPr="0060733A">
        <w:rPr>
          <w:sz w:val="20"/>
          <w:szCs w:val="20"/>
        </w:rPr>
        <w:t>={0…(G/MGRP)-1}</w:t>
      </w:r>
    </w:p>
    <w:p w14:paraId="6E48CC05" w14:textId="77777777" w:rsidR="005666EA" w:rsidRPr="0060733A" w:rsidRDefault="005666EA" w:rsidP="005666EA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 xml:space="preserve">For each carrier </w:t>
      </w:r>
      <w:r w:rsidRPr="0060733A">
        <w:rPr>
          <w:i/>
          <w:sz w:val="20"/>
          <w:szCs w:val="20"/>
        </w:rPr>
        <w:t>i</w:t>
      </w:r>
      <w:r w:rsidRPr="0060733A">
        <w:rPr>
          <w:sz w:val="20"/>
          <w:szCs w:val="20"/>
        </w:rPr>
        <w:t xml:space="preserve">, and each gap </w:t>
      </w:r>
      <w:r w:rsidRPr="0060733A">
        <w:rPr>
          <w:i/>
          <w:sz w:val="20"/>
          <w:szCs w:val="20"/>
        </w:rPr>
        <w:t>j</w:t>
      </w:r>
      <w:r w:rsidRPr="0060733A">
        <w:rPr>
          <w:sz w:val="20"/>
          <w:szCs w:val="20"/>
        </w:rPr>
        <w:t xml:space="preserve">, determine if the carrier </w:t>
      </w:r>
      <w:r w:rsidRPr="0060733A">
        <w:rPr>
          <w:i/>
          <w:sz w:val="20"/>
          <w:szCs w:val="20"/>
        </w:rPr>
        <w:t>i</w:t>
      </w:r>
      <w:r w:rsidRPr="0060733A">
        <w:rPr>
          <w:sz w:val="20"/>
          <w:szCs w:val="20"/>
        </w:rPr>
        <w:t xml:space="preserve"> is a candidate to be measured in the measurement gap </w:t>
      </w:r>
      <w:r w:rsidRPr="0060733A">
        <w:rPr>
          <w:i/>
          <w:sz w:val="20"/>
          <w:szCs w:val="20"/>
        </w:rPr>
        <w:t>j</w:t>
      </w:r>
      <w:r w:rsidRPr="0060733A">
        <w:rPr>
          <w:sz w:val="20"/>
          <w:szCs w:val="20"/>
        </w:rPr>
        <w:t xml:space="preserve">, considering its SMTC configuration. </w:t>
      </w:r>
    </w:p>
    <w:p w14:paraId="79C7C35D" w14:textId="77777777" w:rsidR="005666EA" w:rsidRPr="0060733A" w:rsidRDefault="005666EA" w:rsidP="005666EA">
      <w:pPr>
        <w:pStyle w:val="3GPPNormalText"/>
        <w:ind w:firstLine="0"/>
        <w:rPr>
          <w:sz w:val="20"/>
          <w:szCs w:val="20"/>
        </w:rPr>
      </w:pPr>
      <w:r w:rsidRPr="0060733A">
        <w:rPr>
          <w:sz w:val="20"/>
          <w:szCs w:val="20"/>
        </w:rPr>
        <w:t>An NR carrier is a candidate to be measured if its SMTC occasion at least partially coincides in time with the considered measurement gap excluding RF switching time.</w:t>
      </w:r>
    </w:p>
    <w:p w14:paraId="7F9EC82F" w14:textId="77777777" w:rsidR="005666EA" w:rsidRPr="004D7815" w:rsidRDefault="005666EA" w:rsidP="005666EA">
      <w:pPr>
        <w:rPr>
          <w:rFonts w:ascii="Arial" w:hAnsi="Arial" w:cs="Arial"/>
        </w:rPr>
      </w:pPr>
      <w:r w:rsidRPr="004D7815">
        <w:rPr>
          <w:rFonts w:ascii="Arial" w:hAnsi="Arial" w:cs="Arial"/>
        </w:rPr>
        <w:t>The result of this determination is</w:t>
      </w:r>
    </w:p>
    <w:p w14:paraId="0972A797" w14:textId="77777777" w:rsidR="005666EA" w:rsidRPr="004D7815" w:rsidRDefault="005666EA" w:rsidP="005666EA">
      <w:pPr>
        <w:rPr>
          <w:rFonts w:ascii="Arial" w:hAnsi="Arial" w:cs="Arial"/>
        </w:rPr>
      </w:pPr>
      <w:r w:rsidRPr="004D7815">
        <w:rPr>
          <w:rFonts w:ascii="Arial" w:hAnsi="Arial" w:cs="Arial"/>
        </w:rPr>
        <w:tab/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 w:rsidRPr="004D7815">
        <w:rPr>
          <w:rFonts w:ascii="Arial" w:hAnsi="Arial" w:cs="Arial"/>
        </w:rPr>
        <w:t xml:space="preserve"> if carrier i is a candidate to be measured in gap j</w:t>
      </w:r>
    </w:p>
    <w:p w14:paraId="0E9410B8" w14:textId="77777777" w:rsidR="005666EA" w:rsidRPr="004D7815" w:rsidRDefault="005666EA" w:rsidP="005666EA">
      <w:pPr>
        <w:rPr>
          <w:rFonts w:ascii="Arial" w:hAnsi="Arial" w:cs="Arial"/>
        </w:rPr>
      </w:pPr>
      <w:r w:rsidRPr="004D7815">
        <w:rPr>
          <w:rFonts w:ascii="Arial" w:hAnsi="Arial" w:cs="Arial"/>
        </w:rPr>
        <w:tab/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=0</m:t>
        </m:r>
      </m:oMath>
      <w:r w:rsidRPr="004D7815">
        <w:rPr>
          <w:rFonts w:ascii="Arial" w:hAnsi="Arial" w:cs="Arial"/>
        </w:rPr>
        <w:t xml:space="preserve"> otherwise</w:t>
      </w:r>
      <w:r w:rsidRPr="004D7815">
        <w:rPr>
          <w:rFonts w:ascii="Arial" w:hAnsi="Arial" w:cs="Arial"/>
        </w:rPr>
        <w:tab/>
      </w:r>
    </w:p>
    <w:p w14:paraId="6152138C" w14:textId="77777777" w:rsidR="005666EA" w:rsidRPr="004D7815" w:rsidRDefault="005666EA" w:rsidP="005666EA">
      <w:pPr>
        <w:rPr>
          <w:rFonts w:ascii="Arial" w:hAnsi="Arial" w:cs="Arial"/>
        </w:rPr>
      </w:pPr>
      <w:r w:rsidRPr="004D7815">
        <w:rPr>
          <w:rFonts w:ascii="Arial" w:hAnsi="Arial" w:cs="Arial"/>
        </w:rPr>
        <w:t>For each measurement gap, count the number of competing measurement objects according to</w:t>
      </w:r>
    </w:p>
    <w:p w14:paraId="24C4BE3F" w14:textId="77777777" w:rsidR="005666EA" w:rsidRPr="004D7815" w:rsidRDefault="005666EA" w:rsidP="005666EA">
      <w:pPr>
        <w:rPr>
          <w:rFonts w:ascii="Arial" w:hAnsi="Arial" w:cs="Arial"/>
        </w:rPr>
      </w:pPr>
      <w:r w:rsidRPr="004D7815">
        <w:rPr>
          <w:rFonts w:ascii="Arial" w:hAnsi="Arial" w:cs="Arial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j</m:t>
            </m:r>
          </m:sub>
        </m:sSub>
        <m: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w:rPr>
                <w:rFonts w:ascii="Cambria Math" w:hAnsi="Cambria Math"/>
                <w:vertAlign w:val="subscript"/>
              </w:rPr>
              <m:t>i=0</m:t>
            </m:r>
          </m:sub>
          <m:sup>
            <m:sSub>
              <m:sSubPr>
                <m:ctrlPr>
                  <w:rPr>
                    <w:rFonts w:ascii="Cambria Math" w:eastAsia="MS Mincho" w:hAnsi="Cambria Math" w:cs="Arial"/>
                    <w:i/>
                    <w:sz w:val="24"/>
                    <w:szCs w:val="24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</w:rPr>
                  <m:t>N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freq,NSA</m:t>
                </m:r>
              </m:sub>
            </m:sSub>
            <m:r>
              <w:rPr>
                <w:rFonts w:ascii="Cambria Math" w:hAnsi="Cambria Math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</m:oMath>
    </w:p>
    <w:p w14:paraId="2AC34F4E" w14:textId="77777777" w:rsidR="005666EA" w:rsidRPr="00D477DC" w:rsidRDefault="005666EA" w:rsidP="005666EA">
      <w:pPr>
        <w:rPr>
          <w:rFonts w:ascii="Arial" w:hAnsi="Arial" w:cs="Arial"/>
        </w:rPr>
      </w:pPr>
      <w:r w:rsidRPr="004D7815">
        <w:rPr>
          <w:rFonts w:ascii="Arial" w:hAnsi="Arial" w:cs="Arial"/>
        </w:rPr>
        <w:t>If gap sharing is configured with non</w:t>
      </w:r>
      <w:r>
        <w:rPr>
          <w:rFonts w:ascii="Arial" w:hAnsi="Arial" w:cs="Arial"/>
        </w:rPr>
        <w:t>-</w:t>
      </w:r>
      <w:r w:rsidRPr="004D7815">
        <w:rPr>
          <w:rFonts w:ascii="Arial" w:hAnsi="Arial" w:cs="Arial"/>
        </w:rPr>
        <w:t>equal sharing, for each measurement gap, count the number of competing intra-frequency measurement objects according to</w:t>
      </w:r>
    </w:p>
    <w:p w14:paraId="21C623B4" w14:textId="77777777" w:rsidR="005666EA" w:rsidRDefault="005666EA" w:rsidP="005666EA">
      <w:pPr>
        <w:rPr>
          <w:rFonts w:ascii="Arial" w:hAnsi="Arial" w:cs="Arial"/>
        </w:rPr>
      </w:pPr>
      <w:r w:rsidRPr="004D7815">
        <w:rPr>
          <w:rFonts w:ascii="Arial" w:hAnsi="Arial" w:cs="Arial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w:rPr>
                <w:rFonts w:ascii="Cambria Math" w:hAnsi="Cambria Math"/>
                <w:vertAlign w:val="subscript"/>
              </w:rPr>
              <m:t>i=0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</w:rPr>
                  <m:t>N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freq,NSA</m:t>
                </m:r>
              </m:sub>
            </m:sSub>
            <m:r>
              <w:rPr>
                <w:rFonts w:ascii="Cambria Math" w:hAnsi="Cambria Math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vertAlign w:val="subscript"/>
              </w:rPr>
              <m:t>i</m:t>
            </m:r>
          </m:sub>
        </m:sSub>
        <m:r>
          <w:rPr>
            <w:rFonts w:ascii="Cambria Math" w:hAnsi="Cambria Math"/>
            <w:vertAlign w:val="subscript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 xml:space="preserve">where 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vertAlign w:val="subscript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</w:rPr>
                    <m:t xml:space="preserve">=1, </m:t>
                  </m:r>
                  <m:r>
                    <m:rPr>
                      <m:nor/>
                    </m:rPr>
                    <w:rPr>
                      <w:rFonts w:ascii="Cambria Math" w:hAnsi="Cambria Math"/>
                      <w:vertAlign w:val="subscript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 xml:space="preserve">if carrier </m:t>
                  </m:r>
                  <m:r>
                    <m:rPr>
                      <m:nor/>
                    </m:rPr>
                    <w:rPr>
                      <w:rFonts w:eastAsia="Arial Unicode MS"/>
                      <w:i/>
                      <w:sz w:val="40"/>
                      <w:vertAlign w:val="subscript"/>
                    </w:rPr>
                    <m:t>i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 xml:space="preserve"> is intra</m:t>
                  </m:r>
                  <m:r>
                    <m:rPr>
                      <m:nor/>
                    </m:rPr>
                    <w:rPr>
                      <w:rFonts w:ascii="Cambria Math" w:eastAsia="Arial Unicode MS"/>
                      <w:sz w:val="40"/>
                      <w:vertAlign w:val="subscript"/>
                    </w:rPr>
                    <m:t>-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>frequency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vertAlign w:val="subscript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</w:rPr>
                    <m:t>=0,</m:t>
                  </m:r>
                  <m:r>
                    <m:rPr>
                      <m:nor/>
                    </m:rPr>
                    <w:rPr>
                      <w:rFonts w:ascii="Cambria Math" w:hAnsi="Cambria Math"/>
                      <w:vertAlign w:val="subscript"/>
                    </w:rPr>
                    <m:t xml:space="preserve">  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>otherwise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40"/>
                      <w:vertAlign w:val="subscript"/>
                    </w:rPr>
                    <m:t xml:space="preserve">        </m:t>
                  </m:r>
                  <m:r>
                    <w:rPr>
                      <w:rFonts w:ascii="Cambria Math" w:hAnsi="Cambria Math"/>
                      <w:vertAlign w:val="subscript"/>
                    </w:rPr>
                    <m:t xml:space="preserve">                        </m:t>
                  </m:r>
                </m:e>
              </m:mr>
            </m:m>
          </m:e>
        </m:d>
      </m:oMath>
    </w:p>
    <w:p w14:paraId="495464FD" w14:textId="0533371C" w:rsidR="005666EA" w:rsidRPr="00D477DC" w:rsidRDefault="005666EA" w:rsidP="005666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w:rPr>
                <w:rFonts w:ascii="Cambria Math" w:hAnsi="Cambria Math"/>
                <w:vertAlign w:val="subscript"/>
              </w:rPr>
              <m:t>i=0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</w:rPr>
                  <m:t>N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freq,NSA</m:t>
                </m:r>
              </m:sub>
            </m:sSub>
            <m:r>
              <w:rPr>
                <w:rFonts w:ascii="Cambria Math" w:hAnsi="Cambria Math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  <w:vertAlign w:val="subscript"/>
              </w:rPr>
              <m:t>i</m:t>
            </m:r>
          </m:sub>
        </m:sSub>
        <m:r>
          <w:rPr>
            <w:rFonts w:ascii="Cambria Math" w:hAnsi="Cambria Math"/>
            <w:vertAlign w:val="subscript"/>
          </w:rPr>
          <m:t xml:space="preserve"> ,</m:t>
        </m:r>
        <m:r>
          <m:rPr>
            <m:sty m:val="p"/>
          </m:rPr>
          <w:rPr>
            <w:rFonts w:ascii="Cambria Math" w:hAnsi="Cambria Math"/>
          </w:rPr>
          <m:t xml:space="preserve">where 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vertAlign w:val="subscript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</w:rPr>
                    <m:t xml:space="preserve">=1, </m:t>
                  </m:r>
                  <m:r>
                    <m:rPr>
                      <m:nor/>
                    </m:rPr>
                    <w:rPr>
                      <w:rFonts w:ascii="Cambria Math" w:hAnsi="Cambria Math"/>
                      <w:vertAlign w:val="subscript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 xml:space="preserve">if carrier </m:t>
                  </m:r>
                  <m:r>
                    <m:rPr>
                      <m:nor/>
                    </m:rPr>
                    <w:rPr>
                      <w:rFonts w:eastAsia="Arial Unicode MS"/>
                      <w:i/>
                      <w:sz w:val="40"/>
                      <w:vertAlign w:val="subscript"/>
                    </w:rPr>
                    <m:t>i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 xml:space="preserve"> is inter-frequency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vertAlign w:val="subscript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</w:rPr>
                    <m:t>=0,</m:t>
                  </m:r>
                  <m:r>
                    <m:rPr>
                      <m:nor/>
                    </m:rPr>
                    <w:rPr>
                      <w:rFonts w:ascii="Cambria Math" w:hAnsi="Cambria Math"/>
                      <w:vertAlign w:val="subscript"/>
                    </w:rPr>
                    <m:t xml:space="preserve">  </m:t>
                  </m:r>
                  <m:r>
                    <m:rPr>
                      <m:nor/>
                    </m:rPr>
                    <w:rPr>
                      <w:rFonts w:eastAsia="Arial Unicode MS"/>
                      <w:sz w:val="40"/>
                      <w:vertAlign w:val="subscript"/>
                    </w:rPr>
                    <m:t>otherwise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40"/>
                      <w:vertAlign w:val="subscript"/>
                    </w:rPr>
                    <m:t xml:space="preserve">        </m:t>
                  </m:r>
                  <m:r>
                    <w:rPr>
                      <w:rFonts w:ascii="Cambria Math" w:hAnsi="Cambria Math"/>
                      <w:vertAlign w:val="subscript"/>
                    </w:rPr>
                    <m:t xml:space="preserve">                        </m:t>
                  </m:r>
                </m:e>
              </m:mr>
            </m:m>
          </m:e>
        </m:d>
      </m:oMath>
    </w:p>
    <w:p w14:paraId="45B32B61" w14:textId="77777777" w:rsidR="005666EA" w:rsidRDefault="005666EA" w:rsidP="005666EA">
      <w:pPr>
        <w:rPr>
          <w:rFonts w:ascii="Arial" w:hAnsi="Arial" w:cs="Arial"/>
        </w:rPr>
      </w:pPr>
      <w:r w:rsidRPr="004D7815">
        <w:rPr>
          <w:rFonts w:ascii="Arial" w:hAnsi="Arial" w:cs="Arial"/>
        </w:rPr>
        <w:t>For each measurement gap j and each carrier i, compute the assumed measurement scaling factor according to the following</w:t>
      </w:r>
    </w:p>
    <w:p w14:paraId="0594108B" w14:textId="77777777" w:rsidR="005666EA" w:rsidRDefault="005666EA" w:rsidP="005666EA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 w:rsidRPr="00B028DB">
        <w:rPr>
          <w:rFonts w:ascii="Times New Roman" w:hAnsi="Times New Roman" w:cs="Times New Roman"/>
          <w:sz w:val="20"/>
          <w:szCs w:val="20"/>
        </w:rPr>
        <w:t xml:space="preserve"> and carrier </w:t>
      </w:r>
      <w:r w:rsidRPr="00B028DB">
        <w:rPr>
          <w:rFonts w:ascii="Times New Roman" w:hAnsi="Times New Roman" w:cs="Times New Roman"/>
          <w:i/>
          <w:sz w:val="20"/>
          <w:szCs w:val="20"/>
        </w:rPr>
        <w:t>i</w:t>
      </w:r>
      <w:r w:rsidRPr="00B028DB">
        <w:rPr>
          <w:rFonts w:ascii="Times New Roman" w:hAnsi="Times New Roman" w:cs="Times New Roman"/>
          <w:sz w:val="20"/>
          <w:szCs w:val="20"/>
        </w:rPr>
        <w:t xml:space="preserve"> involves a PRS measurement with periodicity</w:t>
      </w:r>
      <w:r>
        <w:rPr>
          <w:rFonts w:ascii="Times New Roman" w:hAnsi="Times New Roman" w:cs="Times New Roman"/>
          <w:sz w:val="20"/>
          <w:szCs w:val="20"/>
        </w:rPr>
        <w:t xml:space="preserve"> larger than </w:t>
      </w:r>
      <w:r w:rsidRPr="00B028DB">
        <w:rPr>
          <w:rFonts w:ascii="Times New Roman" w:hAnsi="Times New Roman" w:cs="Times New Roman"/>
          <w:sz w:val="20"/>
          <w:szCs w:val="20"/>
        </w:rPr>
        <w:t xml:space="preserve">largest configured </w:t>
      </w:r>
      <w:r w:rsidRPr="004F7118">
        <w:rPr>
          <w:rFonts w:ascii="Times New Roman" w:hAnsi="Times New Roman" w:cs="Times New Roman"/>
          <w:sz w:val="20"/>
          <w:szCs w:val="20"/>
        </w:rPr>
        <w:t xml:space="preserve">NR </w:t>
      </w:r>
      <w:r w:rsidRPr="00B028DB">
        <w:rPr>
          <w:rFonts w:ascii="Times New Roman" w:hAnsi="Times New Roman" w:cs="Times New Roman"/>
          <w:sz w:val="20"/>
          <w:szCs w:val="20"/>
        </w:rPr>
        <w:t>SMTC</w:t>
      </w:r>
      <w:r>
        <w:rPr>
          <w:rFonts w:ascii="Times New Roman" w:hAnsi="Times New Roman" w:cs="Times New Roman"/>
          <w:sz w:val="20"/>
          <w:szCs w:val="20"/>
        </w:rPr>
        <w:t xml:space="preserve"> periodicity</w:t>
      </w:r>
      <w:r w:rsidRPr="00B028DB">
        <w:rPr>
          <w:rFonts w:ascii="Times New Roman" w:hAnsi="Times New Roman" w:cs="Times New Roman"/>
          <w:sz w:val="20"/>
          <w:szCs w:val="20"/>
        </w:rPr>
        <w:t xml:space="preserve"> then </w:t>
      </w:r>
    </w:p>
    <w:p w14:paraId="1C4B51FB" w14:textId="77777777" w:rsidR="005666EA" w:rsidRDefault="005666EA" w:rsidP="005666EA">
      <w:pPr>
        <w:pStyle w:val="3GPPNormalText"/>
        <w:ind w:left="286"/>
        <w:rPr>
          <w:rFonts w:ascii="Times New Roman" w:hAnsi="Times New Roman" w:cs="Times New Roman"/>
          <w:sz w:val="20"/>
          <w:szCs w:val="20"/>
        </w:rPr>
      </w:pPr>
      <w:r w:rsidRPr="00CA0A1B">
        <w:rPr>
          <w:rFonts w:ascii="Times New Roman" w:hAnsi="Times New Roman" w:cs="Times New Roman"/>
          <w:sz w:val="20"/>
          <w:szCs w:val="20"/>
        </w:rPr>
        <w:tab/>
      </w:r>
      <w:r w:rsidRPr="00CA0A1B"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 w:rsidRPr="00B028DB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k,j</m:t>
            </m:r>
          </m:sub>
        </m:sSub>
        <m:r>
          <w:rPr>
            <w:rFonts w:ascii="Cambria Math" w:hAnsi="Cambria Math"/>
          </w:rPr>
          <m:t>=0</m:t>
        </m:r>
      </m:oMath>
      <w:r w:rsidRPr="00B028DB">
        <w:rPr>
          <w:rFonts w:ascii="Times New Roman" w:hAnsi="Times New Roman" w:cs="Times New Roman"/>
          <w:sz w:val="20"/>
          <w:szCs w:val="20"/>
        </w:rPr>
        <w:t xml:space="preserve"> for all </w:t>
      </w:r>
      <w:r w:rsidRPr="00B028DB">
        <w:rPr>
          <w:rFonts w:ascii="Times New Roman" w:hAnsi="Times New Roman" w:cs="Times New Roman"/>
          <w:i/>
          <w:sz w:val="20"/>
          <w:szCs w:val="20"/>
        </w:rPr>
        <w:t>k≠i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B028DB">
        <w:rPr>
          <w:rFonts w:ascii="Times New Roman" w:hAnsi="Times New Roman" w:cs="Times New Roman"/>
          <w:sz w:val="20"/>
          <w:szCs w:val="20"/>
        </w:rPr>
        <w:t xml:space="preserve"> and </w:t>
      </w:r>
    </w:p>
    <w:p w14:paraId="1094C77A" w14:textId="77777777" w:rsidR="005666EA" w:rsidRPr="00B028DB" w:rsidRDefault="005666EA" w:rsidP="005666EA">
      <w:pPr>
        <w:pStyle w:val="3GPPNormalText"/>
        <w:ind w:left="6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B028DB">
        <w:rPr>
          <w:rFonts w:ascii="Times New Roman" w:hAnsi="Times New Roman" w:cs="Times New Roman"/>
          <w:sz w:val="20"/>
          <w:szCs w:val="20"/>
        </w:rPr>
        <w:t>do not evaluate rules (2)</w:t>
      </w:r>
      <w:r>
        <w:rPr>
          <w:rFonts w:ascii="Times New Roman" w:hAnsi="Times New Roman" w:cs="Times New Roman"/>
          <w:sz w:val="20"/>
          <w:szCs w:val="20"/>
        </w:rPr>
        <w:t>, (3), (4)</w:t>
      </w:r>
      <w:r w:rsidRPr="00B028DB">
        <w:rPr>
          <w:rFonts w:ascii="Times New Roman" w:hAnsi="Times New Roman" w:cs="Times New Roman"/>
          <w:sz w:val="20"/>
          <w:szCs w:val="20"/>
        </w:rPr>
        <w:t xml:space="preserve"> and (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B028DB">
        <w:rPr>
          <w:rFonts w:ascii="Times New Roman" w:hAnsi="Times New Roman" w:cs="Times New Roman"/>
          <w:sz w:val="20"/>
          <w:szCs w:val="20"/>
        </w:rPr>
        <w:t xml:space="preserve">), for gap </w:t>
      </w:r>
      <w:r w:rsidRPr="00B028DB">
        <w:rPr>
          <w:rFonts w:ascii="Times New Roman" w:hAnsi="Times New Roman" w:cs="Times New Roman"/>
          <w:i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028D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B55D20" w14:textId="77777777" w:rsidR="005666EA" w:rsidRDefault="005666EA" w:rsidP="005666EA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 w:rsidRPr="009E5035">
        <w:rPr>
          <w:rFonts w:ascii="Times New Roman" w:hAnsi="Times New Roman" w:cs="Times New Roman"/>
          <w:sz w:val="20"/>
          <w:szCs w:val="20"/>
        </w:rPr>
        <w:t xml:space="preserve">, </w:t>
      </w:r>
      <w:r w:rsidRPr="00B028DB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B028DB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B028DB">
        <w:rPr>
          <w:rFonts w:ascii="Times New Roman" w:hAnsi="Times New Roman" w:cs="Times New Roman"/>
          <w:sz w:val="20"/>
          <w:szCs w:val="20"/>
        </w:rPr>
        <w:t>is not “Equal splitting”</w:t>
      </w:r>
      <w:r w:rsidRPr="00CA0A1B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vertAlign w:val="subscript"/>
          </w:rPr>
          <m:t xml:space="preserve">&gt;0 </m:t>
        </m:r>
      </m:oMath>
      <w:r w:rsidRPr="00CA0A1B">
        <w:rPr>
          <w:rFonts w:ascii="Times New Roman" w:hAnsi="Times New Roman" w:cs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vertAlign w:val="subscript"/>
          </w:rPr>
          <m:t>&gt;0</m:t>
        </m:r>
      </m:oMath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028DB">
        <w:rPr>
          <w:rFonts w:ascii="Times New Roman" w:hAnsi="Times New Roman" w:cs="Times New Roman"/>
          <w:sz w:val="20"/>
          <w:szCs w:val="20"/>
        </w:rPr>
        <w:t xml:space="preserve">and carrier </w:t>
      </w:r>
      <w:r w:rsidRPr="00B028DB">
        <w:rPr>
          <w:rFonts w:ascii="Times New Roman" w:hAnsi="Times New Roman" w:cs="Times New Roman"/>
          <w:i/>
          <w:sz w:val="20"/>
          <w:szCs w:val="20"/>
        </w:rPr>
        <w:t>i</w:t>
      </w:r>
      <w:r w:rsidRPr="00B028DB">
        <w:rPr>
          <w:rFonts w:ascii="Times New Roman" w:hAnsi="Times New Roman" w:cs="Times New Roman"/>
          <w:sz w:val="20"/>
          <w:szCs w:val="20"/>
        </w:rPr>
        <w:t xml:space="preserve"> is an intra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028DB">
        <w:rPr>
          <w:rFonts w:ascii="Times New Roman" w:hAnsi="Times New Roman" w:cs="Times New Roman"/>
          <w:sz w:val="20"/>
          <w:szCs w:val="20"/>
        </w:rPr>
        <w:t xml:space="preserve">frequency measurement object then  </w:t>
      </w:r>
      <w:r w:rsidRPr="00B028DB">
        <w:rPr>
          <w:rFonts w:ascii="Times New Roman" w:hAnsi="Times New Roman" w:cs="Times New Roman"/>
          <w:sz w:val="20"/>
          <w:szCs w:val="20"/>
        </w:rPr>
        <w:fldChar w:fldCharType="begin"/>
      </w:r>
      <w:r w:rsidRPr="00B028DB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intra,j</m:t>
                </m:r>
              </m:sub>
            </m:sSub>
          </m:den>
        </m:f>
      </m:oMath>
      <w:r w:rsidRPr="00B028D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B028DB">
        <w:rPr>
          <w:rFonts w:ascii="Times New Roman" w:hAnsi="Times New Roman" w:cs="Times New Roman"/>
          <w:sz w:val="20"/>
          <w:szCs w:val="20"/>
        </w:rPr>
        <w:fldChar w:fldCharType="end"/>
      </w:r>
      <w:r w:rsidRPr="00B028D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6C26B3D" w14:textId="3D092730" w:rsidR="005666EA" w:rsidRPr="00B028DB" w:rsidRDefault="005666EA" w:rsidP="005666EA">
      <w:pPr>
        <w:pStyle w:val="3GPPNormalText"/>
        <w:ind w:left="6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w:rPr>
                    <w:rFonts w:ascii="Cambria Math" w:hAnsi="Cambria Math"/>
                  </w:rPr>
                  <m:t>×θ</m:t>
                </m:r>
              </m:e>
              <m:sub>
                <m:r>
                  <w:rPr>
                    <w:rFonts w:ascii="Cambria Math" w:hAnsi="Cambria Math"/>
                  </w:rPr>
                  <m:t>intra</m:t>
                </m:r>
              </m:sub>
            </m:sSub>
          </m:den>
        </m:f>
      </m:oMath>
      <w:r w:rsidR="00F74741">
        <w:rPr>
          <w:rFonts w:ascii="Times New Roman" w:hAnsi="Times New Roman" w:cs="Times New Roman"/>
          <w:sz w:val="20"/>
          <w:szCs w:val="20"/>
        </w:rPr>
        <w:t xml:space="preserve">, </w:t>
      </w:r>
      <w:r w:rsidR="00F74741" w:rsidRPr="00F74741">
        <w:rPr>
          <w:rFonts w:ascii="Times New Roman" w:hAnsi="Times New Roman" w:cs="Times New Roman"/>
          <w:sz w:val="20"/>
          <w:szCs w:val="20"/>
        </w:rPr>
        <w:t>w</w:t>
      </w:r>
      <w:r w:rsidR="00F74741" w:rsidRPr="00952542">
        <w:rPr>
          <w:rFonts w:ascii="Times New Roman" w:hAnsi="Times New Roman" w:cs="Times New Roman"/>
          <w:sz w:val="20"/>
          <w:szCs w:val="20"/>
        </w:rPr>
        <w:t>here</w:t>
      </w:r>
      <w:r w:rsidR="00F74741" w:rsidRPr="00952542">
        <w:rPr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highlight w:val="yellow"/>
                <w:vertAlign w:val="subscript"/>
              </w:rPr>
            </m:ctrlPr>
          </m:sSubPr>
          <m:e>
            <m:r>
              <w:rPr>
                <w:rFonts w:ascii="Cambria Math" w:hAnsi="Cambria Math"/>
                <w:highlight w:val="yellow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highlight w:val="yellow"/>
                <w:vertAlign w:val="subscript"/>
              </w:rPr>
              <m:t>intra</m:t>
            </m:r>
          </m:sub>
        </m:sSub>
        <m:r>
          <w:rPr>
            <w:rFonts w:ascii="Cambria Math" w:hAnsi="Cambria Math"/>
            <w:highlight w:val="yellow"/>
            <w:vertAlign w:val="subscript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highlight w:val="yellow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highlight w:val="yellow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vertAlign w:val="subscript"/>
                  </w:rPr>
                  <m:t xml:space="preserve">max </m:t>
                </m:r>
              </m:e>
              <m:lim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0≤</m:t>
                </m:r>
                <m:r>
                  <w:rPr>
                    <w:rFonts w:ascii="Cambria Math" w:hAnsi="Cambria Math" w:hint="eastAsia"/>
                    <w:highlight w:val="yellow"/>
                    <w:vertAlign w:val="subscript"/>
                  </w:rPr>
                  <m:t>j</m:t>
                </m:r>
                <m:r>
                  <w:rPr>
                    <w:rFonts w:ascii="Cambria Math" w:hAnsi="Cambria Math" w:hint="eastAsia"/>
                    <w:highlight w:val="yellow"/>
                    <w:vertAlign w:val="subscript"/>
                  </w:rPr>
                  <m:t>'</m:t>
                </m:r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≤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yellow"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yellow"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highlight w:val="yellow"/>
                            <w:vertAlign w:val="subscript"/>
                          </w:rPr>
                          <m:t>G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highlight w:val="yellow"/>
                            <w:vertAlign w:val="subscript"/>
                          </w:rPr>
                          <m:t>MGRP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highlight w:val="yellow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 xml:space="preserve"> θ</m:t>
                </m:r>
              </m:e>
              <m:sub>
                <m:r>
                  <w:rPr>
                    <w:rFonts w:ascii="Cambria Math" w:hAnsi="Cambria Math" w:hint="eastAsia"/>
                    <w:highlight w:val="yellow"/>
                    <w:vertAlign w:val="subscript"/>
                  </w:rPr>
                  <m:t>intra,j</m:t>
                </m:r>
                <m:r>
                  <w:rPr>
                    <w:rFonts w:ascii="Cambria Math" w:hAnsi="Cambria Math" w:hint="eastAsia"/>
                    <w:highlight w:val="yellow"/>
                    <w:vertAlign w:val="subscript"/>
                  </w:rPr>
                  <m:t>'</m:t>
                </m:r>
              </m:sub>
            </m:sSub>
          </m:e>
        </m:func>
      </m:oMath>
      <w:r w:rsidR="00F74741">
        <w:rPr>
          <w:iCs/>
          <w:vertAlign w:val="subscript"/>
        </w:rPr>
        <w:t>.</w:t>
      </w:r>
      <w:r w:rsidRPr="00755738">
        <w:rPr>
          <w:rFonts w:ascii="Times New Roman" w:hAnsi="Times New Roman" w:cs="Times New Roman"/>
          <w:sz w:val="20"/>
          <w:szCs w:val="20"/>
        </w:rPr>
        <w:fldChar w:fldCharType="begin"/>
      </w:r>
      <w:r w:rsidRPr="00755738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intra,j</m:t>
                </m:r>
              </m:sub>
            </m:sSub>
          </m:den>
        </m:f>
      </m:oMath>
      <w:r w:rsidRPr="0075573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755738">
        <w:rPr>
          <w:rFonts w:ascii="Times New Roman" w:hAnsi="Times New Roman" w:cs="Times New Roman"/>
          <w:sz w:val="20"/>
          <w:szCs w:val="20"/>
        </w:rPr>
        <w:fldChar w:fldCharType="end"/>
      </w:r>
    </w:p>
    <w:p w14:paraId="4B990277" w14:textId="77777777" w:rsidR="005666EA" w:rsidRDefault="005666EA" w:rsidP="005666EA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028DB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B028DB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B028DB">
        <w:rPr>
          <w:rFonts w:ascii="Times New Roman" w:hAnsi="Times New Roman" w:cs="Times New Roman"/>
          <w:sz w:val="20"/>
          <w:szCs w:val="20"/>
        </w:rPr>
        <w:t>is not “Equal splitting”</w:t>
      </w:r>
      <w:r w:rsidRPr="009E5035">
        <w:rPr>
          <w:rFonts w:ascii="Times New Roman" w:hAnsi="Times New Roman" w:cs="Times New Roman"/>
          <w:sz w:val="20"/>
          <w:szCs w:val="20"/>
        </w:rPr>
        <w:t xml:space="preserve"> and</w:t>
      </w:r>
      <w:r w:rsidRPr="00CA0A1B"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vertAlign w:val="subscript"/>
          </w:rPr>
          <m:t xml:space="preserve">&gt;0 </m:t>
        </m:r>
      </m:oMath>
      <w:r w:rsidRPr="00CA0A1B">
        <w:rPr>
          <w:rFonts w:ascii="Times New Roman" w:hAnsi="Times New Roman" w:cs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vertAlign w:val="subscript"/>
          </w:rPr>
          <m:t>&gt;0</m:t>
        </m:r>
      </m:oMath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028DB">
        <w:rPr>
          <w:rFonts w:ascii="Times New Roman" w:hAnsi="Times New Roman" w:cs="Times New Roman"/>
          <w:sz w:val="20"/>
          <w:szCs w:val="20"/>
        </w:rPr>
        <w:t xml:space="preserve">and carrier </w:t>
      </w:r>
      <w:r w:rsidRPr="00B028DB">
        <w:rPr>
          <w:rFonts w:ascii="Times New Roman" w:hAnsi="Times New Roman" w:cs="Times New Roman"/>
          <w:i/>
          <w:sz w:val="20"/>
          <w:szCs w:val="20"/>
        </w:rPr>
        <w:t>i</w:t>
      </w:r>
      <w:r w:rsidRPr="00B028DB">
        <w:rPr>
          <w:rFonts w:ascii="Times New Roman" w:hAnsi="Times New Roman" w:cs="Times New Roman"/>
          <w:sz w:val="20"/>
          <w:szCs w:val="20"/>
        </w:rPr>
        <w:t xml:space="preserve"> is an inter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028DB">
        <w:rPr>
          <w:rFonts w:ascii="Times New Roman" w:hAnsi="Times New Roman" w:cs="Times New Roman"/>
          <w:sz w:val="20"/>
          <w:szCs w:val="20"/>
        </w:rPr>
        <w:t>frequency/inter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028DB">
        <w:rPr>
          <w:rFonts w:ascii="Times New Roman" w:hAnsi="Times New Roman" w:cs="Times New Roman"/>
          <w:sz w:val="20"/>
          <w:szCs w:val="20"/>
        </w:rPr>
        <w:t xml:space="preserve">RAT measurement object then  </w:t>
      </w:r>
    </w:p>
    <w:p w14:paraId="48005A02" w14:textId="38A7CE4E" w:rsidR="005666EA" w:rsidRPr="00B028DB" w:rsidRDefault="005666EA" w:rsidP="005666EA">
      <w:pPr>
        <w:pStyle w:val="3GPPNormalText"/>
        <w:ind w:left="6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inter</m:t>
                    </m:r>
                  </m:sub>
                </m:sSub>
                <m:r>
                  <w:rPr>
                    <w:rFonts w:ascii="Cambria Math" w:hAnsi="Cambria Math"/>
                  </w:rPr>
                  <m:t>×θ</m:t>
                </m:r>
              </m:e>
              <m:sub>
                <m:r>
                  <w:rPr>
                    <w:rFonts w:ascii="Cambria Math" w:hAnsi="Cambria Math"/>
                  </w:rPr>
                  <m:t>inter</m:t>
                </m:r>
              </m:sub>
            </m:sSub>
          </m:den>
        </m:f>
      </m:oMath>
      <w:r w:rsidR="00F74741">
        <w:rPr>
          <w:rFonts w:ascii="Times New Roman" w:hAnsi="Times New Roman" w:cs="Times New Roman"/>
          <w:sz w:val="20"/>
          <w:szCs w:val="20"/>
        </w:rPr>
        <w:t xml:space="preserve">, </w:t>
      </w:r>
      <w:r w:rsidR="00F74741" w:rsidRPr="00F74741">
        <w:rPr>
          <w:rFonts w:ascii="Times New Roman" w:hAnsi="Times New Roman" w:cs="Times New Roman"/>
          <w:sz w:val="20"/>
          <w:szCs w:val="20"/>
        </w:rPr>
        <w:t>where</w:t>
      </w:r>
      <w:r w:rsidR="00F74741" w:rsidRPr="00952542">
        <w:rPr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highlight w:val="yellow"/>
                <w:vertAlign w:val="subscript"/>
              </w:rPr>
            </m:ctrlPr>
          </m:sSubPr>
          <m:e>
            <m:r>
              <w:rPr>
                <w:rFonts w:ascii="Cambria Math" w:hAnsi="Cambria Math"/>
                <w:highlight w:val="yellow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highlight w:val="yellow"/>
                <w:vertAlign w:val="subscript"/>
              </w:rPr>
              <m:t>inter</m:t>
            </m:r>
          </m:sub>
        </m:sSub>
        <m:r>
          <w:rPr>
            <w:rFonts w:ascii="Cambria Math" w:hAnsi="Cambria Math"/>
            <w:highlight w:val="yellow"/>
            <w:vertAlign w:val="subscript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highlight w:val="yellow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highlight w:val="yellow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vertAlign w:val="subscript"/>
                  </w:rPr>
                  <m:t>max</m:t>
                </m:r>
              </m:e>
              <m:lim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0≤j</m:t>
                </m:r>
                <m:r>
                  <w:rPr>
                    <w:rFonts w:ascii="Cambria Math" w:hAnsi="Cambria Math" w:hint="eastAsia"/>
                    <w:highlight w:val="yellow"/>
                    <w:vertAlign w:val="subscript"/>
                  </w:rPr>
                  <m:t>'</m:t>
                </m:r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≤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yellow"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yellow"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highlight w:val="yellow"/>
                            <w:vertAlign w:val="subscript"/>
                          </w:rPr>
                          <m:t>G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highlight w:val="yellow"/>
                            <w:vertAlign w:val="subscript"/>
                          </w:rPr>
                          <m:t>MGRP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highlight w:val="yellow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 xml:space="preserve"> θ</m:t>
                </m:r>
              </m:e>
              <m:sub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inter,j</m:t>
                </m:r>
                <m:r>
                  <w:rPr>
                    <w:rFonts w:ascii="Cambria Math" w:hAnsi="Cambria Math" w:hint="eastAsia"/>
                    <w:highlight w:val="yellow"/>
                    <w:vertAlign w:val="subscript"/>
                  </w:rPr>
                  <m:t>'</m:t>
                </m:r>
              </m:sub>
            </m:sSub>
          </m:e>
        </m:func>
      </m:oMath>
      <w:r w:rsidR="00F74741" w:rsidRPr="00952542">
        <w:rPr>
          <w:iCs/>
          <w:highlight w:val="yellow"/>
          <w:vertAlign w:val="subscript"/>
        </w:rPr>
        <w:t>.</w:t>
      </w:r>
      <w:r w:rsidRPr="00952542">
        <w:rPr>
          <w:rFonts w:ascii="Times New Roman" w:hAnsi="Times New Roman" w:cs="Times New Roman"/>
          <w:sz w:val="20"/>
          <w:szCs w:val="20"/>
          <w:highlight w:val="yellow"/>
        </w:rPr>
        <w:fldChar w:fldCharType="begin"/>
      </w:r>
      <w:r w:rsidRPr="00952542">
        <w:rPr>
          <w:rFonts w:ascii="Times New Roman" w:hAnsi="Times New Roman" w:cs="Times New Roman"/>
          <w:sz w:val="20"/>
          <w:szCs w:val="20"/>
          <w:highlight w:val="yellow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</w:rPr>
          <m:t>=</m:t>
        </m:r>
        <m:f>
          <m:fPr>
            <m:ctrlPr>
              <w:rPr>
                <w:rFonts w:ascii="Cambria Math" w:hAnsi="Cambria Math"/>
                <w:i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highlight w:val="yellow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intra,j</m:t>
                </m:r>
              </m:sub>
            </m:sSub>
          </m:den>
        </m:f>
      </m:oMath>
      <w:r w:rsidRPr="00952542">
        <w:rPr>
          <w:rFonts w:ascii="Times New Roman" w:hAnsi="Times New Roman" w:cs="Times New Roman"/>
          <w:sz w:val="20"/>
          <w:szCs w:val="20"/>
          <w:highlight w:val="yellow"/>
        </w:rPr>
        <w:instrText xml:space="preserve"> </w:instrText>
      </w:r>
      <w:r w:rsidRPr="00952542">
        <w:rPr>
          <w:rFonts w:ascii="Times New Roman" w:hAnsi="Times New Roman" w:cs="Times New Roman"/>
          <w:sz w:val="20"/>
          <w:szCs w:val="20"/>
          <w:highlight w:val="yellow"/>
        </w:rPr>
        <w:fldChar w:fldCharType="end"/>
      </w:r>
    </w:p>
    <w:p w14:paraId="5089E334" w14:textId="77777777" w:rsidR="005666EA" w:rsidRDefault="005666EA" w:rsidP="005666EA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position w:val="-9"/>
        </w:rPr>
        <w:t xml:space="preserve"> </w:t>
      </w:r>
      <w:r w:rsidRPr="009E5035">
        <w:rPr>
          <w:rFonts w:ascii="Times New Roman" w:hAnsi="Times New Roman" w:cs="Times New Roman"/>
          <w:sz w:val="20"/>
          <w:szCs w:val="20"/>
        </w:rPr>
        <w:t xml:space="preserve">and </w:t>
      </w:r>
      <w:r w:rsidRPr="00B028DB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B028DB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B028DB">
        <w:rPr>
          <w:rFonts w:ascii="Times New Roman" w:hAnsi="Times New Roman" w:cs="Times New Roman"/>
          <w:sz w:val="20"/>
          <w:szCs w:val="20"/>
        </w:rPr>
        <w:t>is “Equal splitting”</w:t>
      </w:r>
      <w:r w:rsidRPr="00CA0A1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then</w:t>
      </w:r>
    </w:p>
    <w:p w14:paraId="54DE31FB" w14:textId="30509A41" w:rsidR="005666EA" w:rsidRPr="00B028DB" w:rsidRDefault="005666EA" w:rsidP="005666EA">
      <w:pPr>
        <w:pStyle w:val="3GPPNormalText"/>
        <w:ind w:left="6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θ</m:t>
            </m:r>
          </m:den>
        </m:f>
      </m:oMath>
      <w:r w:rsidR="00F74741">
        <w:rPr>
          <w:rFonts w:ascii="Times New Roman" w:hAnsi="Times New Roman" w:cs="Times New Roman"/>
          <w:sz w:val="20"/>
          <w:szCs w:val="20"/>
        </w:rPr>
        <w:t>, w</w:t>
      </w:r>
      <w:r w:rsidR="00F74741" w:rsidRPr="00570024">
        <w:rPr>
          <w:rFonts w:ascii="Times New Roman" w:hAnsi="Times New Roman" w:cs="Times New Roman"/>
          <w:sz w:val="20"/>
          <w:szCs w:val="20"/>
        </w:rPr>
        <w:t>here</w:t>
      </w:r>
      <w:r>
        <w:rPr>
          <w:vertAlign w:val="subscript"/>
        </w:rPr>
        <w:t> </w:t>
      </w:r>
      <m:oMath>
        <m:r>
          <m:rPr>
            <m:sty m:val="p"/>
          </m:rPr>
          <w:rPr>
            <w:rFonts w:ascii="Cambria Math" w:hAnsi="Cambria Math"/>
            <w:vertAlign w:val="subscript"/>
          </w:rPr>
          <m:t xml:space="preserve"> </m:t>
        </m:r>
        <m:r>
          <w:rPr>
            <w:rFonts w:ascii="Cambria Math" w:hAnsi="Cambria Math"/>
            <w:highlight w:val="yellow"/>
            <w:vertAlign w:val="subscript"/>
          </w:rPr>
          <m:t>θ=</m:t>
        </m:r>
        <m:func>
          <m:funcPr>
            <m:ctrlPr>
              <w:rPr>
                <w:rFonts w:ascii="Cambria Math" w:hAnsi="Cambria Math"/>
                <w:i/>
                <w:iCs/>
                <w:highlight w:val="yellow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highlight w:val="yellow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vertAlign w:val="subscript"/>
                  </w:rPr>
                  <m:t>max</m:t>
                </m:r>
              </m:e>
              <m:lim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0≤j'≤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yellow"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yellow"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highlight w:val="yellow"/>
                            <w:vertAlign w:val="subscript"/>
                          </w:rPr>
                          <m:t>G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highlight w:val="yellow"/>
                            <w:vertAlign w:val="subscript"/>
                          </w:rPr>
                          <m:t>MGRP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highlight w:val="yellow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 xml:space="preserve"> θ</m:t>
                </m:r>
              </m:e>
              <m:sub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j</m:t>
                </m:r>
                <m:r>
                  <w:rPr>
                    <w:rFonts w:ascii="Cambria Math" w:hAnsi="Cambria Math" w:hint="eastAsia"/>
                    <w:highlight w:val="yellow"/>
                    <w:vertAlign w:val="subscript"/>
                  </w:rPr>
                  <m:t>'</m:t>
                </m:r>
              </m:sub>
            </m:sSub>
          </m:e>
        </m:func>
      </m:oMath>
      <w:r w:rsidR="00F74741">
        <w:rPr>
          <w:vertAlign w:val="subscript"/>
        </w:rPr>
        <w:t>.</w:t>
      </w:r>
    </w:p>
    <w:p w14:paraId="6B306031" w14:textId="77777777" w:rsidR="005666EA" w:rsidRDefault="005666EA" w:rsidP="005666EA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If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position w:val="-9"/>
        </w:rPr>
        <w:t xml:space="preserve"> </w:t>
      </w:r>
      <w:r w:rsidRPr="00B028DB">
        <w:rPr>
          <w:rFonts w:ascii="Times New Roman" w:hAnsi="Times New Roman" w:cs="Times New Roman"/>
          <w:sz w:val="20"/>
          <w:szCs w:val="20"/>
        </w:rPr>
        <w:t xml:space="preserve">then  </w:t>
      </w:r>
    </w:p>
    <w:p w14:paraId="39E73B3A" w14:textId="77777777" w:rsidR="005666EA" w:rsidRPr="00B028DB" w:rsidRDefault="005666EA" w:rsidP="005666EA">
      <w:pPr>
        <w:pStyle w:val="3GPPNormalText"/>
        <w:ind w:left="2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rFonts w:ascii="Times New Roman" w:hAnsi="Times New Roman" w:cs="Times New Roman"/>
          <w:sz w:val="20"/>
          <w:szCs w:val="20"/>
        </w:rPr>
        <w:t>.</w:t>
      </w:r>
    </w:p>
    <w:p w14:paraId="76D7EA9F" w14:textId="77777777" w:rsidR="005666EA" w:rsidRPr="00B028DB" w:rsidRDefault="005666EA" w:rsidP="005666EA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>For each carrier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28DB">
        <w:rPr>
          <w:rFonts w:ascii="Times New Roman" w:hAnsi="Times New Roman" w:cs="Times New Roman"/>
          <w:i/>
          <w:sz w:val="20"/>
          <w:szCs w:val="20"/>
        </w:rPr>
        <w:t>i</w:t>
      </w:r>
      <w:r w:rsidRPr="00B028DB">
        <w:rPr>
          <w:rFonts w:ascii="Times New Roman" w:hAnsi="Times New Roman" w:cs="Times New Roman"/>
          <w:sz w:val="20"/>
          <w:szCs w:val="20"/>
        </w:rPr>
        <w:t>, compute the total number of measurement opportunities according to</w:t>
      </w:r>
    </w:p>
    <w:p w14:paraId="5450CBB3" w14:textId="77777777" w:rsidR="005666EA" w:rsidRPr="00B028DB" w:rsidRDefault="005666EA" w:rsidP="005666EA">
      <w:pPr>
        <w:pStyle w:val="3GPPNormalText"/>
        <w:ind w:firstLine="0"/>
        <w:rPr>
          <w:rFonts w:ascii="Times New Roman" w:hAnsi="Times New Roman" w:cs="Times New Roman"/>
          <w:sz w:val="20"/>
          <w:szCs w:val="20"/>
          <w:vertAlign w:val="subscript"/>
        </w:rPr>
      </w:pPr>
      <w:r w:rsidRPr="004D7815"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Δ</m:t>
            </m:r>
          </m:e>
          <m:sub>
            <m:r>
              <w:rPr>
                <w:rFonts w:ascii="Cambria Math" w:hAnsi="Cambria Math"/>
                <w:vertAlign w:val="subscript"/>
              </w:rPr>
              <m:t>i</m:t>
            </m:r>
          </m:sub>
        </m:sSub>
        <m: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w:rPr>
                <w:rFonts w:ascii="Cambria Math" w:hAnsi="Cambria Math"/>
                <w:vertAlign w:val="subscript"/>
              </w:rPr>
              <m:t>j=0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vertAlign w:val="subscript"/>
                      </w:rPr>
                      <m:t>MGRP</m:t>
                    </m:r>
                  </m:den>
                </m:f>
              </m:e>
            </m:d>
            <m:r>
              <w:rPr>
                <w:rFonts w:ascii="Cambria Math" w:hAnsi="Cambria Math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</m:oMath>
    </w:p>
    <w:p w14:paraId="3AA36845" w14:textId="77777777" w:rsidR="005666EA" w:rsidRPr="00B028DB" w:rsidRDefault="005666EA" w:rsidP="005666EA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B028DB">
        <w:rPr>
          <w:rFonts w:ascii="Times New Roman" w:hAnsi="Times New Roman" w:cs="Times New Roman"/>
          <w:sz w:val="20"/>
          <w:szCs w:val="20"/>
        </w:rPr>
        <w:t xml:space="preserve">The scaling factor for carrier </w:t>
      </w:r>
      <w:r w:rsidRPr="00B028DB">
        <w:rPr>
          <w:rFonts w:ascii="Times New Roman" w:hAnsi="Times New Roman" w:cs="Times New Roman"/>
          <w:i/>
          <w:sz w:val="20"/>
          <w:szCs w:val="20"/>
        </w:rPr>
        <w:t>i</w:t>
      </w:r>
      <w:r w:rsidRPr="00B028DB">
        <w:rPr>
          <w:rFonts w:ascii="Times New Roman" w:hAnsi="Times New Roman" w:cs="Times New Roman"/>
          <w:sz w:val="20"/>
          <w:szCs w:val="20"/>
        </w:rPr>
        <w:t xml:space="preserve"> is then determined according to</w:t>
      </w:r>
    </w:p>
    <w:p w14:paraId="29E3FB88" w14:textId="5FA59303" w:rsidR="005666EA" w:rsidRDefault="005666EA" w:rsidP="005666EA">
      <w:pPr>
        <w:pStyle w:val="3GPPNormalText"/>
        <w:ind w:firstLine="0"/>
      </w:pPr>
      <w:r w:rsidRPr="004D7815"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N</m:t>
            </m:r>
          </m:e>
          <m:sub>
            <m:r>
              <w:rPr>
                <w:rFonts w:ascii="Cambria Math" w:hAnsi="Cambria Math"/>
                <w:vertAlign w:val="subscript"/>
              </w:rPr>
              <m:t>scaling,i</m:t>
            </m:r>
          </m:sub>
        </m:sSub>
        <m:r>
          <w:rPr>
            <w:rFonts w:ascii="Cambria Math" w:hAnsi="Cambria Math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highlight w:val="yellow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highlight w:val="yellow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vertAlign w:val="subscript"/>
                  </w:rPr>
                  <m:t>Δ</m:t>
                </m:r>
              </m:e>
              <m:sub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highlight w:val="yellow"/>
                    <w:vertAlign w:val="subscript"/>
                  </w:rPr>
                </m:ctrlPr>
              </m:naryPr>
              <m:sub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j=0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highlight w:val="yellow"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yellow"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highlight w:val="yellow"/>
                            <w:vertAlign w:val="subscript"/>
                          </w:rPr>
                          <m:t>G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highlight w:val="yellow"/>
                            <w:vertAlign w:val="subscript"/>
                          </w:rPr>
                          <m:t>MGRP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highlight w:val="yellow"/>
                    <w:vertAlign w:val="subscript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highlight w:val="yellow"/>
                      </w:rPr>
                      <m:t>i,j</m:t>
                    </m:r>
                  </m:sub>
                </m:sSub>
              </m:e>
            </m:nary>
          </m:den>
        </m:f>
      </m:oMath>
      <w:r w:rsidRPr="00952542">
        <w:rPr>
          <w:rFonts w:ascii="Times New Roman" w:hAnsi="Times New Roman" w:cs="Times New Roman"/>
          <w:sz w:val="20"/>
          <w:szCs w:val="20"/>
          <w:highlight w:val="yellow"/>
          <w:vertAlign w:val="subscript"/>
        </w:rPr>
        <w:fldChar w:fldCharType="begin"/>
      </w:r>
      <w:r w:rsidRPr="00952542">
        <w:rPr>
          <w:rFonts w:ascii="Times New Roman" w:hAnsi="Times New Roman" w:cs="Times New Roman"/>
          <w:sz w:val="20"/>
          <w:szCs w:val="20"/>
          <w:highlight w:val="yellow"/>
          <w:vertAlign w:val="subscript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highlight w:val="yellow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highlight w:val="yellow"/>
                <w:vertAlign w:val="subscript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yellow"/>
                <w:vertAlign w:val="subscript"/>
              </w:rPr>
              <m:t>scaling,i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highlight w:val="yellow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highlight w:val="yellow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vertAlign w:val="subscript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vertAlign w:val="subscript"/>
                  </w:rPr>
                  <m:t>i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i/>
                    <w:highlight w:val="yellow"/>
                    <w:vertAlign w:val="subscript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highlight w:val="yellow"/>
                        <w:vertAlign w:val="subscript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vertAlign w:val="subscript"/>
                      </w:rPr>
                      <m:t>j=0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highlight w:val="yellow"/>
                            <w:vertAlign w:val="subscript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highlight w:val="yellow"/>
                                <w:vertAlign w:val="subscript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  <w:vertAlign w:val="subscript"/>
                              </w:rPr>
                              <m:t>G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  <w:vertAlign w:val="subscript"/>
                              </w:rPr>
                              <m:t>MGRP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i,j</m:t>
                        </m:r>
                      </m:sub>
                    </m:sSub>
                  </m:e>
                </m:nary>
              </m:e>
            </m:d>
          </m:den>
        </m:f>
      </m:oMath>
      <w:r w:rsidRPr="00952542">
        <w:rPr>
          <w:rFonts w:ascii="Times New Roman" w:hAnsi="Times New Roman" w:cs="Times New Roman"/>
          <w:sz w:val="20"/>
          <w:szCs w:val="20"/>
          <w:highlight w:val="yellow"/>
          <w:vertAlign w:val="subscript"/>
        </w:rPr>
        <w:instrText xml:space="preserve"> </w:instrText>
      </w:r>
      <w:r w:rsidRPr="00952542">
        <w:rPr>
          <w:rFonts w:ascii="Times New Roman" w:hAnsi="Times New Roman" w:cs="Times New Roman"/>
          <w:sz w:val="20"/>
          <w:szCs w:val="20"/>
          <w:highlight w:val="yellow"/>
          <w:vertAlign w:val="subscript"/>
        </w:rPr>
        <w:fldChar w:fldCharType="end"/>
      </w:r>
      <w:r w:rsidRPr="00952542">
        <w:rPr>
          <w:highlight w:val="yellow"/>
          <w:vertAlign w:val="subscript"/>
        </w:rPr>
        <w:fldChar w:fldCharType="begin"/>
      </w:r>
      <w:r w:rsidRPr="00952542">
        <w:rPr>
          <w:highlight w:val="yellow"/>
          <w:vertAlign w:val="subscript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highlight w:val="yellow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highlight w:val="yellow"/>
                <w:vertAlign w:val="subscript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yellow"/>
                <w:vertAlign w:val="subscript"/>
              </w:rPr>
              <m:t>scaling,i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highlight w:val="yellow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highlight w:val="yellow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vertAlign w:val="subscript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vertAlign w:val="subscript"/>
                  </w:rPr>
                  <m:t>i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highlight w:val="yellow"/>
                <w:vertAlign w:val="subscript"/>
              </w:rPr>
              <m:t>ceil</m:t>
            </m:r>
            <m:d>
              <m:dPr>
                <m:ctrlPr>
                  <w:rPr>
                    <w:rFonts w:ascii="Cambria Math" w:hAnsi="Cambria Math"/>
                    <w:i/>
                    <w:highlight w:val="yellow"/>
                    <w:vertAlign w:val="subscript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highlight w:val="yellow"/>
                        <w:vertAlign w:val="subscript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vertAlign w:val="subscript"/>
                      </w:rPr>
                      <m:t>j=0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highlight w:val="yellow"/>
                            <w:vertAlign w:val="subscript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highlight w:val="yellow"/>
                                <w:vertAlign w:val="subscript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  <w:vertAlign w:val="subscript"/>
                              </w:rPr>
                              <m:t>G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  <w:vertAlign w:val="subscript"/>
                              </w:rPr>
                              <m:t>MGRP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i,j</m:t>
                        </m:r>
                      </m:sub>
                    </m:sSub>
                  </m:e>
                </m:nary>
              </m:e>
            </m:d>
          </m:den>
        </m:f>
      </m:oMath>
      <w:r w:rsidRPr="00952542">
        <w:rPr>
          <w:highlight w:val="yellow"/>
          <w:vertAlign w:val="subscript"/>
        </w:rPr>
        <w:instrText xml:space="preserve"> </w:instrText>
      </w:r>
      <w:r w:rsidRPr="00952542">
        <w:rPr>
          <w:highlight w:val="yellow"/>
          <w:vertAlign w:val="subscript"/>
        </w:rPr>
        <w:fldChar w:fldCharType="end"/>
      </w:r>
      <w:r>
        <w:rPr>
          <w:vertAlign w:val="subscript"/>
        </w:rPr>
        <w:t xml:space="preserve">   </w:t>
      </w:r>
    </w:p>
    <w:p w14:paraId="3F58C201" w14:textId="77777777" w:rsidR="005666EA" w:rsidRPr="006F33BD" w:rsidRDefault="005666EA" w:rsidP="00FD747C"/>
    <w:p w14:paraId="41E768EC" w14:textId="77777777" w:rsidR="00242B9F" w:rsidRPr="009F29FB" w:rsidRDefault="00242B9F" w:rsidP="00EF4FB3">
      <w:pPr>
        <w:rPr>
          <w:rFonts w:ascii="Arial" w:hAnsi="Arial" w:cs="Arial"/>
          <w:color w:val="000000" w:themeColor="text1"/>
        </w:rPr>
      </w:pPr>
    </w:p>
    <w:sectPr w:rsidR="00242B9F" w:rsidRPr="009F29FB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BE5D6" w14:textId="77777777" w:rsidR="00052DA7" w:rsidRDefault="00052DA7">
      <w:r>
        <w:separator/>
      </w:r>
    </w:p>
  </w:endnote>
  <w:endnote w:type="continuationSeparator" w:id="0">
    <w:p w14:paraId="5B04283F" w14:textId="77777777" w:rsidR="00052DA7" w:rsidRDefault="00052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95865" w14:textId="77777777" w:rsidR="00052DA7" w:rsidRDefault="00052DA7">
      <w:r>
        <w:separator/>
      </w:r>
    </w:p>
  </w:footnote>
  <w:footnote w:type="continuationSeparator" w:id="0">
    <w:p w14:paraId="708CE67B" w14:textId="77777777" w:rsidR="00052DA7" w:rsidRDefault="00052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810A1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992AD9"/>
    <w:multiLevelType w:val="hybridMultilevel"/>
    <w:tmpl w:val="F8CC3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24781"/>
    <w:multiLevelType w:val="hybridMultilevel"/>
    <w:tmpl w:val="C6BE06A4"/>
    <w:lvl w:ilvl="0" w:tplc="395292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42C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04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EB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CA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B20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E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D8F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6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3C28B7"/>
    <w:multiLevelType w:val="hybridMultilevel"/>
    <w:tmpl w:val="3956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5D98"/>
    <w:multiLevelType w:val="hybridMultilevel"/>
    <w:tmpl w:val="B1F820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A23B0"/>
    <w:multiLevelType w:val="hybridMultilevel"/>
    <w:tmpl w:val="FFA63320"/>
    <w:lvl w:ilvl="0" w:tplc="24925B68">
      <w:start w:val="1"/>
      <w:numFmt w:val="decimal"/>
      <w:lvlText w:val="(%1)"/>
      <w:lvlJc w:val="left"/>
      <w:pPr>
        <w:ind w:left="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8" w:hanging="360"/>
      </w:pPr>
    </w:lvl>
    <w:lvl w:ilvl="2" w:tplc="0809001B" w:tentative="1">
      <w:start w:val="1"/>
      <w:numFmt w:val="lowerRoman"/>
      <w:lvlText w:val="%3."/>
      <w:lvlJc w:val="right"/>
      <w:pPr>
        <w:ind w:left="1778" w:hanging="180"/>
      </w:pPr>
    </w:lvl>
    <w:lvl w:ilvl="3" w:tplc="0809000F" w:tentative="1">
      <w:start w:val="1"/>
      <w:numFmt w:val="decimal"/>
      <w:lvlText w:val="%4."/>
      <w:lvlJc w:val="left"/>
      <w:pPr>
        <w:ind w:left="2498" w:hanging="360"/>
      </w:pPr>
    </w:lvl>
    <w:lvl w:ilvl="4" w:tplc="08090019" w:tentative="1">
      <w:start w:val="1"/>
      <w:numFmt w:val="lowerLetter"/>
      <w:lvlText w:val="%5."/>
      <w:lvlJc w:val="left"/>
      <w:pPr>
        <w:ind w:left="3218" w:hanging="360"/>
      </w:pPr>
    </w:lvl>
    <w:lvl w:ilvl="5" w:tplc="0809001B" w:tentative="1">
      <w:start w:val="1"/>
      <w:numFmt w:val="lowerRoman"/>
      <w:lvlText w:val="%6."/>
      <w:lvlJc w:val="right"/>
      <w:pPr>
        <w:ind w:left="3938" w:hanging="180"/>
      </w:pPr>
    </w:lvl>
    <w:lvl w:ilvl="6" w:tplc="0809000F" w:tentative="1">
      <w:start w:val="1"/>
      <w:numFmt w:val="decimal"/>
      <w:lvlText w:val="%7."/>
      <w:lvlJc w:val="left"/>
      <w:pPr>
        <w:ind w:left="4658" w:hanging="360"/>
      </w:pPr>
    </w:lvl>
    <w:lvl w:ilvl="7" w:tplc="08090019" w:tentative="1">
      <w:start w:val="1"/>
      <w:numFmt w:val="lowerLetter"/>
      <w:lvlText w:val="%8."/>
      <w:lvlJc w:val="left"/>
      <w:pPr>
        <w:ind w:left="5378" w:hanging="360"/>
      </w:pPr>
    </w:lvl>
    <w:lvl w:ilvl="8" w:tplc="08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6" w15:restartNumberingAfterBreak="0">
    <w:nsid w:val="34916B28"/>
    <w:multiLevelType w:val="multilevel"/>
    <w:tmpl w:val="A7A6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F8C3246"/>
    <w:multiLevelType w:val="hybridMultilevel"/>
    <w:tmpl w:val="ACCED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84398"/>
    <w:multiLevelType w:val="multilevel"/>
    <w:tmpl w:val="A7A6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8F654F3"/>
    <w:multiLevelType w:val="hybridMultilevel"/>
    <w:tmpl w:val="427C224C"/>
    <w:lvl w:ilvl="0" w:tplc="AFFE12F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05B14"/>
    <w:multiLevelType w:val="hybridMultilevel"/>
    <w:tmpl w:val="4A982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2716B"/>
    <w:multiLevelType w:val="hybridMultilevel"/>
    <w:tmpl w:val="A9A0F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7B01527"/>
    <w:multiLevelType w:val="hybridMultilevel"/>
    <w:tmpl w:val="3CCE3C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21087D"/>
    <w:multiLevelType w:val="hybridMultilevel"/>
    <w:tmpl w:val="BADC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</w:num>
  <w:num w:numId="11">
    <w:abstractNumId w:val="6"/>
  </w:num>
  <w:num w:numId="12">
    <w:abstractNumId w:val="7"/>
  </w:num>
  <w:num w:numId="13">
    <w:abstractNumId w:val="10"/>
  </w:num>
  <w:num w:numId="14">
    <w:abstractNumId w:val="11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EA9"/>
    <w:rsid w:val="00006FDF"/>
    <w:rsid w:val="000071DA"/>
    <w:rsid w:val="000074C4"/>
    <w:rsid w:val="00007629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0C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0B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8A2"/>
    <w:rsid w:val="000528F0"/>
    <w:rsid w:val="00052AC2"/>
    <w:rsid w:val="00052DA7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2F3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67E94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447"/>
    <w:rsid w:val="000A6B17"/>
    <w:rsid w:val="000A6B2F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3E88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70A"/>
    <w:rsid w:val="000C4DE9"/>
    <w:rsid w:val="000C513B"/>
    <w:rsid w:val="000C51E2"/>
    <w:rsid w:val="000C55B8"/>
    <w:rsid w:val="000C590F"/>
    <w:rsid w:val="000C5A67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9E5"/>
    <w:rsid w:val="000D64A3"/>
    <w:rsid w:val="000D67D4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959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39D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82E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57C9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8A9"/>
    <w:rsid w:val="00162FAF"/>
    <w:rsid w:val="0016308F"/>
    <w:rsid w:val="0016345A"/>
    <w:rsid w:val="001640AB"/>
    <w:rsid w:val="00164597"/>
    <w:rsid w:val="00164998"/>
    <w:rsid w:val="00165033"/>
    <w:rsid w:val="00165365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5CBF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6AD6"/>
    <w:rsid w:val="001876EE"/>
    <w:rsid w:val="00190041"/>
    <w:rsid w:val="001901B1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4D2B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00B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834"/>
    <w:rsid w:val="001D3A72"/>
    <w:rsid w:val="001D4501"/>
    <w:rsid w:val="001D49A2"/>
    <w:rsid w:val="001D4FDF"/>
    <w:rsid w:val="001D574C"/>
    <w:rsid w:val="001D5A95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5BB"/>
    <w:rsid w:val="001E3C03"/>
    <w:rsid w:val="001E496E"/>
    <w:rsid w:val="001E4B0A"/>
    <w:rsid w:val="001E5776"/>
    <w:rsid w:val="001E60FB"/>
    <w:rsid w:val="001E6908"/>
    <w:rsid w:val="001E743E"/>
    <w:rsid w:val="001E786C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336B"/>
    <w:rsid w:val="00243614"/>
    <w:rsid w:val="002438EB"/>
    <w:rsid w:val="002446D6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108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6D0A"/>
    <w:rsid w:val="002870E8"/>
    <w:rsid w:val="00287140"/>
    <w:rsid w:val="002873D1"/>
    <w:rsid w:val="00287627"/>
    <w:rsid w:val="002876E3"/>
    <w:rsid w:val="00287793"/>
    <w:rsid w:val="00287FFD"/>
    <w:rsid w:val="00290FBB"/>
    <w:rsid w:val="002916CB"/>
    <w:rsid w:val="0029195E"/>
    <w:rsid w:val="00291D6E"/>
    <w:rsid w:val="002920FA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3EE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302"/>
    <w:rsid w:val="002B5555"/>
    <w:rsid w:val="002B59DE"/>
    <w:rsid w:val="002B5E4B"/>
    <w:rsid w:val="002B6194"/>
    <w:rsid w:val="002B67B0"/>
    <w:rsid w:val="002B693E"/>
    <w:rsid w:val="002B74ED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2C01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6CBA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68A"/>
    <w:rsid w:val="00321852"/>
    <w:rsid w:val="003222D5"/>
    <w:rsid w:val="0032287F"/>
    <w:rsid w:val="00322CB8"/>
    <w:rsid w:val="00322DFB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13B"/>
    <w:rsid w:val="00337523"/>
    <w:rsid w:val="00337570"/>
    <w:rsid w:val="00337E97"/>
    <w:rsid w:val="0034111C"/>
    <w:rsid w:val="00341A6B"/>
    <w:rsid w:val="00341AF3"/>
    <w:rsid w:val="00341D92"/>
    <w:rsid w:val="00343155"/>
    <w:rsid w:val="00343B3E"/>
    <w:rsid w:val="00343E00"/>
    <w:rsid w:val="0034469D"/>
    <w:rsid w:val="003451B7"/>
    <w:rsid w:val="00345964"/>
    <w:rsid w:val="00345996"/>
    <w:rsid w:val="00345E1C"/>
    <w:rsid w:val="0034607C"/>
    <w:rsid w:val="0034613F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827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050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5C7"/>
    <w:rsid w:val="0037763E"/>
    <w:rsid w:val="00382782"/>
    <w:rsid w:val="00382BF6"/>
    <w:rsid w:val="003831D0"/>
    <w:rsid w:val="00383379"/>
    <w:rsid w:val="00383EDE"/>
    <w:rsid w:val="00384091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BCC"/>
    <w:rsid w:val="003B3F09"/>
    <w:rsid w:val="003B4F7B"/>
    <w:rsid w:val="003B50D7"/>
    <w:rsid w:val="003B6070"/>
    <w:rsid w:val="003B7482"/>
    <w:rsid w:val="003B7867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021"/>
    <w:rsid w:val="003C6201"/>
    <w:rsid w:val="003C65E3"/>
    <w:rsid w:val="003C6E9B"/>
    <w:rsid w:val="003C7263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3DAF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7FA"/>
    <w:rsid w:val="00400845"/>
    <w:rsid w:val="00400C30"/>
    <w:rsid w:val="00401675"/>
    <w:rsid w:val="0040213C"/>
    <w:rsid w:val="0040241F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07CEE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0CD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4F4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2B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895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17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3F28"/>
    <w:rsid w:val="00504240"/>
    <w:rsid w:val="005048AB"/>
    <w:rsid w:val="00505670"/>
    <w:rsid w:val="00505675"/>
    <w:rsid w:val="005056BD"/>
    <w:rsid w:val="00505B04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AD9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4C5"/>
    <w:rsid w:val="0053758A"/>
    <w:rsid w:val="00537CBB"/>
    <w:rsid w:val="00540A6F"/>
    <w:rsid w:val="00540B1A"/>
    <w:rsid w:val="005418FC"/>
    <w:rsid w:val="005419D1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9F3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5EDF"/>
    <w:rsid w:val="005666EA"/>
    <w:rsid w:val="00566F1E"/>
    <w:rsid w:val="00567E23"/>
    <w:rsid w:val="00570682"/>
    <w:rsid w:val="00571655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6FC5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44A1"/>
    <w:rsid w:val="00584902"/>
    <w:rsid w:val="00584E51"/>
    <w:rsid w:val="005852A4"/>
    <w:rsid w:val="00585869"/>
    <w:rsid w:val="00590990"/>
    <w:rsid w:val="0059196B"/>
    <w:rsid w:val="00592244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BB4"/>
    <w:rsid w:val="00605DEC"/>
    <w:rsid w:val="00605F2D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136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5DD7"/>
    <w:rsid w:val="006A6420"/>
    <w:rsid w:val="006A653A"/>
    <w:rsid w:val="006A657A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0F4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865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694"/>
    <w:rsid w:val="006E5A34"/>
    <w:rsid w:val="006E5DA3"/>
    <w:rsid w:val="006E5F9A"/>
    <w:rsid w:val="006E6140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33BD"/>
    <w:rsid w:val="006F5E29"/>
    <w:rsid w:val="006F5F5A"/>
    <w:rsid w:val="006F63D2"/>
    <w:rsid w:val="006F6434"/>
    <w:rsid w:val="006F656C"/>
    <w:rsid w:val="006F679B"/>
    <w:rsid w:val="006F6A40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18F"/>
    <w:rsid w:val="00715875"/>
    <w:rsid w:val="00715C5D"/>
    <w:rsid w:val="00716045"/>
    <w:rsid w:val="0071627F"/>
    <w:rsid w:val="0071705B"/>
    <w:rsid w:val="00717247"/>
    <w:rsid w:val="00717334"/>
    <w:rsid w:val="0071790D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1BD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4746"/>
    <w:rsid w:val="00745540"/>
    <w:rsid w:val="00745DC1"/>
    <w:rsid w:val="007463DC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6D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60A"/>
    <w:rsid w:val="0076243F"/>
    <w:rsid w:val="00762539"/>
    <w:rsid w:val="00762BD5"/>
    <w:rsid w:val="0076342B"/>
    <w:rsid w:val="00763783"/>
    <w:rsid w:val="0076408F"/>
    <w:rsid w:val="00764A14"/>
    <w:rsid w:val="00764D8C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E44"/>
    <w:rsid w:val="00771F4C"/>
    <w:rsid w:val="0077214D"/>
    <w:rsid w:val="007723DE"/>
    <w:rsid w:val="00772A0A"/>
    <w:rsid w:val="00772CA2"/>
    <w:rsid w:val="00772D32"/>
    <w:rsid w:val="00772D6B"/>
    <w:rsid w:val="00773769"/>
    <w:rsid w:val="007742FA"/>
    <w:rsid w:val="007743CE"/>
    <w:rsid w:val="007749BC"/>
    <w:rsid w:val="007752A4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11E7"/>
    <w:rsid w:val="007830A6"/>
    <w:rsid w:val="007837DB"/>
    <w:rsid w:val="007837E7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C7D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1C6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167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2D"/>
    <w:rsid w:val="007B748E"/>
    <w:rsid w:val="007B7496"/>
    <w:rsid w:val="007B78AA"/>
    <w:rsid w:val="007B7F1D"/>
    <w:rsid w:val="007C0EC6"/>
    <w:rsid w:val="007C1555"/>
    <w:rsid w:val="007C1C22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CFD"/>
    <w:rsid w:val="007C5D26"/>
    <w:rsid w:val="007C5D56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B2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02"/>
    <w:rsid w:val="007D7ABB"/>
    <w:rsid w:val="007D7DC1"/>
    <w:rsid w:val="007E08CF"/>
    <w:rsid w:val="007E149C"/>
    <w:rsid w:val="007E14BF"/>
    <w:rsid w:val="007E1BE0"/>
    <w:rsid w:val="007E2AA0"/>
    <w:rsid w:val="007E2EC6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4077"/>
    <w:rsid w:val="007F4237"/>
    <w:rsid w:val="007F4EA5"/>
    <w:rsid w:val="007F543E"/>
    <w:rsid w:val="007F6E69"/>
    <w:rsid w:val="007F6FA9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5EFB"/>
    <w:rsid w:val="008069FB"/>
    <w:rsid w:val="00806D0A"/>
    <w:rsid w:val="00807767"/>
    <w:rsid w:val="008078BB"/>
    <w:rsid w:val="008101C4"/>
    <w:rsid w:val="00810367"/>
    <w:rsid w:val="008109C9"/>
    <w:rsid w:val="008109E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5C7"/>
    <w:rsid w:val="00815B7D"/>
    <w:rsid w:val="008160CD"/>
    <w:rsid w:val="00816939"/>
    <w:rsid w:val="00817621"/>
    <w:rsid w:val="00817998"/>
    <w:rsid w:val="00817D78"/>
    <w:rsid w:val="00817EEC"/>
    <w:rsid w:val="00817F48"/>
    <w:rsid w:val="00820E6F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40D00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0E65"/>
    <w:rsid w:val="00851078"/>
    <w:rsid w:val="00851DA8"/>
    <w:rsid w:val="00852137"/>
    <w:rsid w:val="0085238B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3ABD"/>
    <w:rsid w:val="00884951"/>
    <w:rsid w:val="00884A01"/>
    <w:rsid w:val="00884B89"/>
    <w:rsid w:val="00884BA9"/>
    <w:rsid w:val="0088525C"/>
    <w:rsid w:val="00885787"/>
    <w:rsid w:val="00886BD7"/>
    <w:rsid w:val="008916D3"/>
    <w:rsid w:val="00892615"/>
    <w:rsid w:val="00892AE8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863"/>
    <w:rsid w:val="008A4DAB"/>
    <w:rsid w:val="008A54D2"/>
    <w:rsid w:val="008A555B"/>
    <w:rsid w:val="008A5943"/>
    <w:rsid w:val="008A6ECA"/>
    <w:rsid w:val="008A7930"/>
    <w:rsid w:val="008A7B28"/>
    <w:rsid w:val="008A7C93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C7E3F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4FB6"/>
    <w:rsid w:val="008D545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1A5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D85"/>
    <w:rsid w:val="008E7D94"/>
    <w:rsid w:val="008F0075"/>
    <w:rsid w:val="008F0666"/>
    <w:rsid w:val="008F0807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9D2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2A8D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778"/>
    <w:rsid w:val="00945F8A"/>
    <w:rsid w:val="0094683D"/>
    <w:rsid w:val="00946D8C"/>
    <w:rsid w:val="009472C4"/>
    <w:rsid w:val="00947472"/>
    <w:rsid w:val="00947887"/>
    <w:rsid w:val="00947A41"/>
    <w:rsid w:val="00947CDE"/>
    <w:rsid w:val="0095008B"/>
    <w:rsid w:val="00950A51"/>
    <w:rsid w:val="00952542"/>
    <w:rsid w:val="00952941"/>
    <w:rsid w:val="00953245"/>
    <w:rsid w:val="0095348D"/>
    <w:rsid w:val="00953C5A"/>
    <w:rsid w:val="00955110"/>
    <w:rsid w:val="009552A7"/>
    <w:rsid w:val="00955CE5"/>
    <w:rsid w:val="00955ECD"/>
    <w:rsid w:val="00956450"/>
    <w:rsid w:val="009566FC"/>
    <w:rsid w:val="009574F1"/>
    <w:rsid w:val="00957AF7"/>
    <w:rsid w:val="00957D95"/>
    <w:rsid w:val="009611A1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3B1"/>
    <w:rsid w:val="00971506"/>
    <w:rsid w:val="00973587"/>
    <w:rsid w:val="00974DC5"/>
    <w:rsid w:val="00975E2A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99C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AA7"/>
    <w:rsid w:val="009A62EE"/>
    <w:rsid w:val="009A668F"/>
    <w:rsid w:val="009A6C80"/>
    <w:rsid w:val="009A76E7"/>
    <w:rsid w:val="009A7AF0"/>
    <w:rsid w:val="009A7B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5C01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F3C"/>
    <w:rsid w:val="009C43F1"/>
    <w:rsid w:val="009C519C"/>
    <w:rsid w:val="009C51D5"/>
    <w:rsid w:val="009C5564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EF"/>
    <w:rsid w:val="00A02C7D"/>
    <w:rsid w:val="00A02D27"/>
    <w:rsid w:val="00A03800"/>
    <w:rsid w:val="00A03B62"/>
    <w:rsid w:val="00A05C6C"/>
    <w:rsid w:val="00A05FC1"/>
    <w:rsid w:val="00A06408"/>
    <w:rsid w:val="00A06CDE"/>
    <w:rsid w:val="00A07275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1F25"/>
    <w:rsid w:val="00A32097"/>
    <w:rsid w:val="00A32A14"/>
    <w:rsid w:val="00A3398D"/>
    <w:rsid w:val="00A33E0D"/>
    <w:rsid w:val="00A33E11"/>
    <w:rsid w:val="00A33F4E"/>
    <w:rsid w:val="00A348B6"/>
    <w:rsid w:val="00A34AB0"/>
    <w:rsid w:val="00A35F1A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19CD"/>
    <w:rsid w:val="00A51DAD"/>
    <w:rsid w:val="00A51E85"/>
    <w:rsid w:val="00A52554"/>
    <w:rsid w:val="00A528E1"/>
    <w:rsid w:val="00A53449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57B0C"/>
    <w:rsid w:val="00A57BF5"/>
    <w:rsid w:val="00A60C22"/>
    <w:rsid w:val="00A61001"/>
    <w:rsid w:val="00A6108F"/>
    <w:rsid w:val="00A61619"/>
    <w:rsid w:val="00A61CB8"/>
    <w:rsid w:val="00A61DAB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C03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6E45"/>
    <w:rsid w:val="00AB7088"/>
    <w:rsid w:val="00AB724C"/>
    <w:rsid w:val="00AB7BF0"/>
    <w:rsid w:val="00AB7E13"/>
    <w:rsid w:val="00AB7E90"/>
    <w:rsid w:val="00AC02C1"/>
    <w:rsid w:val="00AC054C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018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994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693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AB4"/>
    <w:rsid w:val="00B34160"/>
    <w:rsid w:val="00B34D1C"/>
    <w:rsid w:val="00B353FA"/>
    <w:rsid w:val="00B35BA4"/>
    <w:rsid w:val="00B36354"/>
    <w:rsid w:val="00B36371"/>
    <w:rsid w:val="00B36633"/>
    <w:rsid w:val="00B36A9D"/>
    <w:rsid w:val="00B36F73"/>
    <w:rsid w:val="00B373CA"/>
    <w:rsid w:val="00B40186"/>
    <w:rsid w:val="00B40292"/>
    <w:rsid w:val="00B40E6F"/>
    <w:rsid w:val="00B41318"/>
    <w:rsid w:val="00B4132E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6379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5AB5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B27"/>
    <w:rsid w:val="00B73F59"/>
    <w:rsid w:val="00B7438F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02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42BE"/>
    <w:rsid w:val="00BC515A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CFE"/>
    <w:rsid w:val="00BC7D93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0C"/>
    <w:rsid w:val="00C04AA2"/>
    <w:rsid w:val="00C05674"/>
    <w:rsid w:val="00C0702E"/>
    <w:rsid w:val="00C0724C"/>
    <w:rsid w:val="00C10381"/>
    <w:rsid w:val="00C11282"/>
    <w:rsid w:val="00C119EE"/>
    <w:rsid w:val="00C12A26"/>
    <w:rsid w:val="00C12A43"/>
    <w:rsid w:val="00C12E10"/>
    <w:rsid w:val="00C12F62"/>
    <w:rsid w:val="00C133E6"/>
    <w:rsid w:val="00C13BA4"/>
    <w:rsid w:val="00C13CED"/>
    <w:rsid w:val="00C13DD5"/>
    <w:rsid w:val="00C13F49"/>
    <w:rsid w:val="00C14131"/>
    <w:rsid w:val="00C141E8"/>
    <w:rsid w:val="00C14E86"/>
    <w:rsid w:val="00C14E9E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27C2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0CC"/>
    <w:rsid w:val="00C96B13"/>
    <w:rsid w:val="00C96C17"/>
    <w:rsid w:val="00C96E9B"/>
    <w:rsid w:val="00C96F79"/>
    <w:rsid w:val="00C97262"/>
    <w:rsid w:val="00C97597"/>
    <w:rsid w:val="00CA042A"/>
    <w:rsid w:val="00CA050D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10F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68B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5574"/>
    <w:rsid w:val="00D2572F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2C52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108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331"/>
    <w:rsid w:val="00D73733"/>
    <w:rsid w:val="00D737AC"/>
    <w:rsid w:val="00D743A6"/>
    <w:rsid w:val="00D754B3"/>
    <w:rsid w:val="00D7558A"/>
    <w:rsid w:val="00D75A17"/>
    <w:rsid w:val="00D761EB"/>
    <w:rsid w:val="00D76662"/>
    <w:rsid w:val="00D7708C"/>
    <w:rsid w:val="00D770A1"/>
    <w:rsid w:val="00D7733D"/>
    <w:rsid w:val="00D7761C"/>
    <w:rsid w:val="00D77A81"/>
    <w:rsid w:val="00D802E0"/>
    <w:rsid w:val="00D807E3"/>
    <w:rsid w:val="00D81199"/>
    <w:rsid w:val="00D81907"/>
    <w:rsid w:val="00D81CDF"/>
    <w:rsid w:val="00D8278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3F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F38"/>
    <w:rsid w:val="00E51272"/>
    <w:rsid w:val="00E512A5"/>
    <w:rsid w:val="00E515C5"/>
    <w:rsid w:val="00E51B20"/>
    <w:rsid w:val="00E51C3C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76D"/>
    <w:rsid w:val="00E93D8A"/>
    <w:rsid w:val="00E9412C"/>
    <w:rsid w:val="00E946A6"/>
    <w:rsid w:val="00E947AC"/>
    <w:rsid w:val="00E95565"/>
    <w:rsid w:val="00E957C2"/>
    <w:rsid w:val="00E96895"/>
    <w:rsid w:val="00E96C15"/>
    <w:rsid w:val="00E97173"/>
    <w:rsid w:val="00E97203"/>
    <w:rsid w:val="00E975FD"/>
    <w:rsid w:val="00E97783"/>
    <w:rsid w:val="00E97AC6"/>
    <w:rsid w:val="00E97BBA"/>
    <w:rsid w:val="00E97E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96E"/>
    <w:rsid w:val="00EA4BDE"/>
    <w:rsid w:val="00EA5EEE"/>
    <w:rsid w:val="00EA61F9"/>
    <w:rsid w:val="00EA63BB"/>
    <w:rsid w:val="00EA63DB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30D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ED8"/>
    <w:rsid w:val="00EC7074"/>
    <w:rsid w:val="00EC7262"/>
    <w:rsid w:val="00EC74A5"/>
    <w:rsid w:val="00EC7961"/>
    <w:rsid w:val="00ED07DD"/>
    <w:rsid w:val="00ED0DE2"/>
    <w:rsid w:val="00ED1BA3"/>
    <w:rsid w:val="00ED1BBB"/>
    <w:rsid w:val="00ED2052"/>
    <w:rsid w:val="00ED205B"/>
    <w:rsid w:val="00ED3121"/>
    <w:rsid w:val="00ED335E"/>
    <w:rsid w:val="00ED3557"/>
    <w:rsid w:val="00ED3B54"/>
    <w:rsid w:val="00ED3E02"/>
    <w:rsid w:val="00ED41E7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3EE0"/>
    <w:rsid w:val="00EE43B9"/>
    <w:rsid w:val="00EE4427"/>
    <w:rsid w:val="00EE477D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FB3"/>
    <w:rsid w:val="00EF5166"/>
    <w:rsid w:val="00EF5242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1C71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387"/>
    <w:rsid w:val="00F30EC1"/>
    <w:rsid w:val="00F31043"/>
    <w:rsid w:val="00F318A4"/>
    <w:rsid w:val="00F319DA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741"/>
    <w:rsid w:val="00F749BB"/>
    <w:rsid w:val="00F749C4"/>
    <w:rsid w:val="00F749CE"/>
    <w:rsid w:val="00F74A77"/>
    <w:rsid w:val="00F7670E"/>
    <w:rsid w:val="00F76E97"/>
    <w:rsid w:val="00F76F4C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7C"/>
    <w:rsid w:val="00FD74AF"/>
    <w:rsid w:val="00FD7A37"/>
    <w:rsid w:val="00FD7B0A"/>
    <w:rsid w:val="00FD7DDF"/>
    <w:rsid w:val="00FD7F6B"/>
    <w:rsid w:val="00FE002E"/>
    <w:rsid w:val="00FE097C"/>
    <w:rsid w:val="00FE1315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0224"/>
    <w:rsid w:val="00FF0842"/>
    <w:rsid w:val="00FF15B7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F4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4F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4F4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新細明體" w:hAnsi="Tahoma" w:cs="Times New Roman"/>
        <w:b/>
        <w:bCs/>
      </w:rPr>
    </w:tblStylePr>
    <w:tblStylePr w:type="lastCol"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Tahoma" w:eastAsia="新細明體" w:hAnsi="Tahom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Tahoma" w:eastAsia="新細明體" w:hAnsi="Tahom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新細明體" w:hAnsi="Tahom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Tahoma" w:eastAsia="新細明體" w:hAnsi="Tahom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2">
    <w:name w:val="表格格線2"/>
    <w:basedOn w:val="TableNormal"/>
    <w:next w:val="TableGrid"/>
    <w:uiPriority w:val="39"/>
    <w:rsid w:val="002A13E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5666EA"/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5666EA"/>
    <w:pPr>
      <w:spacing w:line="240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5666EA"/>
    <w:rPr>
      <w:rFonts w:ascii="Arial" w:eastAsia="MS Mincho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CF167-4F74-4FF9-93B1-A65B1648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2018-08-07T10:12:00Z</dcterms:created>
  <dcterms:modified xsi:type="dcterms:W3CDTF">2018-08-10T16:15:00Z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