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361" w:rsidRPr="000C12DB" w:rsidRDefault="00555361" w:rsidP="00E92118">
      <w:pPr>
        <w:tabs>
          <w:tab w:val="right" w:pos="9612"/>
          <w:tab w:val="right" w:pos="13323"/>
        </w:tabs>
        <w:spacing w:after="0"/>
        <w:rPr>
          <w:rFonts w:ascii="Arial" w:hAnsi="Arial" w:cs="Arial"/>
          <w:noProof/>
          <w:sz w:val="28"/>
          <w:szCs w:val="28"/>
        </w:rPr>
      </w:pPr>
      <w:bookmarkStart w:id="0" w:name="OLE_LINK19"/>
      <w:bookmarkStart w:id="1" w:name="OLE_LINK20"/>
      <w:r w:rsidRPr="000C12DB">
        <w:rPr>
          <w:rFonts w:ascii="Arial" w:hAnsi="Arial" w:cs="Arial"/>
          <w:b/>
          <w:noProof/>
          <w:sz w:val="28"/>
          <w:szCs w:val="28"/>
        </w:rPr>
        <w:t>3GPP</w:t>
      </w:r>
      <w:r w:rsidR="00EE722F">
        <w:rPr>
          <w:rFonts w:ascii="Arial" w:hAnsi="Arial" w:cs="Arial"/>
          <w:b/>
          <w:noProof/>
          <w:sz w:val="28"/>
          <w:szCs w:val="28"/>
        </w:rPr>
        <w:t xml:space="preserve"> </w:t>
      </w:r>
      <w:r w:rsidRPr="000C12DB">
        <w:rPr>
          <w:rFonts w:ascii="Arial" w:hAnsi="Arial" w:cs="Arial"/>
          <w:b/>
          <w:noProof/>
          <w:sz w:val="28"/>
          <w:szCs w:val="28"/>
        </w:rPr>
        <w:t>TSG</w:t>
      </w:r>
      <w:r w:rsidR="00EE722F">
        <w:rPr>
          <w:rFonts w:ascii="Arial" w:hAnsi="Arial" w:cs="Arial"/>
          <w:b/>
          <w:noProof/>
          <w:sz w:val="28"/>
          <w:szCs w:val="28"/>
        </w:rPr>
        <w:t xml:space="preserve"> </w:t>
      </w:r>
      <w:r w:rsidRPr="000C12DB">
        <w:rPr>
          <w:rFonts w:ascii="Arial" w:hAnsi="Arial" w:cs="Arial"/>
          <w:b/>
          <w:noProof/>
          <w:sz w:val="28"/>
          <w:szCs w:val="28"/>
        </w:rPr>
        <w:t>RAN</w:t>
      </w:r>
      <w:r w:rsidR="00EE722F">
        <w:rPr>
          <w:rFonts w:ascii="Arial" w:hAnsi="Arial" w:cs="Arial"/>
          <w:b/>
          <w:noProof/>
          <w:sz w:val="28"/>
          <w:szCs w:val="28"/>
        </w:rPr>
        <w:t xml:space="preserve"> </w:t>
      </w:r>
      <w:r w:rsidRPr="000C12DB">
        <w:rPr>
          <w:rFonts w:ascii="Arial" w:hAnsi="Arial" w:cs="Arial"/>
          <w:b/>
          <w:noProof/>
          <w:sz w:val="28"/>
          <w:szCs w:val="28"/>
        </w:rPr>
        <w:t>WG4</w:t>
      </w:r>
      <w:r w:rsidR="00D25F33">
        <w:rPr>
          <w:rFonts w:ascii="Arial" w:hAnsi="Arial" w:cs="Arial"/>
          <w:b/>
          <w:noProof/>
          <w:sz w:val="28"/>
          <w:szCs w:val="28"/>
        </w:rPr>
        <w:t xml:space="preserve"> #8</w:t>
      </w:r>
      <w:r w:rsidR="00A92341">
        <w:rPr>
          <w:rFonts w:ascii="Arial" w:hAnsi="Arial" w:cs="Arial"/>
          <w:b/>
          <w:noProof/>
          <w:sz w:val="28"/>
          <w:szCs w:val="28"/>
        </w:rPr>
        <w:t>5</w:t>
      </w:r>
      <w:r w:rsidRPr="000C12DB">
        <w:rPr>
          <w:rFonts w:ascii="Arial" w:hAnsi="Arial" w:cs="Arial" w:hint="eastAsia"/>
          <w:b/>
          <w:noProof/>
          <w:sz w:val="28"/>
          <w:szCs w:val="28"/>
        </w:rPr>
        <w:tab/>
      </w:r>
      <w:r w:rsidR="0037359F" w:rsidRPr="0037359F">
        <w:rPr>
          <w:rFonts w:ascii="Arial" w:hAnsi="Arial" w:cs="Arial"/>
          <w:b/>
          <w:noProof/>
          <w:sz w:val="28"/>
          <w:szCs w:val="28"/>
        </w:rPr>
        <w:t>R4-17</w:t>
      </w:r>
      <w:r w:rsidR="00D25F33">
        <w:rPr>
          <w:rFonts w:ascii="Arial" w:hAnsi="Arial" w:cs="Arial"/>
          <w:b/>
          <w:noProof/>
          <w:sz w:val="28"/>
          <w:szCs w:val="28"/>
        </w:rPr>
        <w:t>1</w:t>
      </w:r>
      <w:r w:rsidR="00FE041F">
        <w:rPr>
          <w:rFonts w:ascii="Arial" w:hAnsi="Arial" w:cs="Arial"/>
          <w:b/>
          <w:noProof/>
          <w:sz w:val="28"/>
          <w:szCs w:val="28"/>
        </w:rPr>
        <w:t>3658</w:t>
      </w:r>
    </w:p>
    <w:p w:rsidR="0075678D" w:rsidRPr="0008103A" w:rsidRDefault="00A92341" w:rsidP="00E92118">
      <w:pPr>
        <w:tabs>
          <w:tab w:val="left" w:pos="7920"/>
        </w:tabs>
        <w:spacing w:after="0"/>
        <w:rPr>
          <w:rFonts w:ascii="Arial" w:hAnsi="Arial" w:cs="Arial"/>
          <w:b/>
          <w:sz w:val="24"/>
          <w:szCs w:val="24"/>
        </w:rPr>
      </w:pPr>
      <w:r>
        <w:rPr>
          <w:rFonts w:ascii="Arial" w:eastAsia="Malgun Gothic" w:hAnsi="Arial" w:cs="Arial"/>
          <w:b/>
          <w:bCs/>
          <w:sz w:val="28"/>
          <w:lang w:eastAsia="ko-KR"/>
        </w:rPr>
        <w:t>Reno, Nevada</w:t>
      </w:r>
      <w:r w:rsidR="00D25F33">
        <w:rPr>
          <w:rFonts w:ascii="Arial" w:eastAsia="Malgun Gothic" w:hAnsi="Arial" w:cs="Arial"/>
          <w:b/>
          <w:bCs/>
          <w:sz w:val="28"/>
          <w:lang w:eastAsia="ko-KR"/>
        </w:rPr>
        <w:t xml:space="preserve">, </w:t>
      </w:r>
      <w:r>
        <w:rPr>
          <w:rFonts w:ascii="Arial" w:eastAsia="Malgun Gothic" w:hAnsi="Arial" w:cs="Arial"/>
          <w:b/>
          <w:bCs/>
          <w:sz w:val="28"/>
          <w:lang w:eastAsia="ko-KR"/>
        </w:rPr>
        <w:t>USA</w:t>
      </w:r>
      <w:r w:rsidR="00633B63">
        <w:rPr>
          <w:rFonts w:ascii="Arial" w:eastAsia="Malgun Gothic" w:hAnsi="Arial" w:cs="Arial"/>
          <w:b/>
          <w:bCs/>
          <w:sz w:val="28"/>
          <w:lang w:eastAsia="ko-KR"/>
        </w:rPr>
        <w:t xml:space="preserve">, </w:t>
      </w:r>
      <w:r>
        <w:rPr>
          <w:rFonts w:ascii="Arial" w:eastAsia="Malgun Gothic" w:hAnsi="Arial" w:cs="Arial"/>
          <w:b/>
          <w:bCs/>
          <w:sz w:val="28"/>
          <w:lang w:eastAsia="ko-KR"/>
        </w:rPr>
        <w:t>27</w:t>
      </w:r>
      <w:r w:rsidR="00B951A0">
        <w:rPr>
          <w:rFonts w:ascii="Arial" w:eastAsia="Malgun Gothic" w:hAnsi="Arial" w:cs="Arial"/>
          <w:b/>
          <w:bCs/>
          <w:sz w:val="28"/>
          <w:lang w:eastAsia="ko-KR"/>
        </w:rPr>
        <w:t xml:space="preserve"> </w:t>
      </w:r>
      <w:r>
        <w:rPr>
          <w:rFonts w:ascii="Arial" w:eastAsia="Malgun Gothic" w:hAnsi="Arial" w:cs="Arial"/>
          <w:b/>
          <w:bCs/>
          <w:sz w:val="28"/>
          <w:lang w:eastAsia="ko-KR"/>
        </w:rPr>
        <w:t xml:space="preserve">Nov </w:t>
      </w:r>
      <w:r w:rsidR="00B951A0">
        <w:rPr>
          <w:rFonts w:ascii="Arial" w:eastAsia="Malgun Gothic" w:hAnsi="Arial" w:cs="Arial"/>
          <w:b/>
          <w:bCs/>
          <w:sz w:val="28"/>
          <w:lang w:eastAsia="ko-KR"/>
        </w:rPr>
        <w:t xml:space="preserve">– </w:t>
      </w:r>
      <w:r>
        <w:rPr>
          <w:rFonts w:ascii="Arial" w:eastAsia="Malgun Gothic" w:hAnsi="Arial" w:cs="Arial"/>
          <w:b/>
          <w:bCs/>
          <w:sz w:val="28"/>
          <w:lang w:eastAsia="ko-KR"/>
        </w:rPr>
        <w:t>1 Dec</w:t>
      </w:r>
      <w:r w:rsidR="00633B63">
        <w:rPr>
          <w:rFonts w:ascii="Arial" w:eastAsia="Malgun Gothic" w:hAnsi="Arial" w:cs="Arial"/>
          <w:b/>
          <w:bCs/>
          <w:sz w:val="28"/>
          <w:lang w:eastAsia="ko-KR"/>
        </w:rPr>
        <w:t xml:space="preserve">, </w:t>
      </w:r>
      <w:r w:rsidR="00555361" w:rsidRPr="000C12DB">
        <w:rPr>
          <w:rFonts w:ascii="Arial" w:eastAsia="Malgun Gothic" w:hAnsi="Arial" w:cs="Arial"/>
          <w:b/>
          <w:bCs/>
          <w:sz w:val="28"/>
        </w:rPr>
        <w:t>201</w:t>
      </w:r>
      <w:r w:rsidR="00555361" w:rsidRPr="000C12DB">
        <w:rPr>
          <w:rFonts w:ascii="Arial" w:eastAsia="Malgun Gothic" w:hAnsi="Arial" w:cs="Arial" w:hint="eastAsia"/>
          <w:b/>
          <w:bCs/>
          <w:sz w:val="28"/>
          <w:lang w:eastAsia="ko-KR"/>
        </w:rPr>
        <w:t>7</w:t>
      </w:r>
    </w:p>
    <w:bookmarkEnd w:id="0"/>
    <w:bookmarkEnd w:id="1"/>
    <w:p w:rsidR="00647B25" w:rsidRPr="0008103A" w:rsidRDefault="00647B25" w:rsidP="00647B25">
      <w:pPr>
        <w:rPr>
          <w:rFonts w:ascii="Arial" w:hAnsi="Arial" w:cs="Arial"/>
          <w:b/>
          <w:sz w:val="24"/>
          <w:szCs w:val="24"/>
        </w:rPr>
      </w:pP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Agenda</w:t>
      </w:r>
      <w:r w:rsidR="00EE722F">
        <w:rPr>
          <w:rFonts w:ascii="Arial" w:hAnsi="Arial" w:cs="Arial"/>
          <w:b/>
          <w:sz w:val="24"/>
          <w:szCs w:val="24"/>
        </w:rPr>
        <w:t xml:space="preserve"> </w:t>
      </w:r>
      <w:r w:rsidRPr="0008103A">
        <w:rPr>
          <w:rFonts w:ascii="Arial" w:hAnsi="Arial" w:cs="Arial"/>
          <w:b/>
          <w:sz w:val="24"/>
          <w:szCs w:val="24"/>
        </w:rPr>
        <w:t>item:</w:t>
      </w:r>
      <w:r w:rsidRPr="0008103A">
        <w:rPr>
          <w:rFonts w:ascii="Arial" w:hAnsi="Arial" w:cs="Arial"/>
          <w:b/>
          <w:sz w:val="24"/>
          <w:szCs w:val="24"/>
        </w:rPr>
        <w:tab/>
      </w:r>
      <w:r w:rsidR="003828CE">
        <w:rPr>
          <w:rFonts w:ascii="Arial" w:hAnsi="Arial" w:cs="Arial"/>
          <w:b/>
          <w:sz w:val="24"/>
          <w:szCs w:val="24"/>
        </w:rPr>
        <w:t>9.8.4.2</w:t>
      </w:r>
    </w:p>
    <w:p w:rsidR="00647B25" w:rsidRPr="0008103A" w:rsidRDefault="00647B25" w:rsidP="004C1E20">
      <w:pPr>
        <w:tabs>
          <w:tab w:val="left" w:pos="2160"/>
        </w:tabs>
        <w:ind w:left="2160" w:hanging="2160"/>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D400FF" w:rsidRPr="00D400FF">
        <w:rPr>
          <w:rFonts w:ascii="Arial" w:hAnsi="Arial" w:cs="Arial"/>
          <w:b/>
          <w:sz w:val="24"/>
          <w:szCs w:val="24"/>
        </w:rPr>
        <w:t>Azimuth</w:t>
      </w:r>
      <w:r w:rsidR="00EE722F">
        <w:rPr>
          <w:rFonts w:ascii="Arial" w:hAnsi="Arial" w:cs="Arial"/>
          <w:b/>
          <w:sz w:val="24"/>
          <w:szCs w:val="24"/>
        </w:rPr>
        <w:t xml:space="preserve"> </w:t>
      </w:r>
      <w:r w:rsidR="00D400FF">
        <w:rPr>
          <w:rFonts w:ascii="Arial" w:hAnsi="Arial" w:cs="Arial"/>
          <w:b/>
          <w:sz w:val="24"/>
          <w:szCs w:val="24"/>
        </w:rPr>
        <w:t>S</w:t>
      </w:r>
      <w:r w:rsidR="00D400FF" w:rsidRPr="00D400FF">
        <w:rPr>
          <w:rFonts w:ascii="Arial" w:hAnsi="Arial" w:cs="Arial"/>
          <w:b/>
          <w:sz w:val="24"/>
          <w:szCs w:val="24"/>
        </w:rPr>
        <w:t>ystems</w:t>
      </w:r>
      <w:r w:rsidR="00EE722F">
        <w:rPr>
          <w:rFonts w:ascii="Arial" w:hAnsi="Arial" w:cs="Arial"/>
          <w:b/>
          <w:sz w:val="24"/>
          <w:szCs w:val="24"/>
        </w:rPr>
        <w:t xml:space="preserve"> </w:t>
      </w:r>
      <w:r w:rsidR="00D400FF">
        <w:rPr>
          <w:rFonts w:ascii="Arial" w:hAnsi="Arial" w:cs="Arial"/>
          <w:b/>
          <w:sz w:val="24"/>
          <w:szCs w:val="24"/>
        </w:rPr>
        <w:t>Inc</w:t>
      </w:r>
      <w:r w:rsidR="004C1E20">
        <w:rPr>
          <w:rFonts w:ascii="Arial" w:hAnsi="Arial" w:cs="Arial"/>
          <w:b/>
          <w:sz w:val="24"/>
          <w:szCs w:val="24"/>
        </w:rPr>
        <w:t>.</w:t>
      </w:r>
      <w:r w:rsidR="00A92341">
        <w:rPr>
          <w:rFonts w:ascii="Arial" w:hAnsi="Arial" w:cs="Arial"/>
          <w:b/>
          <w:sz w:val="24"/>
          <w:szCs w:val="24"/>
        </w:rPr>
        <w:t>, Anritsu Ltd.</w:t>
      </w:r>
    </w:p>
    <w:p w:rsidR="00647B25" w:rsidRPr="0008103A" w:rsidRDefault="00647B25" w:rsidP="003131C4">
      <w:pPr>
        <w:tabs>
          <w:tab w:val="left" w:pos="216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1029F8">
        <w:rPr>
          <w:rFonts w:ascii="Arial" w:hAnsi="Arial" w:cs="Arial"/>
          <w:b/>
          <w:sz w:val="24"/>
          <w:szCs w:val="24"/>
        </w:rPr>
        <w:t xml:space="preserve">Improved </w:t>
      </w:r>
      <w:r w:rsidR="008E2F79">
        <w:rPr>
          <w:rFonts w:ascii="Arial" w:hAnsi="Arial" w:cs="Arial"/>
          <w:b/>
          <w:sz w:val="24"/>
          <w:szCs w:val="24"/>
        </w:rPr>
        <w:t>C</w:t>
      </w:r>
      <w:r w:rsidR="00EA2E4C">
        <w:rPr>
          <w:rFonts w:ascii="Arial" w:hAnsi="Arial" w:cs="Arial"/>
          <w:b/>
          <w:sz w:val="24"/>
          <w:szCs w:val="24"/>
        </w:rPr>
        <w:t xml:space="preserve">apacity </w:t>
      </w:r>
      <w:r w:rsidR="008E2F79">
        <w:rPr>
          <w:rFonts w:ascii="Arial" w:hAnsi="Arial" w:cs="Arial"/>
          <w:b/>
          <w:sz w:val="24"/>
          <w:szCs w:val="24"/>
        </w:rPr>
        <w:t>E</w:t>
      </w:r>
      <w:r w:rsidR="00EA2E4C">
        <w:rPr>
          <w:rFonts w:ascii="Arial" w:hAnsi="Arial" w:cs="Arial"/>
          <w:b/>
          <w:sz w:val="24"/>
          <w:szCs w:val="24"/>
        </w:rPr>
        <w:t xml:space="preserve">valuation of </w:t>
      </w:r>
      <w:r w:rsidR="00A92341">
        <w:rPr>
          <w:rFonts w:ascii="Arial" w:hAnsi="Arial" w:cs="Arial"/>
          <w:b/>
          <w:sz w:val="24"/>
          <w:szCs w:val="24"/>
        </w:rPr>
        <w:t xml:space="preserve">TR 38.901 </w:t>
      </w:r>
      <w:r w:rsidR="00EA2E4C">
        <w:rPr>
          <w:rFonts w:ascii="Arial" w:hAnsi="Arial" w:cs="Arial"/>
          <w:b/>
          <w:sz w:val="24"/>
          <w:szCs w:val="24"/>
        </w:rPr>
        <w:t xml:space="preserve">CDL </w:t>
      </w:r>
      <w:r w:rsidR="008E2F79">
        <w:rPr>
          <w:rFonts w:ascii="Arial" w:hAnsi="Arial" w:cs="Arial"/>
          <w:b/>
          <w:sz w:val="24"/>
          <w:szCs w:val="24"/>
        </w:rPr>
        <w:t>M</w:t>
      </w:r>
      <w:r w:rsidR="00EA2E4C">
        <w:rPr>
          <w:rFonts w:ascii="Arial" w:hAnsi="Arial" w:cs="Arial"/>
          <w:b/>
          <w:sz w:val="24"/>
          <w:szCs w:val="24"/>
        </w:rPr>
        <w:t>odels</w:t>
      </w:r>
      <w:r w:rsidR="001E4F49">
        <w:rPr>
          <w:rFonts w:ascii="Arial" w:hAnsi="Arial" w:cs="Arial"/>
          <w:b/>
          <w:sz w:val="24"/>
          <w:szCs w:val="24"/>
        </w:rPr>
        <w:t xml:space="preserve"> in mmWave</w:t>
      </w:r>
      <w:r w:rsidR="00A77C68">
        <w:rPr>
          <w:rFonts w:ascii="Arial" w:hAnsi="Arial" w:cs="Arial"/>
          <w:b/>
          <w:sz w:val="24"/>
          <w:szCs w:val="24"/>
        </w:rPr>
        <w:t xml:space="preserve"> (FR2)</w:t>
      </w:r>
      <w:r w:rsidR="001E4F49">
        <w:rPr>
          <w:rFonts w:ascii="Arial" w:hAnsi="Arial" w:cs="Arial"/>
          <w:b/>
          <w:sz w:val="24"/>
          <w:szCs w:val="24"/>
        </w:rPr>
        <w:t xml:space="preserve"> </w:t>
      </w:r>
      <w:r w:rsidR="008E2F79">
        <w:rPr>
          <w:rFonts w:ascii="Arial" w:hAnsi="Arial" w:cs="Arial"/>
          <w:b/>
          <w:sz w:val="24"/>
          <w:szCs w:val="24"/>
        </w:rPr>
        <w:t>E</w:t>
      </w:r>
      <w:r w:rsidR="001E4F49">
        <w:rPr>
          <w:rFonts w:ascii="Arial" w:hAnsi="Arial" w:cs="Arial"/>
          <w:b/>
          <w:sz w:val="24"/>
          <w:szCs w:val="24"/>
        </w:rPr>
        <w:t>nvironment</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Document</w:t>
      </w:r>
      <w:r w:rsidR="00EE722F">
        <w:rPr>
          <w:rFonts w:ascii="Arial" w:hAnsi="Arial" w:cs="Arial"/>
          <w:b/>
          <w:sz w:val="24"/>
          <w:szCs w:val="24"/>
        </w:rPr>
        <w:t xml:space="preserve"> </w:t>
      </w:r>
      <w:r w:rsidRPr="0008103A">
        <w:rPr>
          <w:rFonts w:ascii="Arial" w:hAnsi="Arial" w:cs="Arial"/>
          <w:b/>
          <w:sz w:val="24"/>
          <w:szCs w:val="24"/>
        </w:rPr>
        <w:t>for:</w:t>
      </w:r>
      <w:r w:rsidRPr="0008103A">
        <w:rPr>
          <w:rFonts w:ascii="Arial" w:hAnsi="Arial" w:cs="Arial"/>
          <w:b/>
          <w:sz w:val="24"/>
          <w:szCs w:val="24"/>
        </w:rPr>
        <w:tab/>
      </w:r>
      <w:r w:rsidR="004C1E20">
        <w:rPr>
          <w:rFonts w:ascii="Arial" w:hAnsi="Arial" w:cs="Arial"/>
          <w:b/>
          <w:sz w:val="24"/>
          <w:szCs w:val="24"/>
        </w:rPr>
        <w:t>Discussion</w:t>
      </w:r>
    </w:p>
    <w:p w:rsidR="00647B25" w:rsidRDefault="00647B25" w:rsidP="0008103A">
      <w:pPr>
        <w:pStyle w:val="Heading1"/>
      </w:pPr>
      <w:r w:rsidRPr="00647B25">
        <w:t>1</w:t>
      </w:r>
      <w:r w:rsidRPr="00647B25">
        <w:tab/>
      </w:r>
      <w:r w:rsidR="00EA2E4C">
        <w:t>Introduction</w:t>
      </w:r>
    </w:p>
    <w:p w:rsidR="00EA2E4C" w:rsidRPr="00EA2E4C" w:rsidRDefault="00F60380" w:rsidP="00EA2E4C">
      <w:pPr>
        <w:rPr>
          <w:lang w:val="en-GB" w:eastAsia="en-GB"/>
        </w:rPr>
      </w:pPr>
      <w:r>
        <w:rPr>
          <w:lang w:val="en-GB" w:eastAsia="en-GB"/>
        </w:rPr>
        <w:t xml:space="preserve">The idea of using a single probe per cluster for OTA </w:t>
      </w:r>
      <w:r w:rsidR="006C3DC5">
        <w:rPr>
          <w:lang w:val="en-GB" w:eastAsia="en-GB"/>
        </w:rPr>
        <w:t>testing</w:t>
      </w:r>
      <w:r w:rsidR="00A77C68">
        <w:rPr>
          <w:lang w:val="en-GB" w:eastAsia="en-GB"/>
        </w:rPr>
        <w:t xml:space="preserve"> holds some promise for reduced complexity OTA methodologies for measuring UE demodulation performance in the millimeter wave bands (FR2). Here, it</w:t>
      </w:r>
      <w:r w:rsidR="006C3DC5">
        <w:rPr>
          <w:lang w:val="en-GB" w:eastAsia="en-GB"/>
        </w:rPr>
        <w:t xml:space="preserve"> is further investigated by exploring a different UE antenna model, and for CDL models A-E </w:t>
      </w:r>
      <w:r w:rsidR="006C3DC5">
        <w:rPr>
          <w:lang w:val="en-GB" w:eastAsia="en-GB"/>
        </w:rPr>
        <w:fldChar w:fldCharType="begin"/>
      </w:r>
      <w:r w:rsidR="006C3DC5">
        <w:rPr>
          <w:lang w:val="en-GB" w:eastAsia="en-GB"/>
        </w:rPr>
        <w:instrText xml:space="preserve"> REF _Ref498509603 \w \h </w:instrText>
      </w:r>
      <w:r w:rsidR="006C3DC5">
        <w:rPr>
          <w:lang w:val="en-GB" w:eastAsia="en-GB"/>
        </w:rPr>
      </w:r>
      <w:r w:rsidR="006C3DC5">
        <w:rPr>
          <w:lang w:val="en-GB" w:eastAsia="en-GB"/>
        </w:rPr>
        <w:fldChar w:fldCharType="separate"/>
      </w:r>
      <w:r w:rsidR="00755C24">
        <w:rPr>
          <w:lang w:val="en-GB" w:eastAsia="en-GB"/>
        </w:rPr>
        <w:t>[1]</w:t>
      </w:r>
      <w:r w:rsidR="006C3DC5">
        <w:rPr>
          <w:lang w:val="en-GB" w:eastAsia="en-GB"/>
        </w:rPr>
        <w:fldChar w:fldCharType="end"/>
      </w:r>
      <w:r w:rsidR="006C3DC5">
        <w:rPr>
          <w:lang w:val="en-GB" w:eastAsia="en-GB"/>
        </w:rPr>
        <w:t xml:space="preserve">. </w:t>
      </w:r>
      <w:r w:rsidR="007D6369">
        <w:rPr>
          <w:lang w:val="en-GB" w:eastAsia="en-GB"/>
        </w:rPr>
        <w:t xml:space="preserve">An improved </w:t>
      </w:r>
      <w:r w:rsidR="006C3DC5">
        <w:rPr>
          <w:lang w:val="en-GB" w:eastAsia="en-GB"/>
        </w:rPr>
        <w:t xml:space="preserve">Shannon channel capacity </w:t>
      </w:r>
      <w:r w:rsidR="007D6369">
        <w:rPr>
          <w:lang w:val="en-GB" w:eastAsia="en-GB"/>
        </w:rPr>
        <w:t xml:space="preserve">metric is used </w:t>
      </w:r>
      <w:r w:rsidR="007D6369">
        <w:rPr>
          <w:lang w:val="en-GB" w:eastAsia="en-GB"/>
        </w:rPr>
        <w:fldChar w:fldCharType="begin"/>
      </w:r>
      <w:r w:rsidR="007D6369">
        <w:rPr>
          <w:lang w:val="en-GB" w:eastAsia="en-GB"/>
        </w:rPr>
        <w:instrText xml:space="preserve"> REF _Ref498435537 \w \h </w:instrText>
      </w:r>
      <w:r w:rsidR="007D6369">
        <w:rPr>
          <w:lang w:val="en-GB" w:eastAsia="en-GB"/>
        </w:rPr>
      </w:r>
      <w:r w:rsidR="007D6369">
        <w:rPr>
          <w:lang w:val="en-GB" w:eastAsia="en-GB"/>
        </w:rPr>
        <w:fldChar w:fldCharType="separate"/>
      </w:r>
      <w:r w:rsidR="007D6369">
        <w:rPr>
          <w:lang w:val="en-GB" w:eastAsia="en-GB"/>
        </w:rPr>
        <w:t>[9]</w:t>
      </w:r>
      <w:r w:rsidR="007D6369">
        <w:rPr>
          <w:lang w:val="en-GB" w:eastAsia="en-GB"/>
        </w:rPr>
        <w:fldChar w:fldCharType="end"/>
      </w:r>
      <w:r w:rsidR="007D6369">
        <w:rPr>
          <w:lang w:val="en-GB" w:eastAsia="en-GB"/>
        </w:rPr>
        <w:t xml:space="preserve">. Both capacity </w:t>
      </w:r>
      <w:r w:rsidR="006C3DC5">
        <w:rPr>
          <w:lang w:val="en-GB" w:eastAsia="en-GB"/>
        </w:rPr>
        <w:t>and condition number are statistics are measured for each model, and the modified zero ASA technique is used to simulate the single probe per cluster conditions.</w:t>
      </w:r>
      <w:r w:rsidR="00755C24">
        <w:rPr>
          <w:lang w:val="en-GB" w:eastAsia="en-GB"/>
        </w:rPr>
        <w:t xml:space="preserve"> </w:t>
      </w:r>
      <w:r w:rsidR="007D6369">
        <w:rPr>
          <w:lang w:val="en-GB" w:eastAsia="en-GB"/>
        </w:rPr>
        <w:t>Comparisons are made between the ideal channel models</w:t>
      </w:r>
      <w:r w:rsidR="00D90020">
        <w:rPr>
          <w:lang w:val="en-GB" w:eastAsia="en-GB"/>
        </w:rPr>
        <w:t>,</w:t>
      </w:r>
      <w:r w:rsidR="007D6369">
        <w:rPr>
          <w:lang w:val="en-GB" w:eastAsia="en-GB"/>
        </w:rPr>
        <w:t xml:space="preserve"> and with the modified zero ASA technique. </w:t>
      </w:r>
      <w:r w:rsidR="00755C24">
        <w:rPr>
          <w:lang w:val="en-GB" w:eastAsia="en-GB"/>
        </w:rPr>
        <w:t xml:space="preserve">Results </w:t>
      </w:r>
      <w:r w:rsidR="007D6369">
        <w:rPr>
          <w:lang w:val="en-GB" w:eastAsia="en-GB"/>
        </w:rPr>
        <w:t xml:space="preserve">are very positive and suggest the single probe per cluster </w:t>
      </w:r>
      <w:r w:rsidR="00D90020">
        <w:rPr>
          <w:lang w:val="en-GB" w:eastAsia="en-GB"/>
        </w:rPr>
        <w:t xml:space="preserve">methodology </w:t>
      </w:r>
      <w:r w:rsidR="007D6369">
        <w:rPr>
          <w:lang w:val="en-GB" w:eastAsia="en-GB"/>
        </w:rPr>
        <w:t>is a valid method for reducing the complexity of OTA models for FR2.</w:t>
      </w:r>
    </w:p>
    <w:p w:rsidR="00EA2E4C" w:rsidRDefault="00EA2E4C" w:rsidP="00EA2E4C">
      <w:pPr>
        <w:pStyle w:val="Heading1"/>
      </w:pPr>
      <w:r>
        <w:t>2</w:t>
      </w:r>
      <w:r w:rsidRPr="00647B25">
        <w:tab/>
      </w:r>
      <w:r w:rsidR="00A90FF9">
        <w:t>Background</w:t>
      </w:r>
    </w:p>
    <w:p w:rsidR="00A90FF9" w:rsidRDefault="00A90FF9" w:rsidP="00A90FF9">
      <w:pPr>
        <w:rPr>
          <w:lang w:val="en-GB" w:eastAsia="en-GB"/>
        </w:rPr>
      </w:pPr>
      <w:r>
        <w:rPr>
          <w:lang w:val="en-GB" w:eastAsia="en-GB"/>
        </w:rPr>
        <w:t>The methodology for OTA testing of demodulation performance for NR de</w:t>
      </w:r>
      <w:r w:rsidR="00C42A09">
        <w:rPr>
          <w:lang w:val="en-GB" w:eastAsia="en-GB"/>
        </w:rPr>
        <w:t>vices operating in the millimet</w:t>
      </w:r>
      <w:r>
        <w:rPr>
          <w:lang w:val="en-GB" w:eastAsia="en-GB"/>
        </w:rPr>
        <w:t>e</w:t>
      </w:r>
      <w:r w:rsidR="00C42A09">
        <w:rPr>
          <w:lang w:val="en-GB" w:eastAsia="en-GB"/>
        </w:rPr>
        <w:t xml:space="preserve">r </w:t>
      </w:r>
      <w:r>
        <w:rPr>
          <w:lang w:val="en-GB" w:eastAsia="en-GB"/>
        </w:rPr>
        <w:t>wave band</w:t>
      </w:r>
      <w:r w:rsidR="00C42A09">
        <w:rPr>
          <w:lang w:val="en-GB" w:eastAsia="en-GB"/>
        </w:rPr>
        <w:t xml:space="preserve"> </w:t>
      </w:r>
      <w:r>
        <w:rPr>
          <w:lang w:val="en-GB" w:eastAsia="en-GB"/>
        </w:rPr>
        <w:t xml:space="preserve">is not settled. Other papers have discussed the complexity of extending the LTE MIMO OTA methodologies </w:t>
      </w:r>
      <w:r w:rsidR="00B41704">
        <w:rPr>
          <w:lang w:val="en-GB" w:eastAsia="en-GB"/>
        </w:rPr>
        <w:fldChar w:fldCharType="begin"/>
      </w:r>
      <w:r w:rsidR="00B41704">
        <w:rPr>
          <w:lang w:val="en-GB" w:eastAsia="en-GB"/>
        </w:rPr>
        <w:instrText xml:space="preserve"> REF _Ref498433679 \r \h </w:instrText>
      </w:r>
      <w:r w:rsidR="00B41704">
        <w:rPr>
          <w:lang w:val="en-GB" w:eastAsia="en-GB"/>
        </w:rPr>
      </w:r>
      <w:r w:rsidR="00B41704">
        <w:rPr>
          <w:lang w:val="en-GB" w:eastAsia="en-GB"/>
        </w:rPr>
        <w:fldChar w:fldCharType="separate"/>
      </w:r>
      <w:r w:rsidR="00755C24">
        <w:rPr>
          <w:lang w:val="en-GB" w:eastAsia="en-GB"/>
        </w:rPr>
        <w:t>[1]</w:t>
      </w:r>
      <w:r w:rsidR="00B41704">
        <w:rPr>
          <w:lang w:val="en-GB" w:eastAsia="en-GB"/>
        </w:rPr>
        <w:fldChar w:fldCharType="end"/>
      </w:r>
      <w:r>
        <w:rPr>
          <w:lang w:val="en-GB" w:eastAsia="en-GB"/>
        </w:rPr>
        <w:t xml:space="preserve">, offered ways to reduce the complexity </w:t>
      </w:r>
      <w:r w:rsidR="00EF280D">
        <w:rPr>
          <w:lang w:val="en-GB" w:eastAsia="en-GB"/>
        </w:rPr>
        <w:fldChar w:fldCharType="begin"/>
      </w:r>
      <w:r w:rsidR="00EF280D">
        <w:rPr>
          <w:lang w:val="en-GB" w:eastAsia="en-GB"/>
        </w:rPr>
        <w:instrText xml:space="preserve"> REF _Ref492801159 \r \h </w:instrText>
      </w:r>
      <w:r w:rsidR="00EF280D">
        <w:rPr>
          <w:lang w:val="en-GB" w:eastAsia="en-GB"/>
        </w:rPr>
      </w:r>
      <w:r w:rsidR="00EF280D">
        <w:rPr>
          <w:lang w:val="en-GB" w:eastAsia="en-GB"/>
        </w:rPr>
        <w:fldChar w:fldCharType="separate"/>
      </w:r>
      <w:r w:rsidR="00755C24">
        <w:rPr>
          <w:lang w:val="en-GB" w:eastAsia="en-GB"/>
        </w:rPr>
        <w:t>[3]</w:t>
      </w:r>
      <w:r w:rsidR="00EF280D">
        <w:rPr>
          <w:lang w:val="en-GB" w:eastAsia="en-GB"/>
        </w:rPr>
        <w:fldChar w:fldCharType="end"/>
      </w:r>
      <w:r w:rsidR="00EF280D">
        <w:rPr>
          <w:lang w:val="en-GB" w:eastAsia="en-GB"/>
        </w:rPr>
        <w:t xml:space="preserve"> </w:t>
      </w:r>
      <w:r w:rsidR="00EF280D">
        <w:rPr>
          <w:lang w:val="en-GB" w:eastAsia="en-GB"/>
        </w:rPr>
        <w:fldChar w:fldCharType="begin"/>
      </w:r>
      <w:r w:rsidR="00EF280D">
        <w:rPr>
          <w:lang w:val="en-GB" w:eastAsia="en-GB"/>
        </w:rPr>
        <w:instrText xml:space="preserve"> REF _Ref498434143 \r \h </w:instrText>
      </w:r>
      <w:r w:rsidR="00EF280D">
        <w:rPr>
          <w:lang w:val="en-GB" w:eastAsia="en-GB"/>
        </w:rPr>
      </w:r>
      <w:r w:rsidR="00EF280D">
        <w:rPr>
          <w:lang w:val="en-GB" w:eastAsia="en-GB"/>
        </w:rPr>
        <w:fldChar w:fldCharType="separate"/>
      </w:r>
      <w:r w:rsidR="00755C24">
        <w:rPr>
          <w:lang w:val="en-GB" w:eastAsia="en-GB"/>
        </w:rPr>
        <w:t>[4]</w:t>
      </w:r>
      <w:r w:rsidR="00EF280D">
        <w:rPr>
          <w:lang w:val="en-GB" w:eastAsia="en-GB"/>
        </w:rPr>
        <w:fldChar w:fldCharType="end"/>
      </w:r>
      <w:r>
        <w:rPr>
          <w:lang w:val="en-GB" w:eastAsia="en-GB"/>
        </w:rPr>
        <w:t>, and whether the models in TR 38.901 are even appro</w:t>
      </w:r>
      <w:r w:rsidR="00C42A09">
        <w:rPr>
          <w:lang w:val="en-GB" w:eastAsia="en-GB"/>
        </w:rPr>
        <w:t>priate in the intended millimet</w:t>
      </w:r>
      <w:r>
        <w:rPr>
          <w:lang w:val="en-GB" w:eastAsia="en-GB"/>
        </w:rPr>
        <w:t>e</w:t>
      </w:r>
      <w:r w:rsidR="00C42A09">
        <w:rPr>
          <w:lang w:val="en-GB" w:eastAsia="en-GB"/>
        </w:rPr>
        <w:t>r</w:t>
      </w:r>
      <w:r>
        <w:rPr>
          <w:lang w:val="en-GB" w:eastAsia="en-GB"/>
        </w:rPr>
        <w:t xml:space="preserve"> wave operating conditions</w:t>
      </w:r>
      <w:r w:rsidR="00EF280D">
        <w:rPr>
          <w:lang w:val="en-GB" w:eastAsia="en-GB"/>
        </w:rPr>
        <w:t xml:space="preserve"> </w:t>
      </w:r>
      <w:r w:rsidR="00EF280D">
        <w:rPr>
          <w:lang w:val="en-GB" w:eastAsia="en-GB"/>
        </w:rPr>
        <w:fldChar w:fldCharType="begin"/>
      </w:r>
      <w:r w:rsidR="00EF280D">
        <w:rPr>
          <w:lang w:val="en-GB" w:eastAsia="en-GB"/>
        </w:rPr>
        <w:instrText xml:space="preserve"> REF _Ref498434488 \r \h </w:instrText>
      </w:r>
      <w:r w:rsidR="00EF280D">
        <w:rPr>
          <w:lang w:val="en-GB" w:eastAsia="en-GB"/>
        </w:rPr>
      </w:r>
      <w:r w:rsidR="00EF280D">
        <w:rPr>
          <w:lang w:val="en-GB" w:eastAsia="en-GB"/>
        </w:rPr>
        <w:fldChar w:fldCharType="separate"/>
      </w:r>
      <w:r w:rsidR="00755C24">
        <w:rPr>
          <w:lang w:val="en-GB" w:eastAsia="en-GB"/>
        </w:rPr>
        <w:t>[5]</w:t>
      </w:r>
      <w:r w:rsidR="00EF280D">
        <w:rPr>
          <w:lang w:val="en-GB" w:eastAsia="en-GB"/>
        </w:rPr>
        <w:fldChar w:fldCharType="end"/>
      </w:r>
      <w:r>
        <w:rPr>
          <w:lang w:val="en-GB" w:eastAsia="en-GB"/>
        </w:rPr>
        <w:t>.</w:t>
      </w:r>
    </w:p>
    <w:p w:rsidR="00A90FF9" w:rsidRDefault="00A90FF9" w:rsidP="00A90FF9">
      <w:pPr>
        <w:rPr>
          <w:lang w:val="en-GB" w:eastAsia="en-GB"/>
        </w:rPr>
      </w:pPr>
      <w:r>
        <w:rPr>
          <w:lang w:val="en-GB" w:eastAsia="en-GB"/>
        </w:rPr>
        <w:t xml:space="preserve">In </w:t>
      </w:r>
      <w:r w:rsidR="007876C6">
        <w:rPr>
          <w:lang w:val="en-GB" w:eastAsia="en-GB"/>
        </w:rPr>
        <w:fldChar w:fldCharType="begin"/>
      </w:r>
      <w:r w:rsidR="007876C6">
        <w:rPr>
          <w:lang w:val="en-GB" w:eastAsia="en-GB"/>
        </w:rPr>
        <w:instrText xml:space="preserve"> REF _Ref498434143 \r \h </w:instrText>
      </w:r>
      <w:r w:rsidR="007876C6">
        <w:rPr>
          <w:lang w:val="en-GB" w:eastAsia="en-GB"/>
        </w:rPr>
      </w:r>
      <w:r w:rsidR="007876C6">
        <w:rPr>
          <w:lang w:val="en-GB" w:eastAsia="en-GB"/>
        </w:rPr>
        <w:fldChar w:fldCharType="separate"/>
      </w:r>
      <w:r w:rsidR="00755C24">
        <w:rPr>
          <w:lang w:val="en-GB" w:eastAsia="en-GB"/>
        </w:rPr>
        <w:t>[4]</w:t>
      </w:r>
      <w:r w:rsidR="007876C6">
        <w:rPr>
          <w:lang w:val="en-GB" w:eastAsia="en-GB"/>
        </w:rPr>
        <w:fldChar w:fldCharType="end"/>
      </w:r>
      <w:r>
        <w:rPr>
          <w:lang w:val="en-GB" w:eastAsia="en-GB"/>
        </w:rPr>
        <w:t xml:space="preserve"> and related papers, a method is proposed in which a fairly large antenna array is used to create the illusion of multiple clusters propagating in directions representing the angles of arrival specified in the channel model specification. As part of this methodology, we presume that the Laplacian angular spectrum of each cluster is somehow recreated with some knowable degree of accuracy. Unfortunately, </w:t>
      </w:r>
      <w:r w:rsidR="00272FD8">
        <w:rPr>
          <w:lang w:val="en-GB" w:eastAsia="en-GB"/>
        </w:rPr>
        <w:t xml:space="preserve">there has not been a complete proposal showing </w:t>
      </w:r>
      <w:r>
        <w:rPr>
          <w:lang w:val="en-GB" w:eastAsia="en-GB"/>
        </w:rPr>
        <w:t>how this would work.</w:t>
      </w:r>
    </w:p>
    <w:p w:rsidR="00A90FF9" w:rsidRDefault="00A90FF9" w:rsidP="00A90FF9">
      <w:pPr>
        <w:rPr>
          <w:lang w:val="en-GB" w:eastAsia="en-GB"/>
        </w:rPr>
      </w:pPr>
      <w:r>
        <w:rPr>
          <w:lang w:val="en-GB" w:eastAsia="en-GB"/>
        </w:rPr>
        <w:t xml:space="preserve">In </w:t>
      </w:r>
      <w:r>
        <w:rPr>
          <w:lang w:val="en-GB" w:eastAsia="en-GB"/>
        </w:rPr>
        <w:fldChar w:fldCharType="begin"/>
      </w:r>
      <w:r>
        <w:rPr>
          <w:lang w:val="en-GB" w:eastAsia="en-GB"/>
        </w:rPr>
        <w:instrText xml:space="preserve"> REF _Ref492801159 \r \h </w:instrText>
      </w:r>
      <w:r>
        <w:rPr>
          <w:lang w:val="en-GB" w:eastAsia="en-GB"/>
        </w:rPr>
      </w:r>
      <w:r>
        <w:rPr>
          <w:lang w:val="en-GB" w:eastAsia="en-GB"/>
        </w:rPr>
        <w:fldChar w:fldCharType="separate"/>
      </w:r>
      <w:r w:rsidR="00755C24">
        <w:rPr>
          <w:lang w:val="en-GB" w:eastAsia="en-GB"/>
        </w:rPr>
        <w:t>[3]</w:t>
      </w:r>
      <w:r>
        <w:rPr>
          <w:lang w:val="en-GB" w:eastAsia="en-GB"/>
        </w:rPr>
        <w:fldChar w:fldCharType="end"/>
      </w:r>
      <w:r>
        <w:rPr>
          <w:lang w:val="en-GB" w:eastAsia="en-GB"/>
        </w:rPr>
        <w:t xml:space="preserve">, the question was </w:t>
      </w:r>
      <w:r w:rsidR="00EF280D">
        <w:rPr>
          <w:lang w:val="en-GB" w:eastAsia="en-GB"/>
        </w:rPr>
        <w:t>posed asking</w:t>
      </w:r>
      <w:r>
        <w:rPr>
          <w:lang w:val="en-GB" w:eastAsia="en-GB"/>
        </w:rPr>
        <w:t xml:space="preserve"> what would be lost if, instead of an accurate representation of the Laplacian angular spectrum, all rays in the discrete Laplacian were “collapsed” into a single angle of arrival. This would be implemented by a single OTA probe per cluster (two antennas to recreate polarization effects). </w:t>
      </w:r>
      <w:r w:rsidR="007876C6">
        <w:rPr>
          <w:lang w:val="en-GB" w:eastAsia="en-GB"/>
        </w:rPr>
        <w:t xml:space="preserve">The justification </w:t>
      </w:r>
      <w:r w:rsidR="00C42A09">
        <w:rPr>
          <w:lang w:val="en-GB" w:eastAsia="en-GB"/>
        </w:rPr>
        <w:t xml:space="preserve">was </w:t>
      </w:r>
      <w:r w:rsidR="007876C6">
        <w:rPr>
          <w:lang w:val="en-GB" w:eastAsia="en-GB"/>
        </w:rPr>
        <w:t xml:space="preserve">that per cluster angular spreads are rather narrow; additionally, due to beamforming, spatial discrimination of antenna arrays is much narrower than for below 6 GHz bands. </w:t>
      </w:r>
      <w:r>
        <w:rPr>
          <w:lang w:val="en-GB" w:eastAsia="en-GB"/>
        </w:rPr>
        <w:t>Many results were presented, answering “what-if” questions for various</w:t>
      </w:r>
      <w:r w:rsidR="007876C6">
        <w:rPr>
          <w:lang w:val="en-GB" w:eastAsia="en-GB"/>
        </w:rPr>
        <w:t xml:space="preserve"> candidate techniques for producing reduced-</w:t>
      </w:r>
      <w:r>
        <w:rPr>
          <w:lang w:val="en-GB" w:eastAsia="en-GB"/>
        </w:rPr>
        <w:t>complexity channel models</w:t>
      </w:r>
      <w:r w:rsidR="007876C6">
        <w:rPr>
          <w:lang w:val="en-GB" w:eastAsia="en-GB"/>
        </w:rPr>
        <w:t xml:space="preserve"> (models described in </w:t>
      </w:r>
      <w:r w:rsidR="007876C6">
        <w:rPr>
          <w:lang w:val="en-GB" w:eastAsia="en-GB"/>
        </w:rPr>
        <w:fldChar w:fldCharType="begin"/>
      </w:r>
      <w:r w:rsidR="007876C6">
        <w:rPr>
          <w:lang w:val="en-GB" w:eastAsia="en-GB"/>
        </w:rPr>
        <w:instrText xml:space="preserve"> REF _Ref498435033 \r \h </w:instrText>
      </w:r>
      <w:r w:rsidR="007876C6">
        <w:rPr>
          <w:lang w:val="en-GB" w:eastAsia="en-GB"/>
        </w:rPr>
      </w:r>
      <w:r w:rsidR="007876C6">
        <w:rPr>
          <w:lang w:val="en-GB" w:eastAsia="en-GB"/>
        </w:rPr>
        <w:fldChar w:fldCharType="separate"/>
      </w:r>
      <w:r w:rsidR="00755C24">
        <w:rPr>
          <w:lang w:val="en-GB" w:eastAsia="en-GB"/>
        </w:rPr>
        <w:t>[6]</w:t>
      </w:r>
      <w:r w:rsidR="007876C6">
        <w:rPr>
          <w:lang w:val="en-GB" w:eastAsia="en-GB"/>
        </w:rPr>
        <w:fldChar w:fldCharType="end"/>
      </w:r>
      <w:r w:rsidR="007876C6">
        <w:rPr>
          <w:lang w:val="en-GB" w:eastAsia="en-GB"/>
        </w:rPr>
        <w:t>)</w:t>
      </w:r>
      <w:r>
        <w:rPr>
          <w:lang w:val="en-GB" w:eastAsia="en-GB"/>
        </w:rPr>
        <w:t>. It was found that the single probe per cluster methodology</w:t>
      </w:r>
      <w:r w:rsidR="00D90020">
        <w:rPr>
          <w:lang w:val="en-GB" w:eastAsia="en-GB"/>
        </w:rPr>
        <w:t>, as simulated using the “modified zero ASA” technique,</w:t>
      </w:r>
      <w:r>
        <w:rPr>
          <w:lang w:val="en-GB" w:eastAsia="en-GB"/>
        </w:rPr>
        <w:t xml:space="preserve"> </w:t>
      </w:r>
      <w:r w:rsidR="00C42A09">
        <w:rPr>
          <w:lang w:val="en-GB" w:eastAsia="en-GB"/>
        </w:rPr>
        <w:t>could potentially work</w:t>
      </w:r>
      <w:r>
        <w:rPr>
          <w:lang w:val="en-GB" w:eastAsia="en-GB"/>
        </w:rPr>
        <w:t>.</w:t>
      </w:r>
    </w:p>
    <w:p w:rsidR="00A90FF9" w:rsidRDefault="00A90FF9" w:rsidP="00A90FF9">
      <w:pPr>
        <w:rPr>
          <w:lang w:val="en-GB" w:eastAsia="en-GB"/>
        </w:rPr>
      </w:pPr>
      <w:r>
        <w:rPr>
          <w:lang w:val="en-GB" w:eastAsia="en-GB"/>
        </w:rPr>
        <w:t>A drawback of</w:t>
      </w:r>
      <w:r w:rsidR="00B21C24">
        <w:rPr>
          <w:lang w:val="en-GB" w:eastAsia="en-GB"/>
        </w:rPr>
        <w:t xml:space="preserve"> </w:t>
      </w:r>
      <w:r w:rsidR="00B21C24">
        <w:rPr>
          <w:lang w:val="en-GB" w:eastAsia="en-GB"/>
        </w:rPr>
        <w:fldChar w:fldCharType="begin"/>
      </w:r>
      <w:r w:rsidR="00B21C24">
        <w:rPr>
          <w:lang w:val="en-GB" w:eastAsia="en-GB"/>
        </w:rPr>
        <w:instrText xml:space="preserve"> REF _Ref492801159 \r \h </w:instrText>
      </w:r>
      <w:r w:rsidR="00B21C24">
        <w:rPr>
          <w:lang w:val="en-GB" w:eastAsia="en-GB"/>
        </w:rPr>
      </w:r>
      <w:r w:rsidR="00B21C24">
        <w:rPr>
          <w:lang w:val="en-GB" w:eastAsia="en-GB"/>
        </w:rPr>
        <w:fldChar w:fldCharType="separate"/>
      </w:r>
      <w:r w:rsidR="00755C24">
        <w:rPr>
          <w:lang w:val="en-GB" w:eastAsia="en-GB"/>
        </w:rPr>
        <w:t>[3]</w:t>
      </w:r>
      <w:r w:rsidR="00B21C24">
        <w:rPr>
          <w:lang w:val="en-GB" w:eastAsia="en-GB"/>
        </w:rPr>
        <w:fldChar w:fldCharType="end"/>
      </w:r>
      <w:r w:rsidR="00B21C24">
        <w:rPr>
          <w:lang w:val="en-GB" w:eastAsia="en-GB"/>
        </w:rPr>
        <w:t xml:space="preserve"> </w:t>
      </w:r>
      <w:r>
        <w:rPr>
          <w:lang w:val="en-GB" w:eastAsia="en-GB"/>
        </w:rPr>
        <w:t xml:space="preserve">is that it assumed that if a UEs possessed eight antennas, it was therefore capable of receiving eight layers. In fact, </w:t>
      </w:r>
      <w:r w:rsidR="00D90020">
        <w:rPr>
          <w:lang w:val="en-GB" w:eastAsia="en-GB"/>
        </w:rPr>
        <w:t xml:space="preserve">UEs were expected to support only two spatial layers, hence </w:t>
      </w:r>
      <w:r>
        <w:rPr>
          <w:lang w:val="en-GB" w:eastAsia="en-GB"/>
        </w:rPr>
        <w:t xml:space="preserve">a more likely implementation would be two subarrays of four antenna elements each. </w:t>
      </w:r>
      <w:r w:rsidR="00B21C24">
        <w:rPr>
          <w:lang w:val="en-GB" w:eastAsia="en-GB"/>
        </w:rPr>
        <w:t>O</w:t>
      </w:r>
      <w:r>
        <w:rPr>
          <w:lang w:val="en-GB" w:eastAsia="en-GB"/>
        </w:rPr>
        <w:t>ne outcome</w:t>
      </w:r>
      <w:r w:rsidR="00B21C24">
        <w:rPr>
          <w:lang w:val="en-GB" w:eastAsia="en-GB"/>
        </w:rPr>
        <w:t xml:space="preserve"> from the meeting</w:t>
      </w:r>
      <w:r>
        <w:rPr>
          <w:lang w:val="en-GB" w:eastAsia="en-GB"/>
        </w:rPr>
        <w:t xml:space="preserve"> was the WF agreeing that two layers is the right dimension for the UE receiver</w:t>
      </w:r>
      <w:r w:rsidR="00B21C24">
        <w:rPr>
          <w:lang w:val="en-GB" w:eastAsia="en-GB"/>
        </w:rPr>
        <w:t xml:space="preserve"> </w:t>
      </w:r>
      <w:r w:rsidR="00B21C24">
        <w:rPr>
          <w:lang w:val="en-GB" w:eastAsia="en-GB"/>
        </w:rPr>
        <w:fldChar w:fldCharType="begin"/>
      </w:r>
      <w:r w:rsidR="00B21C24">
        <w:rPr>
          <w:lang w:val="en-GB" w:eastAsia="en-GB"/>
        </w:rPr>
        <w:instrText xml:space="preserve"> REF _Ref498435228 \r \h </w:instrText>
      </w:r>
      <w:r w:rsidR="00B21C24">
        <w:rPr>
          <w:lang w:val="en-GB" w:eastAsia="en-GB"/>
        </w:rPr>
      </w:r>
      <w:r w:rsidR="00B21C24">
        <w:rPr>
          <w:lang w:val="en-GB" w:eastAsia="en-GB"/>
        </w:rPr>
        <w:fldChar w:fldCharType="separate"/>
      </w:r>
      <w:r w:rsidR="00755C24">
        <w:rPr>
          <w:lang w:val="en-GB" w:eastAsia="en-GB"/>
        </w:rPr>
        <w:t>[7]</w:t>
      </w:r>
      <w:r w:rsidR="00B21C24">
        <w:rPr>
          <w:lang w:val="en-GB" w:eastAsia="en-GB"/>
        </w:rPr>
        <w:fldChar w:fldCharType="end"/>
      </w:r>
      <w:r>
        <w:rPr>
          <w:lang w:val="en-GB" w:eastAsia="en-GB"/>
        </w:rPr>
        <w:t>.</w:t>
      </w:r>
    </w:p>
    <w:p w:rsidR="00A90FF9" w:rsidRDefault="00A90FF9" w:rsidP="00A90FF9">
      <w:pPr>
        <w:rPr>
          <w:lang w:val="en-GB" w:eastAsia="en-GB"/>
        </w:rPr>
      </w:pPr>
      <w:r>
        <w:rPr>
          <w:lang w:val="en-GB" w:eastAsia="en-GB"/>
        </w:rPr>
        <w:t xml:space="preserve">Another drawback was the specific choice of </w:t>
      </w:r>
      <w:r w:rsidR="004D4E4F">
        <w:rPr>
          <w:lang w:val="en-GB" w:eastAsia="en-GB"/>
        </w:rPr>
        <w:t xml:space="preserve">Shannon channel </w:t>
      </w:r>
      <w:r>
        <w:rPr>
          <w:lang w:val="en-GB" w:eastAsia="en-GB"/>
        </w:rPr>
        <w:t>capacity metric. The metric assumed that the channel was known perfectly to the receiver but unknown to the transmitter</w:t>
      </w:r>
      <w:r w:rsidR="00B21C24">
        <w:rPr>
          <w:lang w:val="en-GB" w:eastAsia="en-GB"/>
        </w:rPr>
        <w:t xml:space="preserve"> </w:t>
      </w:r>
      <w:r w:rsidR="00B21C24">
        <w:rPr>
          <w:lang w:val="en-GB" w:eastAsia="en-GB"/>
        </w:rPr>
        <w:fldChar w:fldCharType="begin"/>
      </w:r>
      <w:r w:rsidR="00B21C24">
        <w:rPr>
          <w:lang w:val="en-GB" w:eastAsia="en-GB"/>
        </w:rPr>
        <w:instrText xml:space="preserve"> REF _Ref489344737 \r \h </w:instrText>
      </w:r>
      <w:r w:rsidR="00B21C24">
        <w:rPr>
          <w:lang w:val="en-GB" w:eastAsia="en-GB"/>
        </w:rPr>
      </w:r>
      <w:r w:rsidR="00B21C24">
        <w:rPr>
          <w:lang w:val="en-GB" w:eastAsia="en-GB"/>
        </w:rPr>
        <w:fldChar w:fldCharType="separate"/>
      </w:r>
      <w:r w:rsidR="00755C24">
        <w:rPr>
          <w:lang w:val="en-GB" w:eastAsia="en-GB"/>
        </w:rPr>
        <w:t>[8]</w:t>
      </w:r>
      <w:r w:rsidR="00B21C24">
        <w:rPr>
          <w:lang w:val="en-GB" w:eastAsia="en-GB"/>
        </w:rPr>
        <w:fldChar w:fldCharType="end"/>
      </w:r>
      <w:r>
        <w:rPr>
          <w:lang w:val="en-GB" w:eastAsia="en-GB"/>
        </w:rPr>
        <w:t xml:space="preserve">. A somewhat more </w:t>
      </w:r>
      <w:r>
        <w:rPr>
          <w:lang w:val="en-GB" w:eastAsia="en-GB"/>
        </w:rPr>
        <w:lastRenderedPageBreak/>
        <w:t>complicated metric that assumes the channel is known at the transmitter is believe</w:t>
      </w:r>
      <w:r w:rsidR="00272FD8">
        <w:rPr>
          <w:lang w:val="en-GB" w:eastAsia="en-GB"/>
        </w:rPr>
        <w:t>d</w:t>
      </w:r>
      <w:r>
        <w:rPr>
          <w:lang w:val="en-GB" w:eastAsia="en-GB"/>
        </w:rPr>
        <w:t xml:space="preserve"> to be more appropriate for these comparisons</w:t>
      </w:r>
      <w:r w:rsidR="007D4BC9">
        <w:rPr>
          <w:lang w:val="en-GB" w:eastAsia="en-GB"/>
        </w:rPr>
        <w:t xml:space="preserve">. This is described in a companion paper </w:t>
      </w:r>
      <w:r w:rsidR="007D4BC9">
        <w:rPr>
          <w:lang w:val="en-GB" w:eastAsia="en-GB"/>
        </w:rPr>
        <w:fldChar w:fldCharType="begin"/>
      </w:r>
      <w:r w:rsidR="007D4BC9">
        <w:rPr>
          <w:lang w:val="en-GB" w:eastAsia="en-GB"/>
        </w:rPr>
        <w:instrText xml:space="preserve"> REF _Ref498435537 \r \h </w:instrText>
      </w:r>
      <w:r w:rsidR="007D4BC9">
        <w:rPr>
          <w:lang w:val="en-GB" w:eastAsia="en-GB"/>
        </w:rPr>
      </w:r>
      <w:r w:rsidR="007D4BC9">
        <w:rPr>
          <w:lang w:val="en-GB" w:eastAsia="en-GB"/>
        </w:rPr>
        <w:fldChar w:fldCharType="separate"/>
      </w:r>
      <w:r w:rsidR="00755C24">
        <w:rPr>
          <w:lang w:val="en-GB" w:eastAsia="en-GB"/>
        </w:rPr>
        <w:t>[9]</w:t>
      </w:r>
      <w:r w:rsidR="007D4BC9">
        <w:rPr>
          <w:lang w:val="en-GB" w:eastAsia="en-GB"/>
        </w:rPr>
        <w:fldChar w:fldCharType="end"/>
      </w:r>
      <w:r w:rsidR="007D4BC9">
        <w:rPr>
          <w:lang w:val="en-GB" w:eastAsia="en-GB"/>
        </w:rPr>
        <w:t>.</w:t>
      </w:r>
    </w:p>
    <w:p w:rsidR="00A90FF9" w:rsidRDefault="00A90FF9" w:rsidP="00A90FF9">
      <w:pPr>
        <w:rPr>
          <w:lang w:val="en-GB" w:eastAsia="en-GB"/>
        </w:rPr>
      </w:pPr>
      <w:r>
        <w:rPr>
          <w:lang w:val="en-GB" w:eastAsia="en-GB"/>
        </w:rPr>
        <w:t xml:space="preserve">In this paper, </w:t>
      </w:r>
      <w:r w:rsidR="009A1EB5">
        <w:rPr>
          <w:lang w:val="en-GB" w:eastAsia="en-GB"/>
        </w:rPr>
        <w:t>we examine the capacity for the CDLs from</w:t>
      </w:r>
      <w:r w:rsidR="00C42A09">
        <w:rPr>
          <w:lang w:val="en-GB" w:eastAsia="en-GB"/>
        </w:rPr>
        <w:t xml:space="preserve"> </w:t>
      </w:r>
      <w:r w:rsidR="00C42A09">
        <w:rPr>
          <w:lang w:val="en-GB" w:eastAsia="en-GB"/>
        </w:rPr>
        <w:fldChar w:fldCharType="begin"/>
      </w:r>
      <w:r w:rsidR="00C42A09">
        <w:rPr>
          <w:lang w:val="en-GB" w:eastAsia="en-GB"/>
        </w:rPr>
        <w:instrText xml:space="preserve"> REF _Ref498509603 \w \h </w:instrText>
      </w:r>
      <w:r w:rsidR="00C42A09">
        <w:rPr>
          <w:lang w:val="en-GB" w:eastAsia="en-GB"/>
        </w:rPr>
      </w:r>
      <w:r w:rsidR="00C42A09">
        <w:rPr>
          <w:lang w:val="en-GB" w:eastAsia="en-GB"/>
        </w:rPr>
        <w:fldChar w:fldCharType="separate"/>
      </w:r>
      <w:r w:rsidR="00755C24">
        <w:rPr>
          <w:lang w:val="en-GB" w:eastAsia="en-GB"/>
        </w:rPr>
        <w:t>[1]</w:t>
      </w:r>
      <w:r w:rsidR="00C42A09">
        <w:rPr>
          <w:lang w:val="en-GB" w:eastAsia="en-GB"/>
        </w:rPr>
        <w:fldChar w:fldCharType="end"/>
      </w:r>
      <w:r w:rsidR="009A1EB5">
        <w:rPr>
          <w:lang w:val="en-GB" w:eastAsia="en-GB"/>
        </w:rPr>
        <w:t xml:space="preserve">, using the ideal model, and the single probe per cluster model (“modified zero ASA”) </w:t>
      </w:r>
      <w:r w:rsidR="007D4BC9">
        <w:rPr>
          <w:lang w:val="en-GB" w:eastAsia="en-GB"/>
        </w:rPr>
        <w:fldChar w:fldCharType="begin"/>
      </w:r>
      <w:r w:rsidR="007D4BC9">
        <w:rPr>
          <w:lang w:val="en-GB" w:eastAsia="en-GB"/>
        </w:rPr>
        <w:instrText xml:space="preserve"> REF _Ref498435033 \r \h </w:instrText>
      </w:r>
      <w:r w:rsidR="007D4BC9">
        <w:rPr>
          <w:lang w:val="en-GB" w:eastAsia="en-GB"/>
        </w:rPr>
      </w:r>
      <w:r w:rsidR="007D4BC9">
        <w:rPr>
          <w:lang w:val="en-GB" w:eastAsia="en-GB"/>
        </w:rPr>
        <w:fldChar w:fldCharType="separate"/>
      </w:r>
      <w:r w:rsidR="00755C24">
        <w:rPr>
          <w:lang w:val="en-GB" w:eastAsia="en-GB"/>
        </w:rPr>
        <w:t>[6]</w:t>
      </w:r>
      <w:r w:rsidR="007D4BC9">
        <w:rPr>
          <w:lang w:val="en-GB" w:eastAsia="en-GB"/>
        </w:rPr>
        <w:fldChar w:fldCharType="end"/>
      </w:r>
      <w:r w:rsidR="009A1EB5">
        <w:rPr>
          <w:lang w:val="en-GB" w:eastAsia="en-GB"/>
        </w:rPr>
        <w:t xml:space="preserve">. The UE antenna model is examined and selected; this is described in detail in </w:t>
      </w:r>
      <w:r w:rsidR="0014356E">
        <w:rPr>
          <w:lang w:val="en-GB" w:eastAsia="en-GB"/>
        </w:rPr>
        <w:t>S</w:t>
      </w:r>
      <w:r w:rsidR="009A1EB5">
        <w:rPr>
          <w:lang w:val="en-GB" w:eastAsia="en-GB"/>
        </w:rPr>
        <w:t>ection</w:t>
      </w:r>
      <w:r w:rsidR="0014356E">
        <w:rPr>
          <w:lang w:val="en-GB" w:eastAsia="en-GB"/>
        </w:rPr>
        <w:t xml:space="preserve"> 3.1</w:t>
      </w:r>
      <w:r w:rsidR="009A1EB5">
        <w:rPr>
          <w:lang w:val="en-GB" w:eastAsia="en-GB"/>
        </w:rPr>
        <w:t>.</w:t>
      </w:r>
    </w:p>
    <w:p w:rsidR="0014356E" w:rsidRDefault="0014356E" w:rsidP="0014356E">
      <w:pPr>
        <w:pStyle w:val="Heading1"/>
      </w:pPr>
      <w:r>
        <w:t>3</w:t>
      </w:r>
      <w:r>
        <w:tab/>
        <w:t>Simulation Conditions</w:t>
      </w:r>
    </w:p>
    <w:p w:rsidR="0014356E" w:rsidRDefault="00741748" w:rsidP="0014356E">
      <w:pPr>
        <w:rPr>
          <w:lang w:val="en-GB" w:eastAsia="en-GB"/>
        </w:rPr>
      </w:pPr>
      <w:r>
        <w:rPr>
          <w:lang w:val="en-GB" w:eastAsia="en-GB"/>
        </w:rPr>
        <w:t xml:space="preserve">Simulation conditions are identical to those described in </w:t>
      </w:r>
      <w:r>
        <w:rPr>
          <w:lang w:val="en-GB" w:eastAsia="en-GB"/>
        </w:rPr>
        <w:fldChar w:fldCharType="begin"/>
      </w:r>
      <w:r>
        <w:rPr>
          <w:lang w:val="en-GB" w:eastAsia="en-GB"/>
        </w:rPr>
        <w:instrText xml:space="preserve"> REF _Ref492801159 \w \h </w:instrText>
      </w:r>
      <w:r>
        <w:rPr>
          <w:lang w:val="en-GB" w:eastAsia="en-GB"/>
        </w:rPr>
      </w:r>
      <w:r>
        <w:rPr>
          <w:lang w:val="en-GB" w:eastAsia="en-GB"/>
        </w:rPr>
        <w:fldChar w:fldCharType="separate"/>
      </w:r>
      <w:r w:rsidR="00755C24">
        <w:rPr>
          <w:lang w:val="en-GB" w:eastAsia="en-GB"/>
        </w:rPr>
        <w:t>[3]</w:t>
      </w:r>
      <w:r>
        <w:rPr>
          <w:lang w:val="en-GB" w:eastAsia="en-GB"/>
        </w:rPr>
        <w:fldChar w:fldCharType="end"/>
      </w:r>
      <w:r>
        <w:rPr>
          <w:lang w:val="en-GB" w:eastAsia="en-GB"/>
        </w:rPr>
        <w:t>, except as described in the next subsections. To reiterate, the primary goal is to evaluate the effects of spatial conditions and the differences between the ideal and the single probe per cluster methodology. For that reason,</w:t>
      </w:r>
    </w:p>
    <w:p w:rsidR="00741748" w:rsidRDefault="00741748" w:rsidP="00741748">
      <w:pPr>
        <w:pStyle w:val="ListParagraph"/>
        <w:numPr>
          <w:ilvl w:val="0"/>
          <w:numId w:val="12"/>
        </w:numPr>
        <w:rPr>
          <w:lang w:val="en-GB"/>
        </w:rPr>
      </w:pPr>
      <w:r w:rsidRPr="00B76BAA">
        <w:rPr>
          <w:lang w:val="en-GB"/>
        </w:rPr>
        <w:t>Fading is modelled, but channel realizations are produced at a sampling rate much slower than the coherence time. This ensures there is no time correlation between realizations, and allows shorter simulation runs.</w:t>
      </w:r>
    </w:p>
    <w:p w:rsidR="00741748" w:rsidRPr="00B76BAA" w:rsidRDefault="00741748" w:rsidP="00272FD8">
      <w:pPr>
        <w:pStyle w:val="ListParagraph"/>
        <w:numPr>
          <w:ilvl w:val="0"/>
          <w:numId w:val="12"/>
        </w:numPr>
        <w:spacing w:after="120"/>
        <w:rPr>
          <w:lang w:val="en-GB"/>
        </w:rPr>
      </w:pPr>
      <w:r w:rsidRPr="00B76BAA">
        <w:rPr>
          <w:lang w:val="en-GB"/>
        </w:rPr>
        <w:t xml:space="preserve">Multipath effects are modelled through the power delay profile of the CDL, but capacity and condition number are evaluated at only a single frequency per channel realization, </w:t>
      </w:r>
      <w:r>
        <w:rPr>
          <w:lang w:val="en-GB"/>
        </w:rPr>
        <w:t xml:space="preserve">so </w:t>
      </w:r>
      <w:r w:rsidRPr="00B76BAA">
        <w:rPr>
          <w:lang w:val="en-GB"/>
        </w:rPr>
        <w:t xml:space="preserve">frequency correlation </w:t>
      </w:r>
      <w:r>
        <w:rPr>
          <w:lang w:val="en-GB"/>
        </w:rPr>
        <w:t>does not affect</w:t>
      </w:r>
      <w:r w:rsidRPr="00B76BAA">
        <w:rPr>
          <w:lang w:val="en-GB"/>
        </w:rPr>
        <w:t xml:space="preserve"> the result.</w:t>
      </w:r>
    </w:p>
    <w:p w:rsidR="00741748" w:rsidRPr="0014356E" w:rsidRDefault="00741748" w:rsidP="0014356E">
      <w:pPr>
        <w:rPr>
          <w:lang w:val="en-GB" w:eastAsia="en-GB"/>
        </w:rPr>
      </w:pPr>
      <w:r>
        <w:rPr>
          <w:lang w:val="en-GB" w:eastAsia="en-GB"/>
        </w:rPr>
        <w:t>Both fading and multipath are important to overall performance, and any actual implementation of this methodology must provide these effects. Fading and multipath are relatively easy to create using a channel emulator; it’s the spatial effects which are new and difficult at millimeter-wave frequencies.</w:t>
      </w:r>
    </w:p>
    <w:p w:rsidR="004D4E4F" w:rsidRDefault="0014356E" w:rsidP="004D4E4F">
      <w:pPr>
        <w:pStyle w:val="Heading2"/>
      </w:pPr>
      <w:r>
        <w:t>3</w:t>
      </w:r>
      <w:r w:rsidR="004D4E4F">
        <w:t>.1</w:t>
      </w:r>
      <w:r w:rsidR="004D4E4F">
        <w:tab/>
        <w:t>UE Antenna Array</w:t>
      </w:r>
    </w:p>
    <w:p w:rsidR="004D4E4F" w:rsidRDefault="004D4E4F" w:rsidP="004D4E4F">
      <w:pPr>
        <w:rPr>
          <w:lang w:val="en-GB" w:eastAsia="en-GB"/>
        </w:rPr>
      </w:pPr>
      <w:r>
        <w:rPr>
          <w:lang w:val="en-GB" w:eastAsia="en-GB"/>
        </w:rPr>
        <w:t xml:space="preserve">As mentioned above, </w:t>
      </w:r>
      <w:r w:rsidR="00CF1EE8">
        <w:rPr>
          <w:lang w:val="en-GB" w:eastAsia="en-GB"/>
        </w:rPr>
        <w:fldChar w:fldCharType="begin"/>
      </w:r>
      <w:r w:rsidR="00CF1EE8">
        <w:rPr>
          <w:lang w:val="en-GB" w:eastAsia="en-GB"/>
        </w:rPr>
        <w:instrText xml:space="preserve"> REF _Ref492801159 \r \h </w:instrText>
      </w:r>
      <w:r w:rsidR="00CF1EE8">
        <w:rPr>
          <w:lang w:val="en-GB" w:eastAsia="en-GB"/>
        </w:rPr>
      </w:r>
      <w:r w:rsidR="00CF1EE8">
        <w:rPr>
          <w:lang w:val="en-GB" w:eastAsia="en-GB"/>
        </w:rPr>
        <w:fldChar w:fldCharType="separate"/>
      </w:r>
      <w:r w:rsidR="00755C24">
        <w:rPr>
          <w:lang w:val="en-GB" w:eastAsia="en-GB"/>
        </w:rPr>
        <w:t>[3]</w:t>
      </w:r>
      <w:r w:rsidR="00CF1EE8">
        <w:rPr>
          <w:lang w:val="en-GB" w:eastAsia="en-GB"/>
        </w:rPr>
        <w:fldChar w:fldCharType="end"/>
      </w:r>
      <w:r w:rsidR="00CF1EE8">
        <w:rPr>
          <w:lang w:val="en-GB" w:eastAsia="en-GB"/>
        </w:rPr>
        <w:t xml:space="preserve"> </w:t>
      </w:r>
      <w:r>
        <w:rPr>
          <w:lang w:val="en-GB" w:eastAsia="en-GB"/>
        </w:rPr>
        <w:t>assumed the eight-element UE antenna array could support one layer per antenna, for a total of eight layers. Recognizing that mmWave UEs would operate with two layers raises the question of how to treat the eight antenna elements when computing Shannon channel capacity. If we use all eight antennas in the capacity computation, it produce</w:t>
      </w:r>
      <w:r w:rsidR="00272FD8">
        <w:rPr>
          <w:lang w:val="en-GB" w:eastAsia="en-GB"/>
        </w:rPr>
        <w:t>s</w:t>
      </w:r>
      <w:r>
        <w:rPr>
          <w:lang w:val="en-GB" w:eastAsia="en-GB"/>
        </w:rPr>
        <w:t xml:space="preserve"> unrealistically high values: it produce</w:t>
      </w:r>
      <w:r w:rsidR="008F1F1A">
        <w:rPr>
          <w:lang w:val="en-GB" w:eastAsia="en-GB"/>
        </w:rPr>
        <w:t>s</w:t>
      </w:r>
      <w:r>
        <w:rPr>
          <w:lang w:val="en-GB" w:eastAsia="en-GB"/>
        </w:rPr>
        <w:t xml:space="preserve"> the capacity possible with eight independent antennas, not a group of eight antennas organized as two subarrays.</w:t>
      </w:r>
    </w:p>
    <w:p w:rsidR="00834D2F" w:rsidRDefault="00834D2F" w:rsidP="004D4E4F">
      <w:pPr>
        <w:rPr>
          <w:lang w:val="en-GB" w:eastAsia="en-GB"/>
        </w:rPr>
      </w:pPr>
      <w:r>
        <w:rPr>
          <w:lang w:val="en-GB" w:eastAsia="en-GB"/>
        </w:rPr>
        <w:t xml:space="preserve">For this reason, the antenna model for the UE array must be carefully </w:t>
      </w:r>
      <w:r w:rsidR="00CF1EE8">
        <w:rPr>
          <w:lang w:val="en-GB" w:eastAsia="en-GB"/>
        </w:rPr>
        <w:t>considered</w:t>
      </w:r>
      <w:r>
        <w:rPr>
          <w:lang w:val="en-GB" w:eastAsia="en-GB"/>
        </w:rPr>
        <w:t>. One possibility is to model the UE array as two ideal dipole antennas. But because the two dipoles are close to omnidirectional, this configuration will likely produce high estimates of capacity, as such an array would capture energy from more clusters</w:t>
      </w:r>
      <w:r w:rsidR="00CF1EE8">
        <w:rPr>
          <w:lang w:val="en-GB" w:eastAsia="en-GB"/>
        </w:rPr>
        <w:t>. A</w:t>
      </w:r>
      <w:r w:rsidR="00FD3162">
        <w:rPr>
          <w:lang w:val="en-GB" w:eastAsia="en-GB"/>
        </w:rPr>
        <w:t>lso</w:t>
      </w:r>
      <w:r w:rsidR="00CF1EE8">
        <w:rPr>
          <w:lang w:val="en-GB" w:eastAsia="en-GB"/>
        </w:rPr>
        <w:t>,</w:t>
      </w:r>
      <w:r w:rsidR="00FD3162">
        <w:rPr>
          <w:lang w:val="en-GB" w:eastAsia="en-GB"/>
        </w:rPr>
        <w:t xml:space="preserve"> </w:t>
      </w:r>
      <w:r w:rsidR="00CF1EE8">
        <w:rPr>
          <w:lang w:val="en-GB" w:eastAsia="en-GB"/>
        </w:rPr>
        <w:t xml:space="preserve">it </w:t>
      </w:r>
      <w:r w:rsidR="00FD3162">
        <w:rPr>
          <w:lang w:val="en-GB" w:eastAsia="en-GB"/>
        </w:rPr>
        <w:t>does not correctly represent the spatial discrimination of the UE array</w:t>
      </w:r>
      <w:r>
        <w:rPr>
          <w:lang w:val="en-GB" w:eastAsia="en-GB"/>
        </w:rPr>
        <w:t>.</w:t>
      </w:r>
    </w:p>
    <w:p w:rsidR="00834D2F" w:rsidRDefault="00834D2F" w:rsidP="004D4E4F">
      <w:pPr>
        <w:rPr>
          <w:lang w:val="en-GB" w:eastAsia="en-GB"/>
        </w:rPr>
      </w:pPr>
      <w:r>
        <w:rPr>
          <w:lang w:val="en-GB" w:eastAsia="en-GB"/>
        </w:rPr>
        <w:t xml:space="preserve">Another option is to model two 4-element </w:t>
      </w:r>
      <w:r w:rsidR="00FD3162">
        <w:rPr>
          <w:lang w:val="en-GB" w:eastAsia="en-GB"/>
        </w:rPr>
        <w:t>sub</w:t>
      </w:r>
      <w:r>
        <w:rPr>
          <w:lang w:val="en-GB" w:eastAsia="en-GB"/>
        </w:rPr>
        <w:t>arrays</w:t>
      </w:r>
      <w:r w:rsidR="00FD3162">
        <w:rPr>
          <w:lang w:val="en-GB" w:eastAsia="en-GB"/>
        </w:rPr>
        <w:t xml:space="preserve">, such as depicted in </w:t>
      </w:r>
      <w:r w:rsidR="00FD3162">
        <w:rPr>
          <w:lang w:val="en-GB" w:eastAsia="en-GB"/>
        </w:rPr>
        <w:fldChar w:fldCharType="begin"/>
      </w:r>
      <w:r w:rsidR="00FD3162">
        <w:rPr>
          <w:lang w:val="en-GB" w:eastAsia="en-GB"/>
        </w:rPr>
        <w:instrText xml:space="preserve"> REF _Ref488406004 \r \h </w:instrText>
      </w:r>
      <w:r w:rsidR="00FD3162">
        <w:rPr>
          <w:lang w:val="en-GB" w:eastAsia="en-GB"/>
        </w:rPr>
      </w:r>
      <w:r w:rsidR="00FD3162">
        <w:rPr>
          <w:lang w:val="en-GB" w:eastAsia="en-GB"/>
        </w:rPr>
        <w:fldChar w:fldCharType="separate"/>
      </w:r>
      <w:r w:rsidR="00755C24">
        <w:rPr>
          <w:lang w:val="en-GB" w:eastAsia="en-GB"/>
        </w:rPr>
        <w:t>[12]</w:t>
      </w:r>
      <w:r w:rsidR="00FD3162">
        <w:rPr>
          <w:lang w:val="en-GB" w:eastAsia="en-GB"/>
        </w:rPr>
        <w:fldChar w:fldCharType="end"/>
      </w:r>
      <w:r w:rsidR="00FD3162">
        <w:rPr>
          <w:lang w:val="en-GB" w:eastAsia="en-GB"/>
        </w:rPr>
        <w:t xml:space="preserve">. The </w:t>
      </w:r>
      <w:r w:rsidR="007E08F9">
        <w:rPr>
          <w:lang w:val="en-GB" w:eastAsia="en-GB"/>
        </w:rPr>
        <w:t>issue now is that the UE arrays will be steered in some direction, and the channel capacity will depend on this.</w:t>
      </w:r>
      <w:r w:rsidR="000D7C2D">
        <w:rPr>
          <w:lang w:val="en-GB" w:eastAsia="en-GB"/>
        </w:rPr>
        <w:t xml:space="preserve"> </w:t>
      </w:r>
      <w:r w:rsidR="00741748">
        <w:rPr>
          <w:lang w:val="en-GB" w:eastAsia="en-GB"/>
        </w:rPr>
        <w:t xml:space="preserve">A simple choice for </w:t>
      </w:r>
      <w:r w:rsidR="000D7C2D">
        <w:rPr>
          <w:lang w:val="en-GB" w:eastAsia="en-GB"/>
        </w:rPr>
        <w:t xml:space="preserve">steering vector </w:t>
      </w:r>
      <w:r w:rsidR="00741748">
        <w:rPr>
          <w:lang w:val="en-GB" w:eastAsia="en-GB"/>
        </w:rPr>
        <w:t xml:space="preserve">is the </w:t>
      </w:r>
      <w:r w:rsidR="000D7C2D">
        <w:rPr>
          <w:lang w:val="en-GB" w:eastAsia="en-GB"/>
        </w:rPr>
        <w:t>linear phase</w:t>
      </w:r>
      <w:r w:rsidR="0096289D">
        <w:rPr>
          <w:lang w:val="en-GB" w:eastAsia="en-GB"/>
        </w:rPr>
        <w:t xml:space="preserve"> progression with uniform taper, as discussed for base station arrays in </w:t>
      </w:r>
      <w:r w:rsidR="0096289D">
        <w:rPr>
          <w:lang w:val="en-GB" w:eastAsia="en-GB"/>
        </w:rPr>
        <w:fldChar w:fldCharType="begin"/>
      </w:r>
      <w:r w:rsidR="0096289D">
        <w:rPr>
          <w:lang w:val="en-GB" w:eastAsia="en-GB"/>
        </w:rPr>
        <w:instrText xml:space="preserve"> REF _Ref498284000 \r \h </w:instrText>
      </w:r>
      <w:r w:rsidR="0096289D">
        <w:rPr>
          <w:lang w:val="en-GB" w:eastAsia="en-GB"/>
        </w:rPr>
      </w:r>
      <w:r w:rsidR="0096289D">
        <w:rPr>
          <w:lang w:val="en-GB" w:eastAsia="en-GB"/>
        </w:rPr>
        <w:fldChar w:fldCharType="separate"/>
      </w:r>
      <w:r w:rsidR="00755C24">
        <w:rPr>
          <w:lang w:val="en-GB" w:eastAsia="en-GB"/>
        </w:rPr>
        <w:t>[13]</w:t>
      </w:r>
      <w:r w:rsidR="0096289D">
        <w:rPr>
          <w:lang w:val="en-GB" w:eastAsia="en-GB"/>
        </w:rPr>
        <w:fldChar w:fldCharType="end"/>
      </w:r>
      <w:r w:rsidR="0096289D">
        <w:rPr>
          <w:lang w:val="en-GB" w:eastAsia="en-GB"/>
        </w:rPr>
        <w:t xml:space="preserve">. </w:t>
      </w:r>
    </w:p>
    <w:p w:rsidR="004C17F4" w:rsidRDefault="0028722B" w:rsidP="004C17F4">
      <w:pPr>
        <w:rPr>
          <w:lang w:val="en-GB" w:eastAsia="en-GB"/>
        </w:rPr>
      </w:pPr>
      <w:r>
        <w:rPr>
          <w:lang w:val="en-GB" w:eastAsia="en-GB"/>
        </w:rPr>
        <w:t>For this paper, we selected the two dipole array – a simple, cross-polarized pair, as shown in the figure below:</w:t>
      </w:r>
    </w:p>
    <w:p w:rsidR="0028722B" w:rsidRDefault="0028722B" w:rsidP="0028722B">
      <w:pPr>
        <w:jc w:val="center"/>
        <w:rPr>
          <w:lang w:val="en-GB" w:eastAsia="en-GB"/>
        </w:rPr>
      </w:pPr>
      <w:r>
        <w:rPr>
          <w:lang w:val="en-GB" w:eastAsia="en-GB"/>
        </w:rPr>
        <w:object w:dxaOrig="1921" w:dyaOrig="1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74.35pt" o:ole="">
            <v:imagedata r:id="rId8" o:title=""/>
          </v:shape>
          <o:OLEObject Type="Embed" ProgID="Visio.Drawing.15" ShapeID="_x0000_i1025" DrawAspect="Content" ObjectID="_1572428562" r:id="rId9"/>
        </w:object>
      </w:r>
    </w:p>
    <w:p w:rsidR="0028722B" w:rsidRDefault="0028722B" w:rsidP="0028722B">
      <w:pPr>
        <w:pStyle w:val="Caption"/>
      </w:pPr>
      <w:bookmarkStart w:id="2" w:name="_Ref498678553"/>
      <w:r>
        <w:t xml:space="preserve">Figure </w:t>
      </w:r>
      <w:r w:rsidR="00663F45">
        <w:fldChar w:fldCharType="begin"/>
      </w:r>
      <w:r w:rsidR="00663F45">
        <w:instrText xml:space="preserve"> SEQ Figure \* ARABIC </w:instrText>
      </w:r>
      <w:r w:rsidR="00663F45">
        <w:fldChar w:fldCharType="separate"/>
      </w:r>
      <w:r>
        <w:rPr>
          <w:noProof/>
        </w:rPr>
        <w:t>1</w:t>
      </w:r>
      <w:r w:rsidR="00663F45">
        <w:rPr>
          <w:noProof/>
        </w:rPr>
        <w:fldChar w:fldCharType="end"/>
      </w:r>
      <w:r>
        <w:t>. UE antenna model for results in this paper</w:t>
      </w:r>
      <w:r w:rsidR="008F1F1A">
        <w:t>: “1x1x2”</w:t>
      </w:r>
      <w:r>
        <w:t>.</w:t>
      </w:r>
      <w:bookmarkEnd w:id="2"/>
    </w:p>
    <w:p w:rsidR="0028722B" w:rsidRPr="0028722B" w:rsidRDefault="0028722B" w:rsidP="0028722B">
      <w:r>
        <w:t xml:space="preserve">The alternate antenna model, that is, the two 4-element subarrays, is still under investigation. It is </w:t>
      </w:r>
      <w:r w:rsidR="00D90020">
        <w:t xml:space="preserve">planned </w:t>
      </w:r>
      <w:r>
        <w:t>to bring results for this UE array in the next meeting.</w:t>
      </w:r>
    </w:p>
    <w:p w:rsidR="0014356E" w:rsidRDefault="0014356E" w:rsidP="0014356E">
      <w:pPr>
        <w:pStyle w:val="Heading2"/>
      </w:pPr>
      <w:r>
        <w:lastRenderedPageBreak/>
        <w:t>3.2</w:t>
      </w:r>
      <w:r>
        <w:tab/>
        <w:t>BS Antenna Array</w:t>
      </w:r>
    </w:p>
    <w:p w:rsidR="0014356E" w:rsidRDefault="0014356E" w:rsidP="0014356E">
      <w:pPr>
        <w:rPr>
          <w:lang w:val="en-GB" w:eastAsia="en-GB"/>
        </w:rPr>
      </w:pPr>
      <w:r>
        <w:rPr>
          <w:lang w:val="en-GB" w:eastAsia="en-GB"/>
        </w:rPr>
        <w:t xml:space="preserve">The BS antenna array used is the same 8x4x2 array as used in </w:t>
      </w:r>
      <w:r>
        <w:rPr>
          <w:lang w:val="en-GB" w:eastAsia="en-GB"/>
        </w:rPr>
        <w:fldChar w:fldCharType="begin"/>
      </w:r>
      <w:r>
        <w:rPr>
          <w:lang w:val="en-GB" w:eastAsia="en-GB"/>
        </w:rPr>
        <w:instrText xml:space="preserve"> REF _Ref492801159 \r \h </w:instrText>
      </w:r>
      <w:r>
        <w:rPr>
          <w:lang w:val="en-GB" w:eastAsia="en-GB"/>
        </w:rPr>
      </w:r>
      <w:r>
        <w:rPr>
          <w:lang w:val="en-GB" w:eastAsia="en-GB"/>
        </w:rPr>
        <w:fldChar w:fldCharType="separate"/>
      </w:r>
      <w:r w:rsidR="00755C24">
        <w:rPr>
          <w:lang w:val="en-GB" w:eastAsia="en-GB"/>
        </w:rPr>
        <w:t>[3]</w:t>
      </w:r>
      <w:r>
        <w:rPr>
          <w:lang w:val="en-GB" w:eastAsia="en-GB"/>
        </w:rPr>
        <w:fldChar w:fldCharType="end"/>
      </w:r>
      <w:r>
        <w:rPr>
          <w:lang w:val="en-GB" w:eastAsia="en-GB"/>
        </w:rPr>
        <w:t>. It is reproduced below.</w:t>
      </w:r>
    </w:p>
    <w:p w:rsidR="0014356E" w:rsidRDefault="0014356E" w:rsidP="0014356E">
      <w:pPr>
        <w:jc w:val="center"/>
        <w:rPr>
          <w:lang w:val="en-GB" w:eastAsia="en-GB"/>
        </w:rPr>
      </w:pPr>
      <w:r>
        <w:rPr>
          <w:lang w:val="en-GB" w:eastAsia="en-GB"/>
        </w:rPr>
        <w:object w:dxaOrig="2881" w:dyaOrig="1726">
          <v:shape id="_x0000_i1026" type="#_x0000_t75" style="width:2in;height:86.05pt" o:ole="">
            <v:imagedata r:id="rId10" o:title=""/>
          </v:shape>
          <o:OLEObject Type="Embed" ProgID="Visio.Drawing.15" ShapeID="_x0000_i1026" DrawAspect="Content" ObjectID="_1572428563" r:id="rId11"/>
        </w:object>
      </w:r>
    </w:p>
    <w:p w:rsidR="00A6779E" w:rsidRDefault="00A6779E" w:rsidP="00A6779E">
      <w:pPr>
        <w:pStyle w:val="Caption"/>
        <w:rPr>
          <w:lang w:val="en-GB" w:eastAsia="en-GB"/>
        </w:rPr>
      </w:pPr>
      <w:bookmarkStart w:id="3" w:name="_Ref498678569"/>
      <w:r>
        <w:t xml:space="preserve">Figure </w:t>
      </w:r>
      <w:r w:rsidR="00663F45">
        <w:fldChar w:fldCharType="begin"/>
      </w:r>
      <w:r w:rsidR="00663F45">
        <w:instrText xml:space="preserve"> SEQ Figure \* ARABIC </w:instrText>
      </w:r>
      <w:r w:rsidR="00663F45">
        <w:fldChar w:fldCharType="separate"/>
      </w:r>
      <w:r w:rsidR="0028722B">
        <w:rPr>
          <w:noProof/>
        </w:rPr>
        <w:t>2</w:t>
      </w:r>
      <w:r w:rsidR="00663F45">
        <w:rPr>
          <w:noProof/>
        </w:rPr>
        <w:fldChar w:fldCharType="end"/>
      </w:r>
      <w:r>
        <w:t>. BS antenna array used in simulations</w:t>
      </w:r>
      <w:r w:rsidR="00CA2967">
        <w:t>: “8x4x2”</w:t>
      </w:r>
      <w:r>
        <w:t>.</w:t>
      </w:r>
      <w:bookmarkEnd w:id="3"/>
    </w:p>
    <w:p w:rsidR="0014356E" w:rsidRDefault="0014356E" w:rsidP="0014356E">
      <w:pPr>
        <w:rPr>
          <w:lang w:val="en-GB" w:eastAsia="en-GB"/>
        </w:rPr>
      </w:pPr>
      <w:r>
        <w:rPr>
          <w:lang w:val="en-GB" w:eastAsia="en-GB"/>
        </w:rPr>
        <w:t xml:space="preserve">A document </w:t>
      </w:r>
      <w:r w:rsidR="00AF030F">
        <w:rPr>
          <w:lang w:val="en-GB" w:eastAsia="en-GB"/>
        </w:rPr>
        <w:t>approved</w:t>
      </w:r>
      <w:r>
        <w:rPr>
          <w:lang w:val="en-GB" w:eastAsia="en-GB"/>
        </w:rPr>
        <w:t xml:space="preserve"> in RAN4 #84bis </w:t>
      </w:r>
      <w:r>
        <w:rPr>
          <w:lang w:val="en-GB" w:eastAsia="en-GB"/>
        </w:rPr>
        <w:fldChar w:fldCharType="begin"/>
      </w:r>
      <w:r>
        <w:rPr>
          <w:lang w:val="en-GB" w:eastAsia="en-GB"/>
        </w:rPr>
        <w:instrText xml:space="preserve"> REF _Ref498284000 \r \h </w:instrText>
      </w:r>
      <w:r>
        <w:rPr>
          <w:lang w:val="en-GB" w:eastAsia="en-GB"/>
        </w:rPr>
      </w:r>
      <w:r>
        <w:rPr>
          <w:lang w:val="en-GB" w:eastAsia="en-GB"/>
        </w:rPr>
        <w:fldChar w:fldCharType="separate"/>
      </w:r>
      <w:r w:rsidR="00755C24">
        <w:rPr>
          <w:lang w:val="en-GB" w:eastAsia="en-GB"/>
        </w:rPr>
        <w:t>[13]</w:t>
      </w:r>
      <w:r>
        <w:rPr>
          <w:lang w:val="en-GB" w:eastAsia="en-GB"/>
        </w:rPr>
        <w:fldChar w:fldCharType="end"/>
      </w:r>
      <w:r w:rsidR="00AF030F">
        <w:rPr>
          <w:lang w:val="en-GB" w:eastAsia="en-GB"/>
        </w:rPr>
        <w:t xml:space="preserve"> proposed different array dimensions. We do not disagree with the approved document, but the increased size of the array causes double the simulation time. Since, as seen in </w:t>
      </w:r>
      <w:r w:rsidR="00AF030F">
        <w:rPr>
          <w:lang w:val="en-GB" w:eastAsia="en-GB"/>
        </w:rPr>
        <w:fldChar w:fldCharType="begin"/>
      </w:r>
      <w:r w:rsidR="00AF030F">
        <w:rPr>
          <w:lang w:val="en-GB" w:eastAsia="en-GB"/>
        </w:rPr>
        <w:instrText xml:space="preserve"> REF _Ref498435537 \r \h </w:instrText>
      </w:r>
      <w:r w:rsidR="00AF030F">
        <w:rPr>
          <w:lang w:val="en-GB" w:eastAsia="en-GB"/>
        </w:rPr>
      </w:r>
      <w:r w:rsidR="00AF030F">
        <w:rPr>
          <w:lang w:val="en-GB" w:eastAsia="en-GB"/>
        </w:rPr>
        <w:fldChar w:fldCharType="separate"/>
      </w:r>
      <w:r w:rsidR="00755C24">
        <w:rPr>
          <w:lang w:val="en-GB" w:eastAsia="en-GB"/>
        </w:rPr>
        <w:t>[9]</w:t>
      </w:r>
      <w:r w:rsidR="00AF030F">
        <w:rPr>
          <w:lang w:val="en-GB" w:eastAsia="en-GB"/>
        </w:rPr>
        <w:fldChar w:fldCharType="end"/>
      </w:r>
      <w:r w:rsidR="00AF030F">
        <w:rPr>
          <w:lang w:val="en-GB" w:eastAsia="en-GB"/>
        </w:rPr>
        <w:t xml:space="preserve">, the capacity increases uniformly by about 2 bps/Hz </w:t>
      </w:r>
      <w:r w:rsidR="00CA2967">
        <w:rPr>
          <w:lang w:val="en-GB" w:eastAsia="en-GB"/>
        </w:rPr>
        <w:t xml:space="preserve">as </w:t>
      </w:r>
      <w:r w:rsidR="00AF030F">
        <w:rPr>
          <w:lang w:val="en-GB" w:eastAsia="en-GB"/>
        </w:rPr>
        <w:t>the number of BS antennas</w:t>
      </w:r>
      <w:r w:rsidR="00CA2967">
        <w:rPr>
          <w:lang w:val="en-GB" w:eastAsia="en-GB"/>
        </w:rPr>
        <w:t xml:space="preserve"> doubles</w:t>
      </w:r>
      <w:r w:rsidR="00AF030F">
        <w:rPr>
          <w:lang w:val="en-GB" w:eastAsia="en-GB"/>
        </w:rPr>
        <w:t>, and because the same array is used to produce all results, there is no additional value in using the larger array in these simulations.</w:t>
      </w:r>
    </w:p>
    <w:p w:rsidR="004D4E4F" w:rsidRDefault="0014356E" w:rsidP="0014356E">
      <w:pPr>
        <w:pStyle w:val="Heading2"/>
      </w:pPr>
      <w:r>
        <w:t>3.3</w:t>
      </w:r>
      <w:r>
        <w:tab/>
        <w:t>Propagation Models</w:t>
      </w:r>
    </w:p>
    <w:p w:rsidR="0014356E" w:rsidRDefault="00AF030F" w:rsidP="0014356E">
      <w:pPr>
        <w:rPr>
          <w:lang w:val="en-GB" w:eastAsia="en-GB"/>
        </w:rPr>
      </w:pPr>
      <w:r>
        <w:rPr>
          <w:lang w:val="en-GB" w:eastAsia="en-GB"/>
        </w:rPr>
        <w:t xml:space="preserve">The baseline propagation models considered in this paper are the CDL A-E models from </w:t>
      </w:r>
      <w:r>
        <w:rPr>
          <w:lang w:val="en-GB" w:eastAsia="en-GB"/>
        </w:rPr>
        <w:fldChar w:fldCharType="begin"/>
      </w:r>
      <w:r>
        <w:rPr>
          <w:lang w:val="en-GB" w:eastAsia="en-GB"/>
        </w:rPr>
        <w:instrText xml:space="preserve"> REF _Ref498509603 \r \h </w:instrText>
      </w:r>
      <w:r>
        <w:rPr>
          <w:lang w:val="en-GB" w:eastAsia="en-GB"/>
        </w:rPr>
      </w:r>
      <w:r>
        <w:rPr>
          <w:lang w:val="en-GB" w:eastAsia="en-GB"/>
        </w:rPr>
        <w:fldChar w:fldCharType="separate"/>
      </w:r>
      <w:r w:rsidR="00755C24">
        <w:rPr>
          <w:lang w:val="en-GB" w:eastAsia="en-GB"/>
        </w:rPr>
        <w:t>[1]</w:t>
      </w:r>
      <w:r>
        <w:rPr>
          <w:lang w:val="en-GB" w:eastAsia="en-GB"/>
        </w:rPr>
        <w:fldChar w:fldCharType="end"/>
      </w:r>
      <w:r>
        <w:rPr>
          <w:lang w:val="en-GB" w:eastAsia="en-GB"/>
        </w:rPr>
        <w:t>.</w:t>
      </w:r>
      <w:r w:rsidR="0061587F">
        <w:rPr>
          <w:lang w:val="en-GB" w:eastAsia="en-GB"/>
        </w:rPr>
        <w:t xml:space="preserve"> </w:t>
      </w:r>
      <w:r w:rsidR="007F03BB">
        <w:rPr>
          <w:lang w:val="en-GB" w:eastAsia="en-GB"/>
        </w:rPr>
        <w:t>Models A, B and C are NLoS models; models D and E are LoS models</w:t>
      </w:r>
      <w:r w:rsidR="002A70E2">
        <w:rPr>
          <w:lang w:val="en-GB" w:eastAsia="en-GB"/>
        </w:rPr>
        <w:t xml:space="preserve"> with a </w:t>
      </w:r>
      <w:r w:rsidR="002A70E2" w:rsidRPr="002A70E2">
        <w:rPr>
          <w:i/>
          <w:lang w:val="en-GB" w:eastAsia="en-GB"/>
        </w:rPr>
        <w:t>K</w:t>
      </w:r>
      <w:r w:rsidR="002A70E2">
        <w:rPr>
          <w:lang w:val="en-GB" w:eastAsia="en-GB"/>
        </w:rPr>
        <w:t xml:space="preserve"> factor of about 9 dB</w:t>
      </w:r>
      <w:r w:rsidR="007F03BB">
        <w:rPr>
          <w:lang w:val="en-GB" w:eastAsia="en-GB"/>
        </w:rPr>
        <w:t>.</w:t>
      </w:r>
      <w:r w:rsidR="002A70E2">
        <w:rPr>
          <w:lang w:val="en-GB" w:eastAsia="en-GB"/>
        </w:rPr>
        <w:t xml:space="preserve"> </w:t>
      </w:r>
      <w:r w:rsidR="0061587F">
        <w:rPr>
          <w:lang w:val="en-GB" w:eastAsia="en-GB"/>
        </w:rPr>
        <w:t>These are all the ideal</w:t>
      </w:r>
      <w:r w:rsidR="002A70E2">
        <w:rPr>
          <w:lang w:val="en-GB" w:eastAsia="en-GB"/>
        </w:rPr>
        <w:t xml:space="preserve"> implementations from this TR. </w:t>
      </w:r>
      <w:r w:rsidR="0061587F">
        <w:rPr>
          <w:lang w:val="en-GB" w:eastAsia="en-GB"/>
        </w:rPr>
        <w:t xml:space="preserve">We </w:t>
      </w:r>
      <w:r w:rsidR="002A70E2">
        <w:rPr>
          <w:lang w:val="en-GB" w:eastAsia="en-GB"/>
        </w:rPr>
        <w:t>compare each of the</w:t>
      </w:r>
      <w:r w:rsidR="0061587F">
        <w:rPr>
          <w:lang w:val="en-GB" w:eastAsia="en-GB"/>
        </w:rPr>
        <w:t xml:space="preserve"> ideal forms with their </w:t>
      </w:r>
      <w:r w:rsidR="002A70E2">
        <w:rPr>
          <w:lang w:val="en-GB" w:eastAsia="en-GB"/>
        </w:rPr>
        <w:t>reduced complexity</w:t>
      </w:r>
      <w:r w:rsidR="0061587F">
        <w:rPr>
          <w:lang w:val="en-GB" w:eastAsia="en-GB"/>
        </w:rPr>
        <w:t xml:space="preserve"> counterparts </w:t>
      </w:r>
      <w:r w:rsidR="002A70E2">
        <w:rPr>
          <w:lang w:val="en-GB" w:eastAsia="en-GB"/>
        </w:rPr>
        <w:t xml:space="preserve">that use </w:t>
      </w:r>
      <w:r w:rsidR="0061587F">
        <w:rPr>
          <w:lang w:val="en-GB" w:eastAsia="en-GB"/>
        </w:rPr>
        <w:t>the “modified zero ASA” technique (</w:t>
      </w:r>
      <w:r w:rsidR="0061587F">
        <w:rPr>
          <w:lang w:val="en-GB" w:eastAsia="en-GB"/>
        </w:rPr>
        <w:fldChar w:fldCharType="begin"/>
      </w:r>
      <w:r w:rsidR="0061587F">
        <w:rPr>
          <w:lang w:val="en-GB" w:eastAsia="en-GB"/>
        </w:rPr>
        <w:instrText xml:space="preserve"> REF _Ref498435033 \r \h </w:instrText>
      </w:r>
      <w:r w:rsidR="0061587F">
        <w:rPr>
          <w:lang w:val="en-GB" w:eastAsia="en-GB"/>
        </w:rPr>
      </w:r>
      <w:r w:rsidR="0061587F">
        <w:rPr>
          <w:lang w:val="en-GB" w:eastAsia="en-GB"/>
        </w:rPr>
        <w:fldChar w:fldCharType="separate"/>
      </w:r>
      <w:r w:rsidR="00755C24">
        <w:rPr>
          <w:lang w:val="en-GB" w:eastAsia="en-GB"/>
        </w:rPr>
        <w:t>[6]</w:t>
      </w:r>
      <w:r w:rsidR="0061587F">
        <w:rPr>
          <w:lang w:val="en-GB" w:eastAsia="en-GB"/>
        </w:rPr>
        <w:fldChar w:fldCharType="end"/>
      </w:r>
      <w:r w:rsidR="0061587F">
        <w:rPr>
          <w:lang w:val="en-GB" w:eastAsia="en-GB"/>
        </w:rPr>
        <w:t>, Section 3.5)</w:t>
      </w:r>
      <w:r w:rsidR="007638BD">
        <w:rPr>
          <w:lang w:val="en-GB" w:eastAsia="en-GB"/>
        </w:rPr>
        <w:t>, which will be referred to simply as “MZA”</w:t>
      </w:r>
      <w:r w:rsidR="0061587F">
        <w:rPr>
          <w:lang w:val="en-GB" w:eastAsia="en-GB"/>
        </w:rPr>
        <w:t>.</w:t>
      </w:r>
    </w:p>
    <w:p w:rsidR="00A6779E" w:rsidRDefault="00A6779E" w:rsidP="0014356E">
      <w:pPr>
        <w:rPr>
          <w:lang w:val="en-GB" w:eastAsia="en-GB"/>
        </w:rPr>
      </w:pPr>
      <w:r>
        <w:rPr>
          <w:lang w:val="en-GB" w:eastAsia="en-GB"/>
        </w:rPr>
        <w:t xml:space="preserve">It is worth remembering that the </w:t>
      </w:r>
      <w:r w:rsidR="007638BD">
        <w:rPr>
          <w:lang w:val="en-GB" w:eastAsia="en-GB"/>
        </w:rPr>
        <w:t xml:space="preserve">MZA </w:t>
      </w:r>
      <w:r>
        <w:rPr>
          <w:lang w:val="en-GB" w:eastAsia="en-GB"/>
        </w:rPr>
        <w:t>technique is not a new channel model, but simply a way to simulate what is going on in an anechoic environment when a single probe is used to represent a cluster, rather than a re-creation of the discrete Laplacian angular spectrum.</w:t>
      </w:r>
    </w:p>
    <w:p w:rsidR="00AF030F" w:rsidRDefault="009B0BCD" w:rsidP="009B0BCD">
      <w:pPr>
        <w:pStyle w:val="Heading2"/>
      </w:pPr>
      <w:r>
        <w:t>3.4</w:t>
      </w:r>
      <w:r>
        <w:tab/>
        <w:t>Metrics</w:t>
      </w:r>
    </w:p>
    <w:p w:rsidR="009B0BCD" w:rsidRDefault="009B0BCD" w:rsidP="009B0BCD">
      <w:r>
        <w:t xml:space="preserve">Comparisons are made on the basis of </w:t>
      </w:r>
      <w:r w:rsidR="00CA2967">
        <w:t>these</w:t>
      </w:r>
      <w:r>
        <w:t xml:space="preserve"> metrics:</w:t>
      </w:r>
    </w:p>
    <w:p w:rsidR="007D1AF7" w:rsidRDefault="007D1AF7" w:rsidP="009B0BCD">
      <w:pPr>
        <w:pStyle w:val="ListParagraph"/>
        <w:numPr>
          <w:ilvl w:val="0"/>
          <w:numId w:val="10"/>
        </w:numPr>
      </w:pPr>
      <w:r>
        <w:t xml:space="preserve">MIMO channel capacity with the channel </w:t>
      </w:r>
      <w:r w:rsidR="00272FD8" w:rsidRPr="00DB3355">
        <w:rPr>
          <w:i/>
        </w:rPr>
        <w:t>un</w:t>
      </w:r>
      <w:r w:rsidRPr="00DB3355">
        <w:rPr>
          <w:i/>
        </w:rPr>
        <w:t>known</w:t>
      </w:r>
      <w:r>
        <w:t xml:space="preserve"> at the transmitter </w:t>
      </w:r>
      <w:r>
        <w:fldChar w:fldCharType="begin"/>
      </w:r>
      <w:r>
        <w:instrText xml:space="preserve"> REF _Ref489344737 \w \h </w:instrText>
      </w:r>
      <w:r>
        <w:fldChar w:fldCharType="separate"/>
      </w:r>
      <w:r w:rsidR="00755C24">
        <w:t>[8]</w:t>
      </w:r>
      <w:r>
        <w:fldChar w:fldCharType="end"/>
      </w:r>
    </w:p>
    <w:p w:rsidR="007D1AF7" w:rsidRDefault="007D1AF7" w:rsidP="007D1AF7">
      <w:pPr>
        <w:pStyle w:val="ListParagraph"/>
        <w:numPr>
          <w:ilvl w:val="1"/>
          <w:numId w:val="10"/>
        </w:numPr>
      </w:pPr>
      <w:r>
        <w:t>Ergodic capacity vs. SNR</w:t>
      </w:r>
    </w:p>
    <w:p w:rsidR="009B0BCD" w:rsidRDefault="009B0BCD" w:rsidP="009B0BCD">
      <w:pPr>
        <w:pStyle w:val="ListParagraph"/>
        <w:numPr>
          <w:ilvl w:val="0"/>
          <w:numId w:val="10"/>
        </w:numPr>
      </w:pPr>
      <w:r>
        <w:t xml:space="preserve">MIMO channel capacity with the channel </w:t>
      </w:r>
      <w:r w:rsidRPr="00DB3355">
        <w:rPr>
          <w:i/>
        </w:rPr>
        <w:t>known</w:t>
      </w:r>
      <w:r>
        <w:t xml:space="preserve"> at the transmitter </w:t>
      </w:r>
      <w:r>
        <w:rPr>
          <w:lang w:val="en-GB" w:eastAsia="en-GB"/>
        </w:rPr>
        <w:fldChar w:fldCharType="begin"/>
      </w:r>
      <w:r>
        <w:rPr>
          <w:lang w:val="en-GB" w:eastAsia="en-GB"/>
        </w:rPr>
        <w:instrText xml:space="preserve"> REF _Ref498435537 \r \h </w:instrText>
      </w:r>
      <w:r>
        <w:rPr>
          <w:lang w:val="en-GB" w:eastAsia="en-GB"/>
        </w:rPr>
      </w:r>
      <w:r>
        <w:rPr>
          <w:lang w:val="en-GB" w:eastAsia="en-GB"/>
        </w:rPr>
        <w:fldChar w:fldCharType="separate"/>
      </w:r>
      <w:r w:rsidR="00755C24">
        <w:rPr>
          <w:lang w:val="en-GB" w:eastAsia="en-GB"/>
        </w:rPr>
        <w:t>[9]</w:t>
      </w:r>
      <w:r>
        <w:rPr>
          <w:lang w:val="en-GB" w:eastAsia="en-GB"/>
        </w:rPr>
        <w:fldChar w:fldCharType="end"/>
      </w:r>
    </w:p>
    <w:p w:rsidR="009B0BCD" w:rsidRDefault="009B0BCD" w:rsidP="009B0BCD">
      <w:pPr>
        <w:pStyle w:val="ListParagraph"/>
        <w:numPr>
          <w:ilvl w:val="1"/>
          <w:numId w:val="10"/>
        </w:numPr>
      </w:pPr>
      <w:r>
        <w:t>Ergodic capacity vs. SNR</w:t>
      </w:r>
    </w:p>
    <w:p w:rsidR="009B0BCD" w:rsidRDefault="009B0BCD" w:rsidP="009B0BCD">
      <w:pPr>
        <w:pStyle w:val="ListParagraph"/>
        <w:numPr>
          <w:ilvl w:val="1"/>
          <w:numId w:val="10"/>
        </w:numPr>
      </w:pPr>
      <w:r>
        <w:t>Capacity distribution at a specific SNR</w:t>
      </w:r>
    </w:p>
    <w:p w:rsidR="009B0BCD" w:rsidRDefault="009B0BCD" w:rsidP="009B0BCD">
      <w:pPr>
        <w:pStyle w:val="ListParagraph"/>
        <w:numPr>
          <w:ilvl w:val="0"/>
          <w:numId w:val="10"/>
        </w:numPr>
      </w:pPr>
      <w:r>
        <w:t>Condition number</w:t>
      </w:r>
    </w:p>
    <w:p w:rsidR="009B0BCD" w:rsidRDefault="009B0BCD" w:rsidP="009B0BCD">
      <w:pPr>
        <w:pStyle w:val="ListParagraph"/>
        <w:numPr>
          <w:ilvl w:val="1"/>
          <w:numId w:val="10"/>
        </w:numPr>
      </w:pPr>
      <w:r>
        <w:t>Rank 2</w:t>
      </w:r>
    </w:p>
    <w:p w:rsidR="009A1EB5" w:rsidRDefault="009B0BCD" w:rsidP="009A1EB5">
      <w:pPr>
        <w:pStyle w:val="Heading1"/>
      </w:pPr>
      <w:r>
        <w:t>4</w:t>
      </w:r>
      <w:r w:rsidR="009A1EB5">
        <w:tab/>
        <w:t>Results</w:t>
      </w:r>
    </w:p>
    <w:p w:rsidR="00FC7999" w:rsidRDefault="00FC7999" w:rsidP="00DB3355">
      <w:pPr>
        <w:rPr>
          <w:lang w:val="en-GB" w:eastAsia="en-GB"/>
        </w:rPr>
      </w:pPr>
      <w:r>
        <w:rPr>
          <w:lang w:val="en-GB" w:eastAsia="en-GB"/>
        </w:rPr>
        <w:t>Results are contained in graphs found in the following figures:</w:t>
      </w:r>
    </w:p>
    <w:p w:rsidR="00FC7999" w:rsidRDefault="00FC7999" w:rsidP="00DB3355">
      <w:pPr>
        <w:pStyle w:val="ListParagraph"/>
        <w:numPr>
          <w:ilvl w:val="0"/>
          <w:numId w:val="13"/>
        </w:numPr>
        <w:rPr>
          <w:lang w:val="en-GB" w:eastAsia="en-GB"/>
        </w:rPr>
      </w:pPr>
      <w:r>
        <w:rPr>
          <w:lang w:val="en-GB" w:eastAsia="en-GB"/>
        </w:rPr>
        <w:fldChar w:fldCharType="begin"/>
      </w:r>
      <w:r>
        <w:rPr>
          <w:lang w:val="en-GB" w:eastAsia="en-GB"/>
        </w:rPr>
        <w:instrText xml:space="preserve"> REF _Ref498678580 \h </w:instrText>
      </w:r>
      <w:r>
        <w:rPr>
          <w:lang w:val="en-GB" w:eastAsia="en-GB"/>
        </w:rPr>
      </w:r>
      <w:r>
        <w:rPr>
          <w:lang w:val="en-GB" w:eastAsia="en-GB"/>
        </w:rPr>
        <w:fldChar w:fldCharType="separate"/>
      </w:r>
      <w:r>
        <w:t xml:space="preserve">Figure </w:t>
      </w:r>
      <w:r>
        <w:rPr>
          <w:noProof/>
        </w:rPr>
        <w:t>3</w:t>
      </w:r>
      <w:r>
        <w:t>. Comparison of ergodic capacity with different UE antenna array sizes: “2x2x2” vs. “1x1x2”.</w:t>
      </w:r>
      <w:r>
        <w:rPr>
          <w:lang w:val="en-GB" w:eastAsia="en-GB"/>
        </w:rPr>
        <w:fldChar w:fldCharType="end"/>
      </w:r>
    </w:p>
    <w:p w:rsidR="00FC7999" w:rsidRDefault="00FC7999" w:rsidP="00DB3355">
      <w:pPr>
        <w:pStyle w:val="ListParagraph"/>
        <w:numPr>
          <w:ilvl w:val="0"/>
          <w:numId w:val="13"/>
        </w:numPr>
        <w:rPr>
          <w:lang w:val="en-GB" w:eastAsia="en-GB"/>
        </w:rPr>
      </w:pPr>
      <w:r>
        <w:rPr>
          <w:lang w:val="en-GB" w:eastAsia="en-GB"/>
        </w:rPr>
        <w:fldChar w:fldCharType="begin"/>
      </w:r>
      <w:r>
        <w:rPr>
          <w:lang w:val="en-GB" w:eastAsia="en-GB"/>
        </w:rPr>
        <w:instrText xml:space="preserve"> REF _Ref498678589 \h </w:instrText>
      </w:r>
      <w:r>
        <w:rPr>
          <w:lang w:val="en-GB" w:eastAsia="en-GB"/>
        </w:rPr>
      </w:r>
      <w:r>
        <w:rPr>
          <w:lang w:val="en-GB" w:eastAsia="en-GB"/>
        </w:rPr>
        <w:fldChar w:fldCharType="separate"/>
      </w:r>
      <w:r>
        <w:t xml:space="preserve">Figure </w:t>
      </w:r>
      <w:r>
        <w:rPr>
          <w:noProof/>
        </w:rPr>
        <w:t>4</w:t>
      </w:r>
      <w:r>
        <w:t>. Ergodic capacity results; left figure showing the ideal results, right figure showing results using modified zero ASA.</w:t>
      </w:r>
      <w:r>
        <w:rPr>
          <w:lang w:val="en-GB" w:eastAsia="en-GB"/>
        </w:rPr>
        <w:fldChar w:fldCharType="end"/>
      </w:r>
    </w:p>
    <w:p w:rsidR="00FC7999" w:rsidRDefault="00FC7999" w:rsidP="00DB3355">
      <w:pPr>
        <w:pStyle w:val="ListParagraph"/>
        <w:numPr>
          <w:ilvl w:val="0"/>
          <w:numId w:val="13"/>
        </w:numPr>
        <w:rPr>
          <w:lang w:val="en-GB" w:eastAsia="en-GB"/>
        </w:rPr>
      </w:pPr>
      <w:r>
        <w:rPr>
          <w:lang w:val="en-GB" w:eastAsia="en-GB"/>
        </w:rPr>
        <w:fldChar w:fldCharType="begin"/>
      </w:r>
      <w:r>
        <w:rPr>
          <w:lang w:val="en-GB" w:eastAsia="en-GB"/>
        </w:rPr>
        <w:instrText xml:space="preserve"> REF _Ref498678600 \h </w:instrText>
      </w:r>
      <w:r>
        <w:rPr>
          <w:lang w:val="en-GB" w:eastAsia="en-GB"/>
        </w:rPr>
      </w:r>
      <w:r>
        <w:rPr>
          <w:lang w:val="en-GB" w:eastAsia="en-GB"/>
        </w:rPr>
        <w:fldChar w:fldCharType="separate"/>
      </w:r>
      <w:r>
        <w:t xml:space="preserve">Figure </w:t>
      </w:r>
      <w:r>
        <w:rPr>
          <w:noProof/>
        </w:rPr>
        <w:t>5</w:t>
      </w:r>
      <w:r>
        <w:t>. Capacity distributions for each CDL in [1], compared with the MZA version of the same model.</w:t>
      </w:r>
      <w:r>
        <w:rPr>
          <w:lang w:val="en-GB" w:eastAsia="en-GB"/>
        </w:rPr>
        <w:fldChar w:fldCharType="end"/>
      </w:r>
    </w:p>
    <w:p w:rsidR="00FC7999" w:rsidRPr="00DB3355" w:rsidRDefault="00FC7999" w:rsidP="00DB3355">
      <w:pPr>
        <w:pStyle w:val="ListParagraph"/>
        <w:numPr>
          <w:ilvl w:val="0"/>
          <w:numId w:val="13"/>
        </w:numPr>
        <w:rPr>
          <w:lang w:val="en-GB" w:eastAsia="en-GB"/>
        </w:rPr>
      </w:pPr>
      <w:r>
        <w:rPr>
          <w:lang w:val="en-GB" w:eastAsia="en-GB"/>
        </w:rPr>
        <w:fldChar w:fldCharType="begin"/>
      </w:r>
      <w:r>
        <w:rPr>
          <w:lang w:val="en-GB" w:eastAsia="en-GB"/>
        </w:rPr>
        <w:instrText xml:space="preserve"> REF _Ref498678605 \h </w:instrText>
      </w:r>
      <w:r>
        <w:rPr>
          <w:lang w:val="en-GB" w:eastAsia="en-GB"/>
        </w:rPr>
      </w:r>
      <w:r>
        <w:rPr>
          <w:lang w:val="en-GB" w:eastAsia="en-GB"/>
        </w:rPr>
        <w:fldChar w:fldCharType="separate"/>
      </w:r>
      <w:r>
        <w:t xml:space="preserve">Figure </w:t>
      </w:r>
      <w:r>
        <w:rPr>
          <w:noProof/>
        </w:rPr>
        <w:t>6</w:t>
      </w:r>
      <w:r>
        <w:t>. Condition number distributions comparing the ideal CDL model with the MZA version.</w:t>
      </w:r>
      <w:r>
        <w:rPr>
          <w:lang w:val="en-GB" w:eastAsia="en-GB"/>
        </w:rPr>
        <w:fldChar w:fldCharType="end"/>
      </w:r>
    </w:p>
    <w:p w:rsidR="007D1AF7" w:rsidRDefault="007D1AF7" w:rsidP="007D1AF7">
      <w:pPr>
        <w:pStyle w:val="Heading2"/>
      </w:pPr>
      <w:r>
        <w:lastRenderedPageBreak/>
        <w:t>4.1</w:t>
      </w:r>
      <w:r>
        <w:tab/>
        <w:t>Ergodic Capacity</w:t>
      </w:r>
    </w:p>
    <w:p w:rsidR="008F1F1A" w:rsidRDefault="0023243D" w:rsidP="0023243D">
      <w:pPr>
        <w:rPr>
          <w:lang w:val="en-GB" w:eastAsia="en-GB"/>
        </w:rPr>
      </w:pPr>
      <w:r>
        <w:rPr>
          <w:lang w:val="en-GB" w:eastAsia="en-GB"/>
        </w:rPr>
        <w:t xml:space="preserve">The first graph </w:t>
      </w:r>
      <w:r w:rsidR="00C85C1C">
        <w:rPr>
          <w:lang w:val="en-GB" w:eastAsia="en-GB"/>
        </w:rPr>
        <w:t xml:space="preserve">is designed to show the difference in capacity that results when changing from the channel dimensions in 64x8 MIMO configuration used in </w:t>
      </w:r>
      <w:r w:rsidR="00C85C1C">
        <w:rPr>
          <w:lang w:val="en-GB" w:eastAsia="en-GB"/>
        </w:rPr>
        <w:fldChar w:fldCharType="begin"/>
      </w:r>
      <w:r w:rsidR="00C85C1C">
        <w:rPr>
          <w:lang w:val="en-GB" w:eastAsia="en-GB"/>
        </w:rPr>
        <w:instrText xml:space="preserve"> REF _Ref492801159 \w \h </w:instrText>
      </w:r>
      <w:r w:rsidR="00C85C1C">
        <w:rPr>
          <w:lang w:val="en-GB" w:eastAsia="en-GB"/>
        </w:rPr>
      </w:r>
      <w:r w:rsidR="00C85C1C">
        <w:rPr>
          <w:lang w:val="en-GB" w:eastAsia="en-GB"/>
        </w:rPr>
        <w:fldChar w:fldCharType="separate"/>
      </w:r>
      <w:r w:rsidR="00755C24">
        <w:rPr>
          <w:lang w:val="en-GB" w:eastAsia="en-GB"/>
        </w:rPr>
        <w:t>[3]</w:t>
      </w:r>
      <w:r w:rsidR="00C85C1C">
        <w:rPr>
          <w:lang w:val="en-GB" w:eastAsia="en-GB"/>
        </w:rPr>
        <w:fldChar w:fldCharType="end"/>
      </w:r>
      <w:r w:rsidR="00C85C1C">
        <w:rPr>
          <w:lang w:val="en-GB" w:eastAsia="en-GB"/>
        </w:rPr>
        <w:t xml:space="preserve"> to the 64x2 configuration used in this paper. </w:t>
      </w:r>
      <w:r w:rsidR="00C85C1C">
        <w:rPr>
          <w:lang w:val="en-GB" w:eastAsia="en-GB"/>
        </w:rPr>
        <w:fldChar w:fldCharType="begin"/>
      </w:r>
      <w:r w:rsidR="00C85C1C">
        <w:rPr>
          <w:lang w:val="en-GB" w:eastAsia="en-GB"/>
        </w:rPr>
        <w:instrText xml:space="preserve"> REF _Ref498547502 \h </w:instrText>
      </w:r>
      <w:r w:rsidR="00C85C1C">
        <w:rPr>
          <w:lang w:val="en-GB" w:eastAsia="en-GB"/>
        </w:rPr>
      </w:r>
      <w:r w:rsidR="00C85C1C">
        <w:rPr>
          <w:lang w:val="en-GB" w:eastAsia="en-GB"/>
        </w:rPr>
        <w:fldChar w:fldCharType="separate"/>
      </w:r>
      <w:r w:rsidR="00755C24">
        <w:t xml:space="preserve">Figure </w:t>
      </w:r>
      <w:r w:rsidR="00755C24">
        <w:rPr>
          <w:noProof/>
        </w:rPr>
        <w:t>3</w:t>
      </w:r>
      <w:r w:rsidR="00C85C1C">
        <w:rPr>
          <w:lang w:val="en-GB" w:eastAsia="en-GB"/>
        </w:rPr>
        <w:fldChar w:fldCharType="end"/>
      </w:r>
      <w:r w:rsidR="00C85C1C">
        <w:rPr>
          <w:lang w:val="en-GB" w:eastAsia="en-GB"/>
        </w:rPr>
        <w:t xml:space="preserve"> </w:t>
      </w:r>
      <w:r>
        <w:rPr>
          <w:lang w:val="en-GB" w:eastAsia="en-GB"/>
        </w:rPr>
        <w:t>shows a compari</w:t>
      </w:r>
      <w:r w:rsidR="00C85C1C">
        <w:rPr>
          <w:lang w:val="en-GB" w:eastAsia="en-GB"/>
        </w:rPr>
        <w:t xml:space="preserve">son of all </w:t>
      </w:r>
      <w:r w:rsidR="00985A8E">
        <w:rPr>
          <w:lang w:val="en-GB" w:eastAsia="en-GB"/>
        </w:rPr>
        <w:t>capacity curves for the known channel case</w:t>
      </w:r>
      <w:r w:rsidR="00C85C1C">
        <w:rPr>
          <w:lang w:val="en-GB" w:eastAsia="en-GB"/>
        </w:rPr>
        <w:t xml:space="preserve">. The results fall into two clear groups, indicated by red circles </w:t>
      </w:r>
      <w:r>
        <w:rPr>
          <w:lang w:val="en-GB" w:eastAsia="en-GB"/>
        </w:rPr>
        <w:t>labelled “64x8”</w:t>
      </w:r>
      <w:r w:rsidR="00C85C1C">
        <w:rPr>
          <w:lang w:val="en-GB" w:eastAsia="en-GB"/>
        </w:rPr>
        <w:t xml:space="preserve"> and “64x2”</w:t>
      </w:r>
      <w:r>
        <w:rPr>
          <w:lang w:val="en-GB" w:eastAsia="en-GB"/>
        </w:rPr>
        <w:t>.</w:t>
      </w:r>
      <w:r w:rsidR="00E752B0">
        <w:rPr>
          <w:lang w:val="en-GB" w:eastAsia="en-GB"/>
        </w:rPr>
        <w:t xml:space="preserve"> </w:t>
      </w:r>
      <w:r w:rsidR="008F1F1A">
        <w:rPr>
          <w:lang w:val="en-GB" w:eastAsia="en-GB"/>
        </w:rPr>
        <w:t xml:space="preserve">The 64x8 case uses the UE array discussed in </w:t>
      </w:r>
      <w:r w:rsidR="008F1F1A">
        <w:rPr>
          <w:lang w:val="en-GB" w:eastAsia="en-GB"/>
        </w:rPr>
        <w:fldChar w:fldCharType="begin"/>
      </w:r>
      <w:r w:rsidR="008F1F1A">
        <w:rPr>
          <w:lang w:val="en-GB" w:eastAsia="en-GB"/>
        </w:rPr>
        <w:instrText xml:space="preserve"> REF _Ref492801159 \w \h </w:instrText>
      </w:r>
      <w:r w:rsidR="008F1F1A">
        <w:rPr>
          <w:lang w:val="en-GB" w:eastAsia="en-GB"/>
        </w:rPr>
      </w:r>
      <w:r w:rsidR="008F1F1A">
        <w:rPr>
          <w:lang w:val="en-GB" w:eastAsia="en-GB"/>
        </w:rPr>
        <w:fldChar w:fldCharType="separate"/>
      </w:r>
      <w:r w:rsidR="008F1F1A">
        <w:rPr>
          <w:lang w:val="en-GB" w:eastAsia="en-GB"/>
        </w:rPr>
        <w:t>[3]</w:t>
      </w:r>
      <w:r w:rsidR="008F1F1A">
        <w:rPr>
          <w:lang w:val="en-GB" w:eastAsia="en-GB"/>
        </w:rPr>
        <w:fldChar w:fldCharType="end"/>
      </w:r>
      <w:r w:rsidR="008F1F1A">
        <w:rPr>
          <w:lang w:val="en-GB" w:eastAsia="en-GB"/>
        </w:rPr>
        <w:t>, which is “2x2x2”.</w:t>
      </w:r>
    </w:p>
    <w:p w:rsidR="0023243D" w:rsidRDefault="00E752B0" w:rsidP="0023243D">
      <w:pPr>
        <w:rPr>
          <w:lang w:val="en-GB" w:eastAsia="en-GB"/>
        </w:rPr>
      </w:pPr>
      <w:r>
        <w:rPr>
          <w:lang w:val="en-GB" w:eastAsia="en-GB"/>
        </w:rPr>
        <w:t>There are several points to note:</w:t>
      </w:r>
    </w:p>
    <w:p w:rsidR="00E752B0" w:rsidRDefault="00E752B0" w:rsidP="00E752B0">
      <w:pPr>
        <w:pStyle w:val="ListParagraph"/>
        <w:numPr>
          <w:ilvl w:val="0"/>
          <w:numId w:val="11"/>
        </w:numPr>
        <w:rPr>
          <w:lang w:val="en-GB" w:eastAsia="en-GB"/>
        </w:rPr>
      </w:pPr>
      <w:r>
        <w:rPr>
          <w:lang w:val="en-GB" w:eastAsia="en-GB"/>
        </w:rPr>
        <w:t>64x8</w:t>
      </w:r>
    </w:p>
    <w:p w:rsidR="00E752B0" w:rsidRDefault="00E752B0" w:rsidP="00E752B0">
      <w:pPr>
        <w:pStyle w:val="ListParagraph"/>
        <w:numPr>
          <w:ilvl w:val="1"/>
          <w:numId w:val="11"/>
        </w:numPr>
        <w:rPr>
          <w:lang w:val="en-GB" w:eastAsia="en-GB"/>
        </w:rPr>
      </w:pPr>
      <w:r>
        <w:rPr>
          <w:lang w:val="en-GB" w:eastAsia="en-GB"/>
        </w:rPr>
        <w:t>The LoS models (CDL-D, CDL-E), have much lower capacity than the NLoS models</w:t>
      </w:r>
    </w:p>
    <w:p w:rsidR="00E752B0" w:rsidRDefault="00E752B0" w:rsidP="00E752B0">
      <w:pPr>
        <w:pStyle w:val="ListParagraph"/>
        <w:numPr>
          <w:ilvl w:val="1"/>
          <w:numId w:val="11"/>
        </w:numPr>
        <w:rPr>
          <w:lang w:val="en-GB" w:eastAsia="en-GB"/>
        </w:rPr>
      </w:pPr>
      <w:r>
        <w:rPr>
          <w:lang w:val="en-GB" w:eastAsia="en-GB"/>
        </w:rPr>
        <w:t>The capacity of the NLoS models is spread over a</w:t>
      </w:r>
      <w:r w:rsidR="00985A8E">
        <w:rPr>
          <w:lang w:val="en-GB" w:eastAsia="en-GB"/>
        </w:rPr>
        <w:t xml:space="preserve"> wide </w:t>
      </w:r>
      <w:r>
        <w:rPr>
          <w:lang w:val="en-GB" w:eastAsia="en-GB"/>
        </w:rPr>
        <w:t>range</w:t>
      </w:r>
      <w:r w:rsidR="00985A8E">
        <w:rPr>
          <w:lang w:val="en-GB" w:eastAsia="en-GB"/>
        </w:rPr>
        <w:t xml:space="preserve"> (~12 bps/Hz)</w:t>
      </w:r>
    </w:p>
    <w:p w:rsidR="00E752B0" w:rsidRDefault="00E752B0" w:rsidP="00E752B0">
      <w:pPr>
        <w:pStyle w:val="ListParagraph"/>
        <w:numPr>
          <w:ilvl w:val="0"/>
          <w:numId w:val="11"/>
        </w:numPr>
        <w:rPr>
          <w:lang w:val="en-GB" w:eastAsia="en-GB"/>
        </w:rPr>
      </w:pPr>
      <w:r>
        <w:rPr>
          <w:lang w:val="en-GB" w:eastAsia="en-GB"/>
        </w:rPr>
        <w:t>64x2</w:t>
      </w:r>
      <w:r w:rsidR="006A16F1">
        <w:rPr>
          <w:lang w:val="en-GB" w:eastAsia="en-GB"/>
        </w:rPr>
        <w:t xml:space="preserve"> </w:t>
      </w:r>
    </w:p>
    <w:p w:rsidR="00E752B0" w:rsidRDefault="00E752B0" w:rsidP="00E752B0">
      <w:pPr>
        <w:pStyle w:val="ListParagraph"/>
        <w:numPr>
          <w:ilvl w:val="1"/>
          <w:numId w:val="11"/>
        </w:numPr>
        <w:rPr>
          <w:lang w:val="en-GB" w:eastAsia="en-GB"/>
        </w:rPr>
      </w:pPr>
      <w:r>
        <w:rPr>
          <w:lang w:val="en-GB" w:eastAsia="en-GB"/>
        </w:rPr>
        <w:t>The LoS models again have lower capacity than the NLoS models</w:t>
      </w:r>
      <w:r w:rsidR="00985A8E">
        <w:rPr>
          <w:lang w:val="en-GB" w:eastAsia="en-GB"/>
        </w:rPr>
        <w:t>, but not extremely low</w:t>
      </w:r>
      <w:r w:rsidR="008F1F1A">
        <w:rPr>
          <w:lang w:val="en-GB" w:eastAsia="en-GB"/>
        </w:rPr>
        <w:t xml:space="preserve"> as in the 64x8 case</w:t>
      </w:r>
    </w:p>
    <w:p w:rsidR="00E752B0" w:rsidRDefault="00E752B0" w:rsidP="00CA2967">
      <w:pPr>
        <w:pStyle w:val="ListParagraph"/>
        <w:numPr>
          <w:ilvl w:val="1"/>
          <w:numId w:val="11"/>
        </w:numPr>
        <w:spacing w:after="120"/>
        <w:rPr>
          <w:lang w:val="en-GB" w:eastAsia="en-GB"/>
        </w:rPr>
      </w:pPr>
      <w:r>
        <w:rPr>
          <w:lang w:val="en-GB" w:eastAsia="en-GB"/>
        </w:rPr>
        <w:t xml:space="preserve">The capacity curves of the NLoS models all lie </w:t>
      </w:r>
      <w:r w:rsidR="00985A8E">
        <w:rPr>
          <w:lang w:val="en-GB" w:eastAsia="en-GB"/>
        </w:rPr>
        <w:t>very close to each other</w:t>
      </w:r>
    </w:p>
    <w:p w:rsidR="00E752B0" w:rsidRDefault="002A70E2" w:rsidP="00E752B0">
      <w:pPr>
        <w:rPr>
          <w:lang w:val="en-GB" w:eastAsia="en-GB"/>
        </w:rPr>
      </w:pPr>
      <w:r>
        <w:rPr>
          <w:lang w:val="en-GB" w:eastAsia="en-GB"/>
        </w:rPr>
        <w:t>Of these points, perhaps the easiest to understand is that the LoS models should have a lower overall capacity. LoS conditions have long been known to be difficult for multiple spatial streams; this seem</w:t>
      </w:r>
      <w:r w:rsidR="00C85C1C">
        <w:rPr>
          <w:lang w:val="en-GB" w:eastAsia="en-GB"/>
        </w:rPr>
        <w:t>s</w:t>
      </w:r>
      <w:r>
        <w:rPr>
          <w:lang w:val="en-GB" w:eastAsia="en-GB"/>
        </w:rPr>
        <w:t xml:space="preserve"> to be born out for large antenna arrays</w:t>
      </w:r>
      <w:r w:rsidR="00C85C1C">
        <w:rPr>
          <w:lang w:val="en-GB" w:eastAsia="en-GB"/>
        </w:rPr>
        <w:t xml:space="preserve"> also</w:t>
      </w:r>
      <w:r w:rsidR="00FC7999">
        <w:rPr>
          <w:lang w:val="en-GB" w:eastAsia="en-GB"/>
        </w:rPr>
        <w:t>, requiring SNRs more than 11 dB greater to achieve the same rate</w:t>
      </w:r>
      <w:r>
        <w:rPr>
          <w:lang w:val="en-GB" w:eastAsia="en-GB"/>
        </w:rPr>
        <w:t>.</w:t>
      </w:r>
    </w:p>
    <w:p w:rsidR="002A70E2" w:rsidRPr="00E752B0" w:rsidRDefault="002A70E2" w:rsidP="00E752B0">
      <w:pPr>
        <w:rPr>
          <w:lang w:val="en-GB" w:eastAsia="en-GB"/>
        </w:rPr>
      </w:pPr>
      <w:r>
        <w:rPr>
          <w:lang w:val="en-GB" w:eastAsia="en-GB"/>
        </w:rPr>
        <w:t>The NLoS models show an interesting behavior</w:t>
      </w:r>
      <w:r w:rsidR="006A16F1">
        <w:rPr>
          <w:lang w:val="en-GB" w:eastAsia="en-GB"/>
        </w:rPr>
        <w:t xml:space="preserve">. For the 64x2 case, all curves lie </w:t>
      </w:r>
      <w:r w:rsidR="00985A8E">
        <w:rPr>
          <w:lang w:val="en-GB" w:eastAsia="en-GB"/>
        </w:rPr>
        <w:t xml:space="preserve">very close to </w:t>
      </w:r>
      <w:r w:rsidR="006A16F1">
        <w:rPr>
          <w:lang w:val="en-GB" w:eastAsia="en-GB"/>
        </w:rPr>
        <w:t xml:space="preserve">each other, while for the 64x8 case, the curves are spread out. This indicates that operating with only two antennas misses out on much of the </w:t>
      </w:r>
      <w:r w:rsidR="00D857F8">
        <w:rPr>
          <w:lang w:val="en-GB" w:eastAsia="en-GB"/>
        </w:rPr>
        <w:t xml:space="preserve">differences in </w:t>
      </w:r>
      <w:r w:rsidR="006A16F1">
        <w:rPr>
          <w:lang w:val="en-GB" w:eastAsia="en-GB"/>
        </w:rPr>
        <w:t xml:space="preserve">spatial diversity of these channels. </w:t>
      </w:r>
      <w:r w:rsidR="00985A8E">
        <w:rPr>
          <w:lang w:val="en-GB" w:eastAsia="en-GB"/>
        </w:rPr>
        <w:t xml:space="preserve">For 64x8, </w:t>
      </w:r>
      <w:r w:rsidR="006A16F1">
        <w:rPr>
          <w:lang w:val="en-GB" w:eastAsia="en-GB"/>
        </w:rPr>
        <w:t>CDL-A seem</w:t>
      </w:r>
      <w:r w:rsidR="00C85C1C">
        <w:rPr>
          <w:lang w:val="en-GB" w:eastAsia="en-GB"/>
        </w:rPr>
        <w:t>s</w:t>
      </w:r>
      <w:r w:rsidR="006A16F1">
        <w:rPr>
          <w:lang w:val="en-GB" w:eastAsia="en-GB"/>
        </w:rPr>
        <w:t xml:space="preserve"> to have the most diversity because its capacity is the highest, while CDL-C has the lowest of the three. When operated with only two antennas,</w:t>
      </w:r>
      <w:r w:rsidR="003C208D">
        <w:rPr>
          <w:lang w:val="en-GB" w:eastAsia="en-GB"/>
        </w:rPr>
        <w:t xml:space="preserve"> the theoretical MIMO system </w:t>
      </w:r>
      <w:r w:rsidR="006A16F1">
        <w:rPr>
          <w:lang w:val="en-GB" w:eastAsia="en-GB"/>
        </w:rPr>
        <w:t xml:space="preserve">is limited </w:t>
      </w:r>
      <w:r w:rsidR="00C85C1C">
        <w:rPr>
          <w:lang w:val="en-GB" w:eastAsia="en-GB"/>
        </w:rPr>
        <w:t xml:space="preserve">to </w:t>
      </w:r>
      <w:r w:rsidR="003C208D">
        <w:rPr>
          <w:lang w:val="en-GB" w:eastAsia="en-GB"/>
        </w:rPr>
        <w:t xml:space="preserve">using </w:t>
      </w:r>
      <w:r w:rsidR="00C85C1C">
        <w:rPr>
          <w:lang w:val="en-GB" w:eastAsia="en-GB"/>
        </w:rPr>
        <w:t>only two spatial modes</w:t>
      </w:r>
      <w:r w:rsidR="003C208D">
        <w:rPr>
          <w:lang w:val="en-GB" w:eastAsia="en-GB"/>
        </w:rPr>
        <w:t>; we can say</w:t>
      </w:r>
      <w:r w:rsidR="00114158">
        <w:rPr>
          <w:lang w:val="en-GB" w:eastAsia="en-GB"/>
        </w:rPr>
        <w:t xml:space="preserve"> the capacity </w:t>
      </w:r>
      <w:r w:rsidR="00C85C1C">
        <w:rPr>
          <w:lang w:val="en-GB" w:eastAsia="en-GB"/>
        </w:rPr>
        <w:t>is limited by the MIMO dimension</w:t>
      </w:r>
      <w:r w:rsidR="00D857F8">
        <w:rPr>
          <w:lang w:val="en-GB" w:eastAsia="en-GB"/>
        </w:rPr>
        <w:t>, so the spatial differences between the actual channel models have much less impact</w:t>
      </w:r>
      <w:r w:rsidR="00C85C1C">
        <w:rPr>
          <w:lang w:val="en-GB" w:eastAsia="en-GB"/>
        </w:rPr>
        <w:t>.</w:t>
      </w:r>
    </w:p>
    <w:p w:rsidR="0023243D" w:rsidRDefault="009343F7" w:rsidP="0023243D">
      <w:pPr>
        <w:jc w:val="center"/>
      </w:pPr>
      <w:r w:rsidRPr="009343F7">
        <w:rPr>
          <w:noProof/>
        </w:rPr>
        <w:drawing>
          <wp:inline distT="0" distB="0" distL="0" distR="0">
            <wp:extent cx="3063240" cy="3456432"/>
            <wp:effectExtent l="0" t="0" r="381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3240" cy="3456432"/>
                    </a:xfrm>
                    <a:prstGeom prst="rect">
                      <a:avLst/>
                    </a:prstGeom>
                    <a:noFill/>
                    <a:ln>
                      <a:noFill/>
                    </a:ln>
                  </pic:spPr>
                </pic:pic>
              </a:graphicData>
            </a:graphic>
          </wp:inline>
        </w:drawing>
      </w:r>
    </w:p>
    <w:p w:rsidR="0023243D" w:rsidRDefault="0023243D" w:rsidP="0023243D">
      <w:pPr>
        <w:pStyle w:val="Caption"/>
        <w:rPr>
          <w:lang w:val="en-GB" w:eastAsia="en-GB"/>
        </w:rPr>
      </w:pPr>
      <w:bookmarkStart w:id="4" w:name="_Ref498547502"/>
      <w:bookmarkStart w:id="5" w:name="_Ref498678580"/>
      <w:r>
        <w:t xml:space="preserve">Figure </w:t>
      </w:r>
      <w:r w:rsidR="00663F45">
        <w:fldChar w:fldCharType="begin"/>
      </w:r>
      <w:r w:rsidR="00663F45">
        <w:instrText xml:space="preserve"> SEQ Figure \* ARABIC </w:instrText>
      </w:r>
      <w:r w:rsidR="00663F45">
        <w:fldChar w:fldCharType="separate"/>
      </w:r>
      <w:r w:rsidR="0028722B">
        <w:rPr>
          <w:noProof/>
        </w:rPr>
        <w:t>3</w:t>
      </w:r>
      <w:r w:rsidR="00663F45">
        <w:rPr>
          <w:noProof/>
        </w:rPr>
        <w:fldChar w:fldCharType="end"/>
      </w:r>
      <w:bookmarkEnd w:id="4"/>
      <w:r>
        <w:t xml:space="preserve">. Comparison of </w:t>
      </w:r>
      <w:r w:rsidR="00D857F8">
        <w:t xml:space="preserve">ergodic </w:t>
      </w:r>
      <w:r w:rsidR="00E752B0">
        <w:t xml:space="preserve">capacity with different </w:t>
      </w:r>
      <w:r w:rsidR="008F1F1A">
        <w:t xml:space="preserve">UE </w:t>
      </w:r>
      <w:r w:rsidR="00E752B0">
        <w:t xml:space="preserve">antenna </w:t>
      </w:r>
      <w:r w:rsidR="008F1F1A">
        <w:t xml:space="preserve">array </w:t>
      </w:r>
      <w:r w:rsidR="00E752B0">
        <w:t>sizes</w:t>
      </w:r>
      <w:r w:rsidR="008F1F1A">
        <w:t>: “2x2x2” vs. “1x1x2”</w:t>
      </w:r>
      <w:r w:rsidR="00E752B0">
        <w:t>.</w:t>
      </w:r>
      <w:bookmarkEnd w:id="5"/>
    </w:p>
    <w:p w:rsidR="00985A8E" w:rsidRDefault="003C208D" w:rsidP="009A1EB5">
      <w:pPr>
        <w:rPr>
          <w:lang w:val="en-GB" w:eastAsia="en-GB"/>
        </w:rPr>
      </w:pPr>
      <w:r>
        <w:rPr>
          <w:lang w:val="en-GB" w:eastAsia="en-GB"/>
        </w:rPr>
        <w:t>We turn now to results comparing the ideal CDL models with the</w:t>
      </w:r>
      <w:r w:rsidR="00EC5C6A">
        <w:rPr>
          <w:lang w:val="en-GB" w:eastAsia="en-GB"/>
        </w:rPr>
        <w:t>ir</w:t>
      </w:r>
      <w:r>
        <w:rPr>
          <w:lang w:val="en-GB" w:eastAsia="en-GB"/>
        </w:rPr>
        <w:t xml:space="preserve"> MZA </w:t>
      </w:r>
      <w:r w:rsidR="00EC5C6A">
        <w:rPr>
          <w:lang w:val="en-GB" w:eastAsia="en-GB"/>
        </w:rPr>
        <w:t xml:space="preserve">versions. </w:t>
      </w:r>
      <w:r w:rsidR="004A1DA0">
        <w:rPr>
          <w:lang w:val="en-GB" w:eastAsia="en-GB"/>
        </w:rPr>
        <w:fldChar w:fldCharType="begin"/>
      </w:r>
      <w:r w:rsidR="004A1DA0">
        <w:rPr>
          <w:lang w:val="en-GB" w:eastAsia="en-GB"/>
        </w:rPr>
        <w:instrText xml:space="preserve"> REF _Ref498511301 \h </w:instrText>
      </w:r>
      <w:r w:rsidR="004A1DA0">
        <w:rPr>
          <w:lang w:val="en-GB" w:eastAsia="en-GB"/>
        </w:rPr>
      </w:r>
      <w:r w:rsidR="004A1DA0">
        <w:rPr>
          <w:lang w:val="en-GB" w:eastAsia="en-GB"/>
        </w:rPr>
        <w:fldChar w:fldCharType="separate"/>
      </w:r>
      <w:r w:rsidR="00755C24">
        <w:t xml:space="preserve">Figure </w:t>
      </w:r>
      <w:r w:rsidR="00755C24">
        <w:rPr>
          <w:noProof/>
        </w:rPr>
        <w:t>4</w:t>
      </w:r>
      <w:r w:rsidR="004A1DA0">
        <w:rPr>
          <w:lang w:val="en-GB" w:eastAsia="en-GB"/>
        </w:rPr>
        <w:fldChar w:fldCharType="end"/>
      </w:r>
      <w:r w:rsidR="004A1DA0">
        <w:rPr>
          <w:lang w:val="en-GB" w:eastAsia="en-GB"/>
        </w:rPr>
        <w:t xml:space="preserve"> shows e</w:t>
      </w:r>
      <w:r w:rsidR="00A6779E">
        <w:rPr>
          <w:lang w:val="en-GB" w:eastAsia="en-GB"/>
        </w:rPr>
        <w:t xml:space="preserve">rgodic capacity results comparing the ideal models </w:t>
      </w:r>
      <w:r w:rsidR="00EC5C6A">
        <w:rPr>
          <w:lang w:val="en-GB" w:eastAsia="en-GB"/>
        </w:rPr>
        <w:t xml:space="preserve">(left side) </w:t>
      </w:r>
      <w:r w:rsidR="00A6779E">
        <w:rPr>
          <w:lang w:val="en-GB" w:eastAsia="en-GB"/>
        </w:rPr>
        <w:t>with the same models using modified zero ASA</w:t>
      </w:r>
      <w:r w:rsidR="00EC5C6A">
        <w:rPr>
          <w:lang w:val="en-GB" w:eastAsia="en-GB"/>
        </w:rPr>
        <w:t xml:space="preserve"> (right </w:t>
      </w:r>
      <w:r w:rsidR="00EC5C6A">
        <w:rPr>
          <w:lang w:val="en-GB" w:eastAsia="en-GB"/>
        </w:rPr>
        <w:lastRenderedPageBreak/>
        <w:t>side)</w:t>
      </w:r>
      <w:r w:rsidR="00A6779E">
        <w:rPr>
          <w:lang w:val="en-GB" w:eastAsia="en-GB"/>
        </w:rPr>
        <w:t xml:space="preserve">. </w:t>
      </w:r>
      <w:r w:rsidR="00EC5C6A">
        <w:rPr>
          <w:lang w:val="en-GB" w:eastAsia="en-GB"/>
        </w:rPr>
        <w:t>In each, t</w:t>
      </w:r>
      <w:r w:rsidR="00224524">
        <w:rPr>
          <w:lang w:val="en-GB" w:eastAsia="en-GB"/>
        </w:rPr>
        <w:t xml:space="preserve">here are two groups of results indicated by red </w:t>
      </w:r>
      <w:r w:rsidR="00FC7999">
        <w:rPr>
          <w:lang w:val="en-GB" w:eastAsia="en-GB"/>
        </w:rPr>
        <w:t>ovals</w:t>
      </w:r>
      <w:r w:rsidR="00224524">
        <w:rPr>
          <w:lang w:val="en-GB" w:eastAsia="en-GB"/>
        </w:rPr>
        <w:t>. The top group shows results for the known channel</w:t>
      </w:r>
      <w:r w:rsidR="004A1DA0">
        <w:rPr>
          <w:lang w:val="en-GB" w:eastAsia="en-GB"/>
        </w:rPr>
        <w:t xml:space="preserve"> (same as in </w:t>
      </w:r>
      <w:r w:rsidR="004A1DA0">
        <w:rPr>
          <w:lang w:val="en-GB" w:eastAsia="en-GB"/>
        </w:rPr>
        <w:fldChar w:fldCharType="begin"/>
      </w:r>
      <w:r w:rsidR="004A1DA0">
        <w:rPr>
          <w:lang w:val="en-GB" w:eastAsia="en-GB"/>
        </w:rPr>
        <w:instrText xml:space="preserve"> REF _Ref498547502 \h </w:instrText>
      </w:r>
      <w:r w:rsidR="004A1DA0">
        <w:rPr>
          <w:lang w:val="en-GB" w:eastAsia="en-GB"/>
        </w:rPr>
      </w:r>
      <w:r w:rsidR="004A1DA0">
        <w:rPr>
          <w:lang w:val="en-GB" w:eastAsia="en-GB"/>
        </w:rPr>
        <w:fldChar w:fldCharType="separate"/>
      </w:r>
      <w:r w:rsidR="00755C24">
        <w:t xml:space="preserve">Figure </w:t>
      </w:r>
      <w:r w:rsidR="00755C24">
        <w:rPr>
          <w:noProof/>
        </w:rPr>
        <w:t>3</w:t>
      </w:r>
      <w:r w:rsidR="004A1DA0">
        <w:rPr>
          <w:lang w:val="en-GB" w:eastAsia="en-GB"/>
        </w:rPr>
        <w:fldChar w:fldCharType="end"/>
      </w:r>
      <w:r w:rsidR="004A1DA0">
        <w:rPr>
          <w:lang w:val="en-GB" w:eastAsia="en-GB"/>
        </w:rPr>
        <w:t>)</w:t>
      </w:r>
      <w:r w:rsidR="00EC5C6A">
        <w:rPr>
          <w:lang w:val="en-GB" w:eastAsia="en-GB"/>
        </w:rPr>
        <w:t xml:space="preserve"> and are marked with</w:t>
      </w:r>
      <w:r w:rsidR="007E664A">
        <w:rPr>
          <w:lang w:val="en-GB" w:eastAsia="en-GB"/>
        </w:rPr>
        <w:t xml:space="preserve"> circular symbols</w:t>
      </w:r>
      <w:r w:rsidR="00EC5C6A">
        <w:rPr>
          <w:lang w:val="en-GB" w:eastAsia="en-GB"/>
        </w:rPr>
        <w:t xml:space="preserve"> at each data point</w:t>
      </w:r>
      <w:r w:rsidR="00224524">
        <w:rPr>
          <w:lang w:val="en-GB" w:eastAsia="en-GB"/>
        </w:rPr>
        <w:t>, the bottom is for the unknown channel</w:t>
      </w:r>
      <w:r w:rsidR="00EC5C6A">
        <w:rPr>
          <w:lang w:val="en-GB" w:eastAsia="en-GB"/>
        </w:rPr>
        <w:t xml:space="preserve"> and has no symbols on the curves</w:t>
      </w:r>
      <w:r w:rsidR="00224524">
        <w:rPr>
          <w:lang w:val="en-GB" w:eastAsia="en-GB"/>
        </w:rPr>
        <w:t xml:space="preserve">. </w:t>
      </w:r>
      <w:r w:rsidR="007E664A">
        <w:rPr>
          <w:lang w:val="en-GB" w:eastAsia="en-GB"/>
        </w:rPr>
        <w:t>The color of each curve for the known vs. unknown channel results are the same for each model. The black curves indicate the respective performance with the IID channel as a reference.</w:t>
      </w:r>
    </w:p>
    <w:p w:rsidR="00EC5C6A" w:rsidRDefault="00EC5C6A" w:rsidP="009A1EB5">
      <w:pPr>
        <w:rPr>
          <w:lang w:val="en-GB" w:eastAsia="en-GB"/>
        </w:rPr>
      </w:pPr>
      <w:r>
        <w:rPr>
          <w:lang w:val="en-GB" w:eastAsia="en-GB"/>
        </w:rPr>
        <w:t xml:space="preserve">The results for the unknown channel case are provided </w:t>
      </w:r>
      <w:r w:rsidR="00985A8E">
        <w:rPr>
          <w:lang w:val="en-GB" w:eastAsia="en-GB"/>
        </w:rPr>
        <w:t xml:space="preserve">only </w:t>
      </w:r>
      <w:r>
        <w:rPr>
          <w:lang w:val="en-GB" w:eastAsia="en-GB"/>
        </w:rPr>
        <w:t xml:space="preserve">for comparison with results in </w:t>
      </w:r>
      <w:r>
        <w:rPr>
          <w:lang w:val="en-GB" w:eastAsia="en-GB"/>
        </w:rPr>
        <w:fldChar w:fldCharType="begin"/>
      </w:r>
      <w:r>
        <w:rPr>
          <w:lang w:val="en-GB" w:eastAsia="en-GB"/>
        </w:rPr>
        <w:instrText xml:space="preserve"> REF _Ref492801159 \w \h </w:instrText>
      </w:r>
      <w:r>
        <w:rPr>
          <w:lang w:val="en-GB" w:eastAsia="en-GB"/>
        </w:rPr>
      </w:r>
      <w:r>
        <w:rPr>
          <w:lang w:val="en-GB" w:eastAsia="en-GB"/>
        </w:rPr>
        <w:fldChar w:fldCharType="separate"/>
      </w:r>
      <w:r w:rsidR="00755C24">
        <w:rPr>
          <w:lang w:val="en-GB" w:eastAsia="en-GB"/>
        </w:rPr>
        <w:t>[3]</w:t>
      </w:r>
      <w:r>
        <w:rPr>
          <w:lang w:val="en-GB" w:eastAsia="en-GB"/>
        </w:rPr>
        <w:fldChar w:fldCharType="end"/>
      </w:r>
      <w:r>
        <w:rPr>
          <w:lang w:val="en-GB" w:eastAsia="en-GB"/>
        </w:rPr>
        <w:t>.</w:t>
      </w:r>
      <w:r w:rsidR="00985A8E">
        <w:rPr>
          <w:lang w:val="en-GB" w:eastAsia="en-GB"/>
        </w:rPr>
        <w:t xml:space="preserve"> We will not show results for the unknown channel in any other results.</w:t>
      </w:r>
    </w:p>
    <w:p w:rsidR="004A1DA0" w:rsidRDefault="00EC5C6A" w:rsidP="009A1EB5">
      <w:pPr>
        <w:rPr>
          <w:lang w:val="en-GB" w:eastAsia="en-GB"/>
        </w:rPr>
      </w:pPr>
      <w:r>
        <w:rPr>
          <w:lang w:val="en-GB" w:eastAsia="en-GB"/>
        </w:rPr>
        <w:t xml:space="preserve">Starting with the results for the ideal CDLs, </w:t>
      </w:r>
      <w:r w:rsidR="002B1143">
        <w:rPr>
          <w:lang w:val="en-GB" w:eastAsia="en-GB"/>
        </w:rPr>
        <w:t xml:space="preserve">we see that </w:t>
      </w:r>
      <w:r w:rsidR="00D857F8">
        <w:rPr>
          <w:lang w:val="en-GB" w:eastAsia="en-GB"/>
        </w:rPr>
        <w:t>N</w:t>
      </w:r>
      <w:r w:rsidR="002B1143">
        <w:rPr>
          <w:lang w:val="en-GB" w:eastAsia="en-GB"/>
        </w:rPr>
        <w:t>L</w:t>
      </w:r>
      <w:r w:rsidR="00D857F8">
        <w:rPr>
          <w:lang w:val="en-GB" w:eastAsia="en-GB"/>
        </w:rPr>
        <w:t>o</w:t>
      </w:r>
      <w:r w:rsidR="002B1143">
        <w:rPr>
          <w:lang w:val="en-GB" w:eastAsia="en-GB"/>
        </w:rPr>
        <w:t xml:space="preserve">S CDLs A-C are </w:t>
      </w:r>
      <w:r w:rsidR="00953C88">
        <w:rPr>
          <w:lang w:val="en-GB" w:eastAsia="en-GB"/>
        </w:rPr>
        <w:t>fairly close to each other</w:t>
      </w:r>
      <w:r w:rsidR="004A1DA0">
        <w:rPr>
          <w:lang w:val="en-GB" w:eastAsia="en-GB"/>
        </w:rPr>
        <w:t xml:space="preserve">. This </w:t>
      </w:r>
      <w:r>
        <w:rPr>
          <w:lang w:val="en-GB" w:eastAsia="en-GB"/>
        </w:rPr>
        <w:t xml:space="preserve">is </w:t>
      </w:r>
      <w:r w:rsidR="004A1DA0">
        <w:rPr>
          <w:lang w:val="en-GB" w:eastAsia="en-GB"/>
        </w:rPr>
        <w:t xml:space="preserve">true for </w:t>
      </w:r>
      <w:r>
        <w:rPr>
          <w:lang w:val="en-GB" w:eastAsia="en-GB"/>
        </w:rPr>
        <w:t xml:space="preserve">both </w:t>
      </w:r>
      <w:r w:rsidR="004A1DA0">
        <w:rPr>
          <w:lang w:val="en-GB" w:eastAsia="en-GB"/>
        </w:rPr>
        <w:t xml:space="preserve">the </w:t>
      </w:r>
      <w:r>
        <w:rPr>
          <w:lang w:val="en-GB" w:eastAsia="en-GB"/>
        </w:rPr>
        <w:t xml:space="preserve">known and </w:t>
      </w:r>
      <w:r w:rsidR="004A1DA0">
        <w:rPr>
          <w:lang w:val="en-GB" w:eastAsia="en-GB"/>
        </w:rPr>
        <w:t xml:space="preserve">unknown channel case, further indicating the limiting nature of the </w:t>
      </w:r>
      <w:r>
        <w:rPr>
          <w:lang w:val="en-GB" w:eastAsia="en-GB"/>
        </w:rPr>
        <w:t>rank 2 channel</w:t>
      </w:r>
      <w:r w:rsidR="004A1DA0">
        <w:rPr>
          <w:lang w:val="en-GB" w:eastAsia="en-GB"/>
        </w:rPr>
        <w:t>.</w:t>
      </w:r>
    </w:p>
    <w:p w:rsidR="00224524" w:rsidRDefault="004A1DA0" w:rsidP="009A1EB5">
      <w:pPr>
        <w:rPr>
          <w:lang w:val="en-GB" w:eastAsia="en-GB"/>
        </w:rPr>
      </w:pPr>
      <w:r>
        <w:rPr>
          <w:lang w:val="en-GB" w:eastAsia="en-GB"/>
        </w:rPr>
        <w:t>The two L</w:t>
      </w:r>
      <w:r w:rsidR="00D857F8">
        <w:rPr>
          <w:lang w:val="en-GB" w:eastAsia="en-GB"/>
        </w:rPr>
        <w:t>o</w:t>
      </w:r>
      <w:r>
        <w:rPr>
          <w:lang w:val="en-GB" w:eastAsia="en-GB"/>
        </w:rPr>
        <w:t>S CDLs D and</w:t>
      </w:r>
      <w:r w:rsidR="002B1143">
        <w:rPr>
          <w:lang w:val="en-GB" w:eastAsia="en-GB"/>
        </w:rPr>
        <w:t xml:space="preserve"> E fall below the NL</w:t>
      </w:r>
      <w:r w:rsidR="00D857F8">
        <w:rPr>
          <w:lang w:val="en-GB" w:eastAsia="en-GB"/>
        </w:rPr>
        <w:t>o</w:t>
      </w:r>
      <w:r w:rsidR="002B1143">
        <w:rPr>
          <w:lang w:val="en-GB" w:eastAsia="en-GB"/>
        </w:rPr>
        <w:t>S results</w:t>
      </w:r>
      <w:r>
        <w:rPr>
          <w:lang w:val="en-GB" w:eastAsia="en-GB"/>
        </w:rPr>
        <w:t xml:space="preserve"> for both the known and unknown channel cases</w:t>
      </w:r>
      <w:r w:rsidR="002B1143">
        <w:rPr>
          <w:lang w:val="en-GB" w:eastAsia="en-GB"/>
        </w:rPr>
        <w:t>.</w:t>
      </w:r>
    </w:p>
    <w:p w:rsidR="007638BD" w:rsidRDefault="008434C5" w:rsidP="009A1EB5">
      <w:pPr>
        <w:rPr>
          <w:lang w:val="en-GB" w:eastAsia="en-GB"/>
        </w:rPr>
      </w:pPr>
      <w:r>
        <w:rPr>
          <w:lang w:val="en-GB" w:eastAsia="en-GB"/>
        </w:rPr>
        <w:t xml:space="preserve">The results for </w:t>
      </w:r>
      <w:r w:rsidR="007638BD">
        <w:rPr>
          <w:lang w:val="en-GB" w:eastAsia="en-GB"/>
        </w:rPr>
        <w:t xml:space="preserve">the MZA case </w:t>
      </w:r>
      <w:r w:rsidR="00953C88">
        <w:rPr>
          <w:lang w:val="en-GB" w:eastAsia="en-GB"/>
        </w:rPr>
        <w:t>appear, at least from these graphs, to be very close to the ideal</w:t>
      </w:r>
      <w:r w:rsidR="007638BD">
        <w:rPr>
          <w:lang w:val="en-GB" w:eastAsia="en-GB"/>
        </w:rPr>
        <w:t xml:space="preserve">. In </w:t>
      </w:r>
      <w:r w:rsidR="007638BD">
        <w:rPr>
          <w:lang w:val="en-GB" w:eastAsia="en-GB"/>
        </w:rPr>
        <w:fldChar w:fldCharType="begin"/>
      </w:r>
      <w:r w:rsidR="007638BD">
        <w:rPr>
          <w:lang w:val="en-GB" w:eastAsia="en-GB"/>
        </w:rPr>
        <w:instrText xml:space="preserve"> REF _Ref492801159 \w \h </w:instrText>
      </w:r>
      <w:r w:rsidR="007638BD">
        <w:rPr>
          <w:lang w:val="en-GB" w:eastAsia="en-GB"/>
        </w:rPr>
      </w:r>
      <w:r w:rsidR="007638BD">
        <w:rPr>
          <w:lang w:val="en-GB" w:eastAsia="en-GB"/>
        </w:rPr>
        <w:fldChar w:fldCharType="separate"/>
      </w:r>
      <w:r w:rsidR="00755C24">
        <w:rPr>
          <w:lang w:val="en-GB" w:eastAsia="en-GB"/>
        </w:rPr>
        <w:t>[3]</w:t>
      </w:r>
      <w:r w:rsidR="007638BD">
        <w:rPr>
          <w:lang w:val="en-GB" w:eastAsia="en-GB"/>
        </w:rPr>
        <w:fldChar w:fldCharType="end"/>
      </w:r>
      <w:r w:rsidR="007638BD">
        <w:rPr>
          <w:lang w:val="en-GB" w:eastAsia="en-GB"/>
        </w:rPr>
        <w:t>, we saw that for CDL-A ideal vs. MZA, there was a small degradation. Comparing with the other CDLs reveals some</w:t>
      </w:r>
      <w:r w:rsidR="00EC5C6A">
        <w:rPr>
          <w:lang w:val="en-GB" w:eastAsia="en-GB"/>
        </w:rPr>
        <w:t xml:space="preserve"> larger</w:t>
      </w:r>
      <w:r w:rsidR="007638BD">
        <w:rPr>
          <w:lang w:val="en-GB" w:eastAsia="en-GB"/>
        </w:rPr>
        <w:t xml:space="preserve"> differences, </w:t>
      </w:r>
      <w:r w:rsidR="00953C88">
        <w:rPr>
          <w:lang w:val="en-GB" w:eastAsia="en-GB"/>
        </w:rPr>
        <w:t>for instance, the CDL-B MZA result does look lower compared to the ideal case.</w:t>
      </w:r>
    </w:p>
    <w:p w:rsidR="005B236C" w:rsidRDefault="005B236C" w:rsidP="009A1EB5">
      <w:pPr>
        <w:rPr>
          <w:lang w:val="en-GB" w:eastAsia="en-GB"/>
        </w:rPr>
      </w:pPr>
      <w:r>
        <w:rPr>
          <w:lang w:val="en-GB" w:eastAsia="en-GB"/>
        </w:rPr>
        <w:t>Unfortunately, this form of graph, while concisely showing a large amount of data, does not make</w:t>
      </w:r>
      <w:r w:rsidR="00EC5C6A">
        <w:rPr>
          <w:lang w:val="en-GB" w:eastAsia="en-GB"/>
        </w:rPr>
        <w:t xml:space="preserve"> close</w:t>
      </w:r>
      <w:r>
        <w:rPr>
          <w:lang w:val="en-GB" w:eastAsia="en-GB"/>
        </w:rPr>
        <w:t xml:space="preserve"> comparisons between ideal and MZA easy. For this, we turn to the graphs of capacity distribution at a single SNR.</w:t>
      </w:r>
    </w:p>
    <w:p w:rsidR="009B0BCD" w:rsidRDefault="009343F7" w:rsidP="009343F7">
      <w:pPr>
        <w:jc w:val="center"/>
        <w:rPr>
          <w:lang w:val="en-GB" w:eastAsia="en-GB"/>
        </w:rPr>
      </w:pPr>
      <w:r w:rsidRPr="009343F7">
        <w:rPr>
          <w:noProof/>
        </w:rPr>
        <w:drawing>
          <wp:inline distT="0" distB="0" distL="0" distR="0">
            <wp:extent cx="2999232" cy="337413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9232" cy="3374136"/>
                    </a:xfrm>
                    <a:prstGeom prst="rect">
                      <a:avLst/>
                    </a:prstGeom>
                    <a:noFill/>
                    <a:ln>
                      <a:noFill/>
                    </a:ln>
                  </pic:spPr>
                </pic:pic>
              </a:graphicData>
            </a:graphic>
          </wp:inline>
        </w:drawing>
      </w:r>
      <w:r w:rsidRPr="009343F7">
        <w:rPr>
          <w:noProof/>
        </w:rPr>
        <w:drawing>
          <wp:inline distT="0" distB="0" distL="0" distR="0">
            <wp:extent cx="3008376" cy="3374136"/>
            <wp:effectExtent l="0" t="0" r="190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8376" cy="3374136"/>
                    </a:xfrm>
                    <a:prstGeom prst="rect">
                      <a:avLst/>
                    </a:prstGeom>
                    <a:noFill/>
                    <a:ln>
                      <a:noFill/>
                    </a:ln>
                  </pic:spPr>
                </pic:pic>
              </a:graphicData>
            </a:graphic>
          </wp:inline>
        </w:drawing>
      </w:r>
    </w:p>
    <w:p w:rsidR="009A1EB5" w:rsidRDefault="00A6779E" w:rsidP="00A6779E">
      <w:pPr>
        <w:pStyle w:val="Caption"/>
      </w:pPr>
      <w:bookmarkStart w:id="6" w:name="_Ref498511301"/>
      <w:bookmarkStart w:id="7" w:name="_Ref498678589"/>
      <w:r>
        <w:t xml:space="preserve">Figure </w:t>
      </w:r>
      <w:r w:rsidR="00663F45">
        <w:fldChar w:fldCharType="begin"/>
      </w:r>
      <w:r w:rsidR="00663F45">
        <w:instrText xml:space="preserve"> SEQ Figure \* ARABIC </w:instrText>
      </w:r>
      <w:r w:rsidR="00663F45">
        <w:fldChar w:fldCharType="separate"/>
      </w:r>
      <w:r w:rsidR="0028722B">
        <w:rPr>
          <w:noProof/>
        </w:rPr>
        <w:t>4</w:t>
      </w:r>
      <w:r w:rsidR="00663F45">
        <w:rPr>
          <w:noProof/>
        </w:rPr>
        <w:fldChar w:fldCharType="end"/>
      </w:r>
      <w:bookmarkEnd w:id="6"/>
      <w:r>
        <w:t>. Ergodic capacity results; left figure showing the ideal results, right figure showing results using modified zero ASA.</w:t>
      </w:r>
      <w:bookmarkEnd w:id="7"/>
    </w:p>
    <w:p w:rsidR="007638BD" w:rsidRDefault="007D1AF7" w:rsidP="007D1AF7">
      <w:pPr>
        <w:pStyle w:val="Heading2"/>
      </w:pPr>
      <w:r>
        <w:t>4.2</w:t>
      </w:r>
      <w:r>
        <w:tab/>
        <w:t>Capacity Distribution at 10 dB SNR</w:t>
      </w:r>
    </w:p>
    <w:p w:rsidR="00953C88" w:rsidRDefault="007D1AF7" w:rsidP="007D1AF7">
      <w:pPr>
        <w:rPr>
          <w:lang w:val="en-GB" w:eastAsia="en-GB"/>
        </w:rPr>
      </w:pPr>
      <w:r>
        <w:rPr>
          <w:lang w:val="en-GB" w:eastAsia="en-GB"/>
        </w:rPr>
        <w:t xml:space="preserve">The capacity distributions in </w:t>
      </w:r>
      <w:r>
        <w:rPr>
          <w:lang w:val="en-GB" w:eastAsia="en-GB"/>
        </w:rPr>
        <w:fldChar w:fldCharType="begin"/>
      </w:r>
      <w:r>
        <w:rPr>
          <w:lang w:val="en-GB" w:eastAsia="en-GB"/>
        </w:rPr>
        <w:instrText xml:space="preserve"> REF _Ref498517729 \h </w:instrText>
      </w:r>
      <w:r>
        <w:rPr>
          <w:lang w:val="en-GB" w:eastAsia="en-GB"/>
        </w:rPr>
      </w:r>
      <w:r>
        <w:rPr>
          <w:lang w:val="en-GB" w:eastAsia="en-GB"/>
        </w:rPr>
        <w:fldChar w:fldCharType="separate"/>
      </w:r>
      <w:r w:rsidR="00755C24">
        <w:t xml:space="preserve">Figure </w:t>
      </w:r>
      <w:r w:rsidR="00755C24">
        <w:rPr>
          <w:noProof/>
        </w:rPr>
        <w:t>5</w:t>
      </w:r>
      <w:r>
        <w:rPr>
          <w:lang w:val="en-GB" w:eastAsia="en-GB"/>
        </w:rPr>
        <w:fldChar w:fldCharType="end"/>
      </w:r>
      <w:r>
        <w:rPr>
          <w:lang w:val="en-GB" w:eastAsia="en-GB"/>
        </w:rPr>
        <w:t xml:space="preserve"> show the results for each CDL in the TR, comparing the ideal result with the MZA result. </w:t>
      </w:r>
      <w:r w:rsidR="00953C88">
        <w:rPr>
          <w:lang w:val="en-GB" w:eastAsia="en-GB"/>
        </w:rPr>
        <w:t>The metric is channel capacity when the channel is known to the transmitter</w:t>
      </w:r>
      <w:r w:rsidR="00FC7999">
        <w:rPr>
          <w:lang w:val="en-GB" w:eastAsia="en-GB"/>
        </w:rPr>
        <w:t>, measured at 10 dB SNR</w:t>
      </w:r>
      <w:r w:rsidR="00953C88">
        <w:rPr>
          <w:lang w:val="en-GB" w:eastAsia="en-GB"/>
        </w:rPr>
        <w:t>.</w:t>
      </w:r>
      <w:r w:rsidR="00962642">
        <w:rPr>
          <w:lang w:val="en-GB" w:eastAsia="en-GB"/>
        </w:rPr>
        <w:t xml:space="preserve"> The lower-right plot contains the results for both CDL-D and E because they are clearly separated.</w:t>
      </w:r>
    </w:p>
    <w:p w:rsidR="00953C88" w:rsidRDefault="007D1AF7" w:rsidP="007D1AF7">
      <w:pPr>
        <w:rPr>
          <w:lang w:val="en-GB" w:eastAsia="en-GB"/>
        </w:rPr>
      </w:pPr>
      <w:r>
        <w:rPr>
          <w:lang w:val="en-GB" w:eastAsia="en-GB"/>
        </w:rPr>
        <w:t xml:space="preserve">CDL-A </w:t>
      </w:r>
      <w:r w:rsidR="00953C88">
        <w:rPr>
          <w:lang w:val="en-GB" w:eastAsia="en-GB"/>
        </w:rPr>
        <w:t>shows an almost exact match of ideal and MZA result. CDL-E MZA results fall next closest to the ideal, followed by CDL-C. All three show pretty much an exact match. CDL-B shows a small degradation (about 0.2 bps/Hz), and CDL-D shows about 0.3 bps/Hz degradation.</w:t>
      </w:r>
    </w:p>
    <w:p w:rsidR="005173A5" w:rsidRPr="007D1AF7" w:rsidRDefault="00953C88" w:rsidP="007D1AF7">
      <w:pPr>
        <w:rPr>
          <w:lang w:val="en-GB" w:eastAsia="en-GB"/>
        </w:rPr>
      </w:pPr>
      <w:r>
        <w:rPr>
          <w:lang w:val="en-GB" w:eastAsia="en-GB"/>
        </w:rPr>
        <w:lastRenderedPageBreak/>
        <w:t>Overall, the results are very positive, showing that for this UE antenna array and these models, the degradation in capacity is minimal.</w:t>
      </w:r>
    </w:p>
    <w:p w:rsidR="003F7FB8" w:rsidRDefault="009343F7" w:rsidP="003F7FB8">
      <w:pPr>
        <w:jc w:val="center"/>
      </w:pPr>
      <w:r w:rsidRPr="009343F7">
        <w:rPr>
          <w:noProof/>
        </w:rPr>
        <w:drawing>
          <wp:inline distT="0" distB="0" distL="0" distR="0">
            <wp:extent cx="3054096" cy="2660904"/>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4096" cy="2660904"/>
                    </a:xfrm>
                    <a:prstGeom prst="rect">
                      <a:avLst/>
                    </a:prstGeom>
                    <a:noFill/>
                    <a:ln>
                      <a:noFill/>
                    </a:ln>
                  </pic:spPr>
                </pic:pic>
              </a:graphicData>
            </a:graphic>
          </wp:inline>
        </w:drawing>
      </w:r>
      <w:r w:rsidR="00985A8E" w:rsidRPr="00985A8E">
        <w:rPr>
          <w:noProof/>
        </w:rPr>
        <w:drawing>
          <wp:inline distT="0" distB="0" distL="0" distR="0">
            <wp:extent cx="3054096" cy="2660904"/>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4096" cy="2660904"/>
                    </a:xfrm>
                    <a:prstGeom prst="rect">
                      <a:avLst/>
                    </a:prstGeom>
                    <a:noFill/>
                    <a:ln>
                      <a:noFill/>
                    </a:ln>
                  </pic:spPr>
                </pic:pic>
              </a:graphicData>
            </a:graphic>
          </wp:inline>
        </w:drawing>
      </w:r>
      <w:r w:rsidR="003F7FB8">
        <w:br/>
      </w:r>
      <w:r w:rsidR="00985A8E" w:rsidRPr="00985A8E">
        <w:rPr>
          <w:noProof/>
        </w:rPr>
        <w:drawing>
          <wp:inline distT="0" distB="0" distL="0" distR="0">
            <wp:extent cx="3054096" cy="2660904"/>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4096" cy="2660904"/>
                    </a:xfrm>
                    <a:prstGeom prst="rect">
                      <a:avLst/>
                    </a:prstGeom>
                    <a:noFill/>
                    <a:ln>
                      <a:noFill/>
                    </a:ln>
                  </pic:spPr>
                </pic:pic>
              </a:graphicData>
            </a:graphic>
          </wp:inline>
        </w:drawing>
      </w:r>
      <w:r w:rsidR="00962642" w:rsidRPr="00962642">
        <w:rPr>
          <w:noProof/>
        </w:rPr>
        <w:drawing>
          <wp:inline distT="0" distB="0" distL="0" distR="0">
            <wp:extent cx="3054096" cy="2660904"/>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4096" cy="2660904"/>
                    </a:xfrm>
                    <a:prstGeom prst="rect">
                      <a:avLst/>
                    </a:prstGeom>
                    <a:noFill/>
                    <a:ln>
                      <a:noFill/>
                    </a:ln>
                  </pic:spPr>
                </pic:pic>
              </a:graphicData>
            </a:graphic>
          </wp:inline>
        </w:drawing>
      </w:r>
      <w:r w:rsidR="003F7FB8">
        <w:br/>
      </w:r>
    </w:p>
    <w:p w:rsidR="007638BD" w:rsidRDefault="007D1AF7" w:rsidP="007D1AF7">
      <w:pPr>
        <w:pStyle w:val="Caption"/>
      </w:pPr>
      <w:bookmarkStart w:id="8" w:name="_Ref498517729"/>
      <w:bookmarkStart w:id="9" w:name="_Ref498678600"/>
      <w:r>
        <w:t xml:space="preserve">Figure </w:t>
      </w:r>
      <w:r w:rsidR="00663F45">
        <w:fldChar w:fldCharType="begin"/>
      </w:r>
      <w:r w:rsidR="00663F45">
        <w:instrText xml:space="preserve"> SEQ Figure \* ARABIC </w:instrText>
      </w:r>
      <w:r w:rsidR="00663F45">
        <w:fldChar w:fldCharType="separate"/>
      </w:r>
      <w:r w:rsidR="0028722B">
        <w:rPr>
          <w:noProof/>
        </w:rPr>
        <w:t>5</w:t>
      </w:r>
      <w:r w:rsidR="00663F45">
        <w:rPr>
          <w:noProof/>
        </w:rPr>
        <w:fldChar w:fldCharType="end"/>
      </w:r>
      <w:bookmarkEnd w:id="8"/>
      <w:r>
        <w:t xml:space="preserve">. Capacity distributions for each CDL in </w:t>
      </w:r>
      <w:r>
        <w:fldChar w:fldCharType="begin"/>
      </w:r>
      <w:r>
        <w:instrText xml:space="preserve"> REF _Ref498509603 \w \h </w:instrText>
      </w:r>
      <w:r>
        <w:fldChar w:fldCharType="separate"/>
      </w:r>
      <w:r w:rsidR="00755C24">
        <w:t>[1]</w:t>
      </w:r>
      <w:r>
        <w:fldChar w:fldCharType="end"/>
      </w:r>
      <w:r>
        <w:t>, compared with the MZA version of the same model.</w:t>
      </w:r>
      <w:bookmarkEnd w:id="9"/>
    </w:p>
    <w:p w:rsidR="007638BD" w:rsidRDefault="005173A5" w:rsidP="005173A5">
      <w:pPr>
        <w:pStyle w:val="Heading2"/>
      </w:pPr>
      <w:r>
        <w:t>4.3</w:t>
      </w:r>
      <w:r>
        <w:tab/>
        <w:t>Condition Number</w:t>
      </w:r>
    </w:p>
    <w:p w:rsidR="005173A5" w:rsidRDefault="0009534A" w:rsidP="005173A5">
      <w:pPr>
        <w:rPr>
          <w:lang w:val="en-GB" w:eastAsia="en-GB"/>
        </w:rPr>
      </w:pPr>
      <w:r>
        <w:rPr>
          <w:lang w:val="en-GB" w:eastAsia="en-GB"/>
        </w:rPr>
        <w:t xml:space="preserve">The condition number CDFs are presented in </w:t>
      </w:r>
      <w:r>
        <w:rPr>
          <w:lang w:val="en-GB" w:eastAsia="en-GB"/>
        </w:rPr>
        <w:fldChar w:fldCharType="begin"/>
      </w:r>
      <w:r>
        <w:rPr>
          <w:lang w:val="en-GB" w:eastAsia="en-GB"/>
        </w:rPr>
        <w:instrText xml:space="preserve"> REF _Ref498523914 \h </w:instrText>
      </w:r>
      <w:r>
        <w:rPr>
          <w:lang w:val="en-GB" w:eastAsia="en-GB"/>
        </w:rPr>
      </w:r>
      <w:r>
        <w:rPr>
          <w:lang w:val="en-GB" w:eastAsia="en-GB"/>
        </w:rPr>
        <w:fldChar w:fldCharType="separate"/>
      </w:r>
      <w:r w:rsidR="00755C24">
        <w:t xml:space="preserve">Figure </w:t>
      </w:r>
      <w:r w:rsidR="00755C24">
        <w:rPr>
          <w:noProof/>
        </w:rPr>
        <w:t>6</w:t>
      </w:r>
      <w:r>
        <w:rPr>
          <w:lang w:val="en-GB" w:eastAsia="en-GB"/>
        </w:rPr>
        <w:fldChar w:fldCharType="end"/>
      </w:r>
      <w:r>
        <w:rPr>
          <w:lang w:val="en-GB" w:eastAsia="en-GB"/>
        </w:rPr>
        <w:t>, with each graph showing the result for the ideal CDL and the CDL with MZA. A curve that is more to the right represents more difficult channel conditions than a curve that is more to the left, because channels with lower condition numbers are easier to correctly demodulate.</w:t>
      </w:r>
      <w:r w:rsidR="00962642">
        <w:rPr>
          <w:lang w:val="en-GB" w:eastAsia="en-GB"/>
        </w:rPr>
        <w:t xml:space="preserve"> Again, the lower-right plot contains the results for both CDL-D and E because they are clearly separated.</w:t>
      </w:r>
    </w:p>
    <w:p w:rsidR="00207F1A" w:rsidRDefault="002329B5" w:rsidP="005173A5">
      <w:pPr>
        <w:rPr>
          <w:lang w:val="en-GB" w:eastAsia="en-GB"/>
        </w:rPr>
      </w:pPr>
      <w:r>
        <w:rPr>
          <w:lang w:val="en-GB" w:eastAsia="en-GB"/>
        </w:rPr>
        <w:t>The match between the ideal and MZA results follows that of the capacity CDFs. CDL-A is the best, followed by CDL-E, then CDL-C. CDL models B and D show a more significant difference between the ideal and MZA versions. The MZA versions show a condition number CDF slightly worse than the ideal</w:t>
      </w:r>
      <w:r w:rsidR="006A06BC">
        <w:rPr>
          <w:lang w:val="en-GB" w:eastAsia="en-GB"/>
        </w:rPr>
        <w:t xml:space="preserve"> model</w:t>
      </w:r>
      <w:r>
        <w:rPr>
          <w:lang w:val="en-GB" w:eastAsia="en-GB"/>
        </w:rPr>
        <w:t xml:space="preserve">, which likely accounts for the reduced capacity CDFs in </w:t>
      </w:r>
      <w:r>
        <w:rPr>
          <w:lang w:val="en-GB" w:eastAsia="en-GB"/>
        </w:rPr>
        <w:fldChar w:fldCharType="begin"/>
      </w:r>
      <w:r>
        <w:rPr>
          <w:lang w:val="en-GB" w:eastAsia="en-GB"/>
        </w:rPr>
        <w:instrText xml:space="preserve"> REF _Ref498517729 \h </w:instrText>
      </w:r>
      <w:r>
        <w:rPr>
          <w:lang w:val="en-GB" w:eastAsia="en-GB"/>
        </w:rPr>
      </w:r>
      <w:r>
        <w:rPr>
          <w:lang w:val="en-GB" w:eastAsia="en-GB"/>
        </w:rPr>
        <w:fldChar w:fldCharType="separate"/>
      </w:r>
      <w:r>
        <w:t xml:space="preserve">Figure </w:t>
      </w:r>
      <w:r>
        <w:rPr>
          <w:noProof/>
        </w:rPr>
        <w:t>5</w:t>
      </w:r>
      <w:r>
        <w:rPr>
          <w:lang w:val="en-GB" w:eastAsia="en-GB"/>
        </w:rPr>
        <w:fldChar w:fldCharType="end"/>
      </w:r>
      <w:r>
        <w:rPr>
          <w:lang w:val="en-GB" w:eastAsia="en-GB"/>
        </w:rPr>
        <w:t xml:space="preserve"> for these models.</w:t>
      </w:r>
    </w:p>
    <w:p w:rsidR="00962642" w:rsidRDefault="00962642" w:rsidP="005173A5">
      <w:pPr>
        <w:rPr>
          <w:lang w:val="en-GB" w:eastAsia="en-GB"/>
        </w:rPr>
      </w:pPr>
      <w:r>
        <w:rPr>
          <w:lang w:val="en-GB" w:eastAsia="en-GB"/>
        </w:rPr>
        <w:t xml:space="preserve">It is important to note that small differences in the condition number CDF have a proportionally small impact on performance. A large difference, </w:t>
      </w:r>
      <w:r w:rsidR="00EA55F6">
        <w:rPr>
          <w:lang w:val="en-GB" w:eastAsia="en-GB"/>
        </w:rPr>
        <w:t>for instance,</w:t>
      </w:r>
      <w:r>
        <w:rPr>
          <w:lang w:val="en-GB" w:eastAsia="en-GB"/>
        </w:rPr>
        <w:t xml:space="preserve"> an order of magnitude, would cause a very large </w:t>
      </w:r>
      <w:r>
        <w:rPr>
          <w:lang w:val="en-GB" w:eastAsia="en-GB"/>
        </w:rPr>
        <w:lastRenderedPageBreak/>
        <w:t>performance difference, potentially forcing a receiver to use rank 1 much more often than rank 2 transmission.</w:t>
      </w:r>
    </w:p>
    <w:p w:rsidR="00011737" w:rsidRDefault="00125748" w:rsidP="002A231C">
      <w:pPr>
        <w:jc w:val="center"/>
        <w:rPr>
          <w:lang w:val="en-GB" w:eastAsia="en-GB"/>
        </w:rPr>
      </w:pPr>
      <w:r w:rsidRPr="00125748">
        <w:rPr>
          <w:noProof/>
        </w:rPr>
        <w:drawing>
          <wp:inline distT="0" distB="0" distL="0" distR="0">
            <wp:extent cx="2999232" cy="259689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99232" cy="2596896"/>
                    </a:xfrm>
                    <a:prstGeom prst="rect">
                      <a:avLst/>
                    </a:prstGeom>
                    <a:noFill/>
                    <a:ln>
                      <a:noFill/>
                    </a:ln>
                  </pic:spPr>
                </pic:pic>
              </a:graphicData>
            </a:graphic>
          </wp:inline>
        </w:drawing>
      </w:r>
      <w:r w:rsidR="002329B5" w:rsidRPr="002329B5">
        <w:rPr>
          <w:noProof/>
        </w:rPr>
        <w:drawing>
          <wp:inline distT="0" distB="0" distL="0" distR="0">
            <wp:extent cx="2999232" cy="259689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99232" cy="2596896"/>
                    </a:xfrm>
                    <a:prstGeom prst="rect">
                      <a:avLst/>
                    </a:prstGeom>
                    <a:noFill/>
                    <a:ln>
                      <a:noFill/>
                    </a:ln>
                  </pic:spPr>
                </pic:pic>
              </a:graphicData>
            </a:graphic>
          </wp:inline>
        </w:drawing>
      </w:r>
      <w:r w:rsidR="002A231C">
        <w:rPr>
          <w:lang w:val="en-GB" w:eastAsia="en-GB"/>
        </w:rPr>
        <w:br/>
      </w:r>
      <w:r w:rsidR="002329B5" w:rsidRPr="002329B5">
        <w:rPr>
          <w:noProof/>
        </w:rPr>
        <w:drawing>
          <wp:inline distT="0" distB="0" distL="0" distR="0">
            <wp:extent cx="2999232" cy="2596896"/>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9232" cy="2596896"/>
                    </a:xfrm>
                    <a:prstGeom prst="rect">
                      <a:avLst/>
                    </a:prstGeom>
                    <a:noFill/>
                    <a:ln>
                      <a:noFill/>
                    </a:ln>
                  </pic:spPr>
                </pic:pic>
              </a:graphicData>
            </a:graphic>
          </wp:inline>
        </w:drawing>
      </w:r>
      <w:r w:rsidR="00962642" w:rsidRPr="00962642">
        <w:rPr>
          <w:noProof/>
        </w:rPr>
        <w:drawing>
          <wp:inline distT="0" distB="0" distL="0" distR="0">
            <wp:extent cx="2999232" cy="259689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99232" cy="2596896"/>
                    </a:xfrm>
                    <a:prstGeom prst="rect">
                      <a:avLst/>
                    </a:prstGeom>
                    <a:noFill/>
                    <a:ln>
                      <a:noFill/>
                    </a:ln>
                  </pic:spPr>
                </pic:pic>
              </a:graphicData>
            </a:graphic>
          </wp:inline>
        </w:drawing>
      </w:r>
      <w:r w:rsidR="002A231C">
        <w:rPr>
          <w:lang w:val="en-GB" w:eastAsia="en-GB"/>
        </w:rPr>
        <w:br/>
      </w:r>
    </w:p>
    <w:p w:rsidR="00692744" w:rsidRDefault="00692744" w:rsidP="00692744">
      <w:pPr>
        <w:pStyle w:val="Caption"/>
      </w:pPr>
      <w:bookmarkStart w:id="10" w:name="_Ref498523914"/>
      <w:bookmarkStart w:id="11" w:name="_Ref498678605"/>
      <w:r>
        <w:t xml:space="preserve">Figure </w:t>
      </w:r>
      <w:r w:rsidR="00663F45">
        <w:fldChar w:fldCharType="begin"/>
      </w:r>
      <w:r w:rsidR="00663F45">
        <w:instrText xml:space="preserve"> SEQ Figure \* ARABIC </w:instrText>
      </w:r>
      <w:r w:rsidR="00663F45">
        <w:fldChar w:fldCharType="separate"/>
      </w:r>
      <w:r w:rsidR="0028722B">
        <w:rPr>
          <w:noProof/>
        </w:rPr>
        <w:t>6</w:t>
      </w:r>
      <w:r w:rsidR="00663F45">
        <w:rPr>
          <w:noProof/>
        </w:rPr>
        <w:fldChar w:fldCharType="end"/>
      </w:r>
      <w:bookmarkEnd w:id="10"/>
      <w:r>
        <w:t>. Condition number distributions comparing the i</w:t>
      </w:r>
      <w:r w:rsidR="00207F1A">
        <w:t>deal CDL model with the MZA version.</w:t>
      </w:r>
      <w:bookmarkEnd w:id="11"/>
    </w:p>
    <w:p w:rsidR="001342B7" w:rsidRPr="001342B7" w:rsidRDefault="001342B7" w:rsidP="001342B7"/>
    <w:p w:rsidR="005173A5" w:rsidRDefault="005173A5" w:rsidP="005173A5">
      <w:pPr>
        <w:pStyle w:val="Heading1"/>
      </w:pPr>
      <w:r>
        <w:t>5</w:t>
      </w:r>
      <w:r>
        <w:tab/>
        <w:t>Discussion</w:t>
      </w:r>
    </w:p>
    <w:p w:rsidR="0021540A" w:rsidRDefault="0028722B" w:rsidP="005173A5">
      <w:pPr>
        <w:rPr>
          <w:lang w:val="en-GB" w:eastAsia="en-GB"/>
        </w:rPr>
      </w:pPr>
      <w:r>
        <w:rPr>
          <w:lang w:val="en-GB" w:eastAsia="en-GB"/>
        </w:rPr>
        <w:t xml:space="preserve">The simulation results for the single probe per cluster methodology look remarkably good. In three cases, both NLoS and LoS, the difference between the ideal and the </w:t>
      </w:r>
      <w:r w:rsidR="00EA55F6">
        <w:rPr>
          <w:lang w:val="en-GB" w:eastAsia="en-GB"/>
        </w:rPr>
        <w:t>M</w:t>
      </w:r>
      <w:r>
        <w:rPr>
          <w:lang w:val="en-GB" w:eastAsia="en-GB"/>
        </w:rPr>
        <w:t>ZA versions were almost negligible, and the other two cases were very close. This was borne out for channel capacity and the condition number CDFs.</w:t>
      </w:r>
    </w:p>
    <w:p w:rsidR="00EA55F6" w:rsidRPr="00DB3355" w:rsidRDefault="00EA55F6" w:rsidP="005173A5">
      <w:pPr>
        <w:rPr>
          <w:b/>
          <w:i/>
          <w:lang w:val="en-GB" w:eastAsia="en-GB"/>
        </w:rPr>
      </w:pPr>
      <w:r w:rsidRPr="00DB3355">
        <w:rPr>
          <w:b/>
          <w:i/>
          <w:sz w:val="20"/>
          <w:lang w:val="en-GB" w:eastAsia="en-GB"/>
        </w:rPr>
        <w:t>Observation</w:t>
      </w:r>
      <w:r w:rsidR="00290BA5">
        <w:rPr>
          <w:b/>
          <w:i/>
          <w:sz w:val="20"/>
          <w:lang w:val="en-GB" w:eastAsia="en-GB"/>
        </w:rPr>
        <w:t xml:space="preserve"> 1</w:t>
      </w:r>
      <w:r w:rsidRPr="00DB3355">
        <w:rPr>
          <w:b/>
          <w:i/>
          <w:sz w:val="20"/>
          <w:lang w:val="en-GB" w:eastAsia="en-GB"/>
        </w:rPr>
        <w:t>: The difference in modelling performance is small, weighted against a large reduction in complexity.</w:t>
      </w:r>
    </w:p>
    <w:p w:rsidR="00EA55F6" w:rsidRDefault="00EA55F6" w:rsidP="005173A5">
      <w:pPr>
        <w:rPr>
          <w:lang w:val="en-GB" w:eastAsia="en-GB"/>
        </w:rPr>
      </w:pPr>
      <w:r>
        <w:rPr>
          <w:lang w:val="en-GB" w:eastAsia="en-GB"/>
        </w:rPr>
        <w:t xml:space="preserve">Switching to a smaller UE antenna array has produced more realistic capacity bounds, and the MZA technique has held up in this change. In fact, looking back at the condition number results for the rank 2 case in </w:t>
      </w:r>
      <w:r>
        <w:rPr>
          <w:lang w:val="en-GB" w:eastAsia="en-GB"/>
        </w:rPr>
        <w:fldChar w:fldCharType="begin"/>
      </w:r>
      <w:r>
        <w:rPr>
          <w:lang w:val="en-GB" w:eastAsia="en-GB"/>
        </w:rPr>
        <w:instrText xml:space="preserve"> REF _Ref492801159 \w \h </w:instrText>
      </w:r>
      <w:r>
        <w:rPr>
          <w:lang w:val="en-GB" w:eastAsia="en-GB"/>
        </w:rPr>
      </w:r>
      <w:r>
        <w:rPr>
          <w:lang w:val="en-GB" w:eastAsia="en-GB"/>
        </w:rPr>
        <w:fldChar w:fldCharType="separate"/>
      </w:r>
      <w:r>
        <w:rPr>
          <w:lang w:val="en-GB" w:eastAsia="en-GB"/>
        </w:rPr>
        <w:t>[3]</w:t>
      </w:r>
      <w:r>
        <w:rPr>
          <w:lang w:val="en-GB" w:eastAsia="en-GB"/>
        </w:rPr>
        <w:fldChar w:fldCharType="end"/>
      </w:r>
      <w:r>
        <w:rPr>
          <w:lang w:val="en-GB" w:eastAsia="en-GB"/>
        </w:rPr>
        <w:t>, the ideal CDL-A and MZA versions suggested this could happen.</w:t>
      </w:r>
    </w:p>
    <w:p w:rsidR="00EA55F6" w:rsidRPr="00DB3355" w:rsidRDefault="00EA55F6" w:rsidP="005173A5">
      <w:pPr>
        <w:rPr>
          <w:b/>
          <w:i/>
          <w:lang w:val="en-GB" w:eastAsia="en-GB"/>
        </w:rPr>
      </w:pPr>
      <w:r w:rsidRPr="00DB3355">
        <w:rPr>
          <w:b/>
          <w:i/>
          <w:sz w:val="20"/>
          <w:lang w:val="en-GB" w:eastAsia="en-GB"/>
        </w:rPr>
        <w:t>Observation</w:t>
      </w:r>
      <w:r w:rsidR="00290BA5">
        <w:rPr>
          <w:b/>
          <w:i/>
          <w:sz w:val="20"/>
          <w:lang w:val="en-GB" w:eastAsia="en-GB"/>
        </w:rPr>
        <w:t xml:space="preserve"> 2</w:t>
      </w:r>
      <w:r w:rsidRPr="00DB3355">
        <w:rPr>
          <w:b/>
          <w:i/>
          <w:sz w:val="20"/>
          <w:lang w:val="en-GB" w:eastAsia="en-GB"/>
        </w:rPr>
        <w:t>: With the different UE antenna model, the complexity reduction is still valid.</w:t>
      </w:r>
    </w:p>
    <w:p w:rsidR="00290BA5" w:rsidRDefault="00EA55F6" w:rsidP="005173A5">
      <w:pPr>
        <w:rPr>
          <w:lang w:val="en-GB" w:eastAsia="en-GB"/>
        </w:rPr>
      </w:pPr>
      <w:r>
        <w:rPr>
          <w:lang w:val="en-GB" w:eastAsia="en-GB"/>
        </w:rPr>
        <w:t xml:space="preserve">Expanding the study to investigate all the CDLs defined in </w:t>
      </w:r>
      <w:r>
        <w:rPr>
          <w:lang w:val="en-GB" w:eastAsia="en-GB"/>
        </w:rPr>
        <w:fldChar w:fldCharType="begin"/>
      </w:r>
      <w:r>
        <w:rPr>
          <w:lang w:val="en-GB" w:eastAsia="en-GB"/>
        </w:rPr>
        <w:instrText xml:space="preserve"> REF _Ref498509603 \w \h </w:instrText>
      </w:r>
      <w:r>
        <w:rPr>
          <w:lang w:val="en-GB" w:eastAsia="en-GB"/>
        </w:rPr>
      </w:r>
      <w:r>
        <w:rPr>
          <w:lang w:val="en-GB" w:eastAsia="en-GB"/>
        </w:rPr>
        <w:fldChar w:fldCharType="separate"/>
      </w:r>
      <w:r>
        <w:rPr>
          <w:lang w:val="en-GB" w:eastAsia="en-GB"/>
        </w:rPr>
        <w:t>[1]</w:t>
      </w:r>
      <w:r>
        <w:rPr>
          <w:lang w:val="en-GB" w:eastAsia="en-GB"/>
        </w:rPr>
        <w:fldChar w:fldCharType="end"/>
      </w:r>
      <w:r>
        <w:rPr>
          <w:lang w:val="en-GB" w:eastAsia="en-GB"/>
        </w:rPr>
        <w:t xml:space="preserve">, </w:t>
      </w:r>
      <w:r w:rsidR="00290BA5">
        <w:rPr>
          <w:lang w:val="en-GB" w:eastAsia="en-GB"/>
        </w:rPr>
        <w:t xml:space="preserve">it appears that the MZA technique produces fairly consistent effects; mainly, a small reduction in capacity, which is correlated with a small increase in </w:t>
      </w:r>
      <w:r w:rsidR="00290BA5">
        <w:rPr>
          <w:lang w:val="en-GB" w:eastAsia="en-GB"/>
        </w:rPr>
        <w:lastRenderedPageBreak/>
        <w:t xml:space="preserve">the condition number CDF. However, as pointed out in other papers, the CDL models in </w:t>
      </w:r>
      <w:r w:rsidR="00290BA5">
        <w:rPr>
          <w:lang w:val="en-GB" w:eastAsia="en-GB"/>
        </w:rPr>
        <w:fldChar w:fldCharType="begin"/>
      </w:r>
      <w:r w:rsidR="00290BA5">
        <w:rPr>
          <w:lang w:val="en-GB" w:eastAsia="en-GB"/>
        </w:rPr>
        <w:instrText xml:space="preserve"> REF _Ref498509603 \w \h </w:instrText>
      </w:r>
      <w:r w:rsidR="00290BA5">
        <w:rPr>
          <w:lang w:val="en-GB" w:eastAsia="en-GB"/>
        </w:rPr>
      </w:r>
      <w:r w:rsidR="00290BA5">
        <w:rPr>
          <w:lang w:val="en-GB" w:eastAsia="en-GB"/>
        </w:rPr>
        <w:fldChar w:fldCharType="separate"/>
      </w:r>
      <w:r w:rsidR="00290BA5">
        <w:rPr>
          <w:lang w:val="en-GB" w:eastAsia="en-GB"/>
        </w:rPr>
        <w:t>[1]</w:t>
      </w:r>
      <w:r w:rsidR="00290BA5">
        <w:rPr>
          <w:lang w:val="en-GB" w:eastAsia="en-GB"/>
        </w:rPr>
        <w:fldChar w:fldCharType="end"/>
      </w:r>
      <w:r w:rsidR="00290BA5">
        <w:rPr>
          <w:lang w:val="en-GB" w:eastAsia="en-GB"/>
        </w:rPr>
        <w:t xml:space="preserve"> are viewed by some to be inappropriate for millimeter-wave environments because they offer too much spatial diversity </w:t>
      </w:r>
      <w:r w:rsidR="00290BA5">
        <w:rPr>
          <w:lang w:val="en-GB" w:eastAsia="en-GB"/>
        </w:rPr>
        <w:fldChar w:fldCharType="begin"/>
      </w:r>
      <w:r w:rsidR="00290BA5">
        <w:rPr>
          <w:lang w:val="en-GB" w:eastAsia="en-GB"/>
        </w:rPr>
        <w:instrText xml:space="preserve"> REF _Ref498434488 \w \h </w:instrText>
      </w:r>
      <w:r w:rsidR="00290BA5">
        <w:rPr>
          <w:lang w:val="en-GB" w:eastAsia="en-GB"/>
        </w:rPr>
      </w:r>
      <w:r w:rsidR="00290BA5">
        <w:rPr>
          <w:lang w:val="en-GB" w:eastAsia="en-GB"/>
        </w:rPr>
        <w:fldChar w:fldCharType="separate"/>
      </w:r>
      <w:r w:rsidR="00290BA5">
        <w:rPr>
          <w:lang w:val="en-GB" w:eastAsia="en-GB"/>
        </w:rPr>
        <w:t>[5]</w:t>
      </w:r>
      <w:r w:rsidR="00290BA5">
        <w:rPr>
          <w:lang w:val="en-GB" w:eastAsia="en-GB"/>
        </w:rPr>
        <w:fldChar w:fldCharType="end"/>
      </w:r>
      <w:r w:rsidR="00290BA5">
        <w:rPr>
          <w:lang w:val="en-GB" w:eastAsia="en-GB"/>
        </w:rPr>
        <w:t>. Unfortunately, we can analyze no better alternative at this time.</w:t>
      </w:r>
    </w:p>
    <w:p w:rsidR="00EA55F6" w:rsidRPr="00DB3355" w:rsidRDefault="00290BA5" w:rsidP="005173A5">
      <w:pPr>
        <w:rPr>
          <w:b/>
          <w:i/>
          <w:sz w:val="20"/>
          <w:lang w:val="en-GB" w:eastAsia="en-GB"/>
        </w:rPr>
      </w:pPr>
      <w:r w:rsidRPr="00DB3355">
        <w:rPr>
          <w:b/>
          <w:i/>
          <w:sz w:val="20"/>
          <w:lang w:val="en-GB" w:eastAsia="en-GB"/>
        </w:rPr>
        <w:t>Observation</w:t>
      </w:r>
      <w:r>
        <w:rPr>
          <w:b/>
          <w:i/>
          <w:sz w:val="20"/>
          <w:lang w:val="en-GB" w:eastAsia="en-GB"/>
        </w:rPr>
        <w:t xml:space="preserve"> 3</w:t>
      </w:r>
      <w:r w:rsidRPr="00DB3355">
        <w:rPr>
          <w:b/>
          <w:i/>
          <w:sz w:val="20"/>
          <w:lang w:val="en-GB" w:eastAsia="en-GB"/>
        </w:rPr>
        <w:t>: With the additional CDL models, complexity reduction is still valid.</w:t>
      </w:r>
    </w:p>
    <w:p w:rsidR="00290BA5" w:rsidRDefault="00290BA5" w:rsidP="005173A5">
      <w:pPr>
        <w:rPr>
          <w:lang w:val="en-GB" w:eastAsia="en-GB"/>
        </w:rPr>
      </w:pPr>
      <w:r w:rsidRPr="00DB3355">
        <w:rPr>
          <w:b/>
          <w:i/>
          <w:sz w:val="20"/>
          <w:lang w:val="en-GB" w:eastAsia="en-GB"/>
        </w:rPr>
        <w:t>Observation</w:t>
      </w:r>
      <w:r>
        <w:rPr>
          <w:b/>
          <w:i/>
          <w:sz w:val="20"/>
          <w:lang w:val="en-GB" w:eastAsia="en-GB"/>
        </w:rPr>
        <w:t xml:space="preserve"> 4</w:t>
      </w:r>
      <w:r w:rsidRPr="00DB3355">
        <w:rPr>
          <w:b/>
          <w:i/>
          <w:sz w:val="20"/>
          <w:lang w:val="en-GB" w:eastAsia="en-GB"/>
        </w:rPr>
        <w:t xml:space="preserve">: This study may be biased by the CDL models of </w:t>
      </w:r>
      <w:r w:rsidRPr="00DB3355">
        <w:rPr>
          <w:b/>
          <w:i/>
          <w:sz w:val="20"/>
          <w:lang w:val="en-GB" w:eastAsia="en-GB"/>
        </w:rPr>
        <w:fldChar w:fldCharType="begin"/>
      </w:r>
      <w:r w:rsidRPr="00DB3355">
        <w:rPr>
          <w:b/>
          <w:i/>
          <w:sz w:val="20"/>
          <w:lang w:val="en-GB" w:eastAsia="en-GB"/>
        </w:rPr>
        <w:instrText xml:space="preserve"> REF _Ref498509603 \w \h  \* MERGEFORMAT </w:instrText>
      </w:r>
      <w:r w:rsidRPr="00DB3355">
        <w:rPr>
          <w:b/>
          <w:i/>
          <w:sz w:val="20"/>
          <w:lang w:val="en-GB" w:eastAsia="en-GB"/>
        </w:rPr>
      </w:r>
      <w:r w:rsidRPr="00DB3355">
        <w:rPr>
          <w:b/>
          <w:i/>
          <w:sz w:val="20"/>
          <w:lang w:val="en-GB" w:eastAsia="en-GB"/>
        </w:rPr>
        <w:fldChar w:fldCharType="separate"/>
      </w:r>
      <w:r w:rsidRPr="00DB3355">
        <w:rPr>
          <w:b/>
          <w:i/>
          <w:sz w:val="20"/>
          <w:lang w:val="en-GB" w:eastAsia="en-GB"/>
        </w:rPr>
        <w:t>[1]</w:t>
      </w:r>
      <w:r w:rsidRPr="00DB3355">
        <w:rPr>
          <w:b/>
          <w:i/>
          <w:sz w:val="20"/>
          <w:lang w:val="en-GB" w:eastAsia="en-GB"/>
        </w:rPr>
        <w:fldChar w:fldCharType="end"/>
      </w:r>
      <w:r w:rsidRPr="00DB3355">
        <w:rPr>
          <w:b/>
          <w:i/>
          <w:sz w:val="20"/>
          <w:lang w:val="en-GB" w:eastAsia="en-GB"/>
        </w:rPr>
        <w:t>, but there are no better alternatives at this time.</w:t>
      </w:r>
    </w:p>
    <w:p w:rsidR="001342B7" w:rsidRDefault="00290BA5" w:rsidP="005173A5">
      <w:pPr>
        <w:rPr>
          <w:lang w:val="en-GB" w:eastAsia="en-GB"/>
        </w:rPr>
      </w:pPr>
      <w:r>
        <w:rPr>
          <w:lang w:val="en-GB" w:eastAsia="en-GB"/>
        </w:rPr>
        <w:t>The work to date has shown that u</w:t>
      </w:r>
      <w:r w:rsidR="008B2DF5">
        <w:rPr>
          <w:lang w:val="en-GB" w:eastAsia="en-GB"/>
        </w:rPr>
        <w:t>sing a single probe per cluster, which creates a line-of-sight to the UE under test, can serve as a valid approximation to the discrete Laplacian angular spectrum. The complexity in comparison to methodologies employing multiple antenna probes to recreate the discrete Laplacian might be orders of magnitude lower. It also enjoys the freedom of placing probes nearly anywhere on the sphere, allowing complete spatial representation of currently-accepted channel models.</w:t>
      </w:r>
    </w:p>
    <w:p w:rsidR="008B2DF5" w:rsidRPr="00DB3355" w:rsidRDefault="008B2DF5" w:rsidP="005173A5">
      <w:pPr>
        <w:rPr>
          <w:b/>
          <w:i/>
          <w:sz w:val="20"/>
          <w:lang w:val="en-GB" w:eastAsia="en-GB"/>
        </w:rPr>
      </w:pPr>
      <w:r w:rsidRPr="00DB3355">
        <w:rPr>
          <w:b/>
          <w:i/>
          <w:sz w:val="20"/>
          <w:lang w:val="en-GB" w:eastAsia="en-GB"/>
        </w:rPr>
        <w:t>Proposal</w:t>
      </w:r>
      <w:r w:rsidR="006A06BC">
        <w:rPr>
          <w:b/>
          <w:i/>
          <w:sz w:val="20"/>
          <w:lang w:val="en-GB" w:eastAsia="en-GB"/>
        </w:rPr>
        <w:t xml:space="preserve"> 1</w:t>
      </w:r>
      <w:r w:rsidRPr="00DB3355">
        <w:rPr>
          <w:b/>
          <w:i/>
          <w:sz w:val="20"/>
          <w:lang w:val="en-GB" w:eastAsia="en-GB"/>
        </w:rPr>
        <w:t>: The single probe per cluster methodology should be allowed and incorporated into the baseline demodulation test system.</w:t>
      </w:r>
    </w:p>
    <w:p w:rsidR="00290BA5" w:rsidRDefault="006A06BC" w:rsidP="005173A5">
      <w:pPr>
        <w:rPr>
          <w:lang w:val="en-GB" w:eastAsia="en-GB"/>
        </w:rPr>
      </w:pPr>
      <w:r>
        <w:rPr>
          <w:lang w:val="en-GB" w:eastAsia="en-GB"/>
        </w:rPr>
        <w:t>Having said this, there is still room for more investigation. We propose to continue to study at least the two-subarray configuration described in Section 3.1. Other array configurations are also possible; participants are asked for their recommendations.</w:t>
      </w:r>
    </w:p>
    <w:p w:rsidR="006A06BC" w:rsidRPr="00DB3355" w:rsidRDefault="006A06BC" w:rsidP="005173A5">
      <w:pPr>
        <w:rPr>
          <w:b/>
          <w:i/>
          <w:lang w:val="en-GB" w:eastAsia="en-GB"/>
        </w:rPr>
      </w:pPr>
      <w:r w:rsidRPr="00DB3355">
        <w:rPr>
          <w:b/>
          <w:i/>
          <w:sz w:val="20"/>
          <w:lang w:val="en-GB" w:eastAsia="en-GB"/>
        </w:rPr>
        <w:t>Proposal 2: Study should continue using different multi-antenna UE arrays.</w:t>
      </w:r>
    </w:p>
    <w:p w:rsidR="009A2CC3" w:rsidRDefault="005173A5" w:rsidP="009A2CC3">
      <w:pPr>
        <w:pStyle w:val="Heading1"/>
      </w:pPr>
      <w:r>
        <w:t>6</w:t>
      </w:r>
      <w:r w:rsidR="009A2CC3">
        <w:tab/>
        <w:t>Conclusion</w:t>
      </w:r>
    </w:p>
    <w:p w:rsidR="008B2DF5" w:rsidRDefault="008B2DF5" w:rsidP="00DB3355">
      <w:r>
        <w:rPr>
          <w:lang w:val="en-GB" w:eastAsia="en-GB"/>
        </w:rPr>
        <w:t>The following observations were made:</w:t>
      </w:r>
    </w:p>
    <w:p w:rsidR="008B2DF5" w:rsidRPr="00D90020" w:rsidRDefault="008B2DF5" w:rsidP="00DB3355">
      <w:r w:rsidRPr="00E400EB">
        <w:rPr>
          <w:b/>
          <w:i/>
          <w:sz w:val="20"/>
          <w:lang w:val="en-GB" w:eastAsia="en-GB"/>
        </w:rPr>
        <w:t>Observation</w:t>
      </w:r>
      <w:r>
        <w:rPr>
          <w:b/>
          <w:i/>
          <w:sz w:val="20"/>
          <w:lang w:val="en-GB" w:eastAsia="en-GB"/>
        </w:rPr>
        <w:t xml:space="preserve"> 1</w:t>
      </w:r>
      <w:r w:rsidRPr="00E400EB">
        <w:rPr>
          <w:b/>
          <w:i/>
          <w:sz w:val="20"/>
          <w:lang w:val="en-GB" w:eastAsia="en-GB"/>
        </w:rPr>
        <w:t>: The difference in modelling performance is small, weighted against a large reduction in complexity.</w:t>
      </w:r>
    </w:p>
    <w:p w:rsidR="005D54BC" w:rsidRDefault="008B2DF5" w:rsidP="005D54BC">
      <w:pPr>
        <w:rPr>
          <w:b/>
          <w:i/>
          <w:lang w:val="en-GB" w:eastAsia="en-GB"/>
        </w:rPr>
      </w:pPr>
      <w:r w:rsidRPr="00E400EB">
        <w:rPr>
          <w:b/>
          <w:i/>
          <w:sz w:val="20"/>
          <w:lang w:val="en-GB" w:eastAsia="en-GB"/>
        </w:rPr>
        <w:t>Observation</w:t>
      </w:r>
      <w:r>
        <w:rPr>
          <w:b/>
          <w:i/>
          <w:sz w:val="20"/>
          <w:lang w:val="en-GB" w:eastAsia="en-GB"/>
        </w:rPr>
        <w:t xml:space="preserve"> 2</w:t>
      </w:r>
      <w:r w:rsidRPr="00E400EB">
        <w:rPr>
          <w:b/>
          <w:i/>
          <w:sz w:val="20"/>
          <w:lang w:val="en-GB" w:eastAsia="en-GB"/>
        </w:rPr>
        <w:t>: With the different UE antenna model, the complexity reduction is still valid.</w:t>
      </w:r>
    </w:p>
    <w:p w:rsidR="008B2DF5" w:rsidRPr="00E400EB" w:rsidRDefault="008B2DF5" w:rsidP="008B2DF5">
      <w:pPr>
        <w:rPr>
          <w:b/>
          <w:i/>
          <w:sz w:val="20"/>
          <w:lang w:val="en-GB" w:eastAsia="en-GB"/>
        </w:rPr>
      </w:pPr>
      <w:r w:rsidRPr="00E400EB">
        <w:rPr>
          <w:b/>
          <w:i/>
          <w:sz w:val="20"/>
          <w:lang w:val="en-GB" w:eastAsia="en-GB"/>
        </w:rPr>
        <w:t>Observation</w:t>
      </w:r>
      <w:r>
        <w:rPr>
          <w:b/>
          <w:i/>
          <w:sz w:val="20"/>
          <w:lang w:val="en-GB" w:eastAsia="en-GB"/>
        </w:rPr>
        <w:t xml:space="preserve"> 3</w:t>
      </w:r>
      <w:r w:rsidRPr="00E400EB">
        <w:rPr>
          <w:b/>
          <w:i/>
          <w:sz w:val="20"/>
          <w:lang w:val="en-GB" w:eastAsia="en-GB"/>
        </w:rPr>
        <w:t>: With the additional CDL models, complexity reduction is still valid.</w:t>
      </w:r>
    </w:p>
    <w:p w:rsidR="009A2CC3" w:rsidRDefault="008B2DF5" w:rsidP="008B2DF5">
      <w:pPr>
        <w:rPr>
          <w:lang w:val="en-GB" w:eastAsia="en-GB"/>
        </w:rPr>
      </w:pPr>
      <w:r w:rsidRPr="00E400EB">
        <w:rPr>
          <w:b/>
          <w:i/>
          <w:sz w:val="20"/>
          <w:lang w:val="en-GB" w:eastAsia="en-GB"/>
        </w:rPr>
        <w:t>Observation</w:t>
      </w:r>
      <w:r>
        <w:rPr>
          <w:b/>
          <w:i/>
          <w:sz w:val="20"/>
          <w:lang w:val="en-GB" w:eastAsia="en-GB"/>
        </w:rPr>
        <w:t xml:space="preserve"> 4</w:t>
      </w:r>
      <w:r w:rsidRPr="00E400EB">
        <w:rPr>
          <w:b/>
          <w:i/>
          <w:sz w:val="20"/>
          <w:lang w:val="en-GB" w:eastAsia="en-GB"/>
        </w:rPr>
        <w:t xml:space="preserve">: This study may be biased by the CDL models of </w:t>
      </w:r>
      <w:r w:rsidRPr="00E400EB">
        <w:rPr>
          <w:b/>
          <w:i/>
          <w:sz w:val="20"/>
          <w:lang w:val="en-GB" w:eastAsia="en-GB"/>
        </w:rPr>
        <w:fldChar w:fldCharType="begin"/>
      </w:r>
      <w:r w:rsidRPr="00E400EB">
        <w:rPr>
          <w:b/>
          <w:i/>
          <w:sz w:val="20"/>
          <w:lang w:val="en-GB" w:eastAsia="en-GB"/>
        </w:rPr>
        <w:instrText xml:space="preserve"> REF _Ref498509603 \w \h  \* MERGEFORMAT </w:instrText>
      </w:r>
      <w:r w:rsidRPr="00E400EB">
        <w:rPr>
          <w:b/>
          <w:i/>
          <w:sz w:val="20"/>
          <w:lang w:val="en-GB" w:eastAsia="en-GB"/>
        </w:rPr>
      </w:r>
      <w:r w:rsidRPr="00E400EB">
        <w:rPr>
          <w:b/>
          <w:i/>
          <w:sz w:val="20"/>
          <w:lang w:val="en-GB" w:eastAsia="en-GB"/>
        </w:rPr>
        <w:fldChar w:fldCharType="separate"/>
      </w:r>
      <w:r w:rsidRPr="00E400EB">
        <w:rPr>
          <w:b/>
          <w:i/>
          <w:sz w:val="20"/>
          <w:lang w:val="en-GB" w:eastAsia="en-GB"/>
        </w:rPr>
        <w:t>[1]</w:t>
      </w:r>
      <w:r w:rsidRPr="00E400EB">
        <w:rPr>
          <w:b/>
          <w:i/>
          <w:sz w:val="20"/>
          <w:lang w:val="en-GB" w:eastAsia="en-GB"/>
        </w:rPr>
        <w:fldChar w:fldCharType="end"/>
      </w:r>
      <w:r w:rsidRPr="00E400EB">
        <w:rPr>
          <w:b/>
          <w:i/>
          <w:sz w:val="20"/>
          <w:lang w:val="en-GB" w:eastAsia="en-GB"/>
        </w:rPr>
        <w:t>, but there are no better alternatives at this time.</w:t>
      </w:r>
    </w:p>
    <w:p w:rsidR="008B2DF5" w:rsidRDefault="008B2DF5" w:rsidP="005F1038">
      <w:pPr>
        <w:rPr>
          <w:lang w:val="en-GB" w:eastAsia="en-GB"/>
        </w:rPr>
      </w:pPr>
      <w:r>
        <w:rPr>
          <w:lang w:val="en-GB" w:eastAsia="en-GB"/>
        </w:rPr>
        <w:t>The following proposal was made:</w:t>
      </w:r>
    </w:p>
    <w:p w:rsidR="008B2DF5" w:rsidRDefault="008B2DF5" w:rsidP="005F1038">
      <w:pPr>
        <w:rPr>
          <w:b/>
          <w:i/>
          <w:sz w:val="20"/>
          <w:lang w:val="en-GB" w:eastAsia="en-GB"/>
        </w:rPr>
      </w:pPr>
      <w:r w:rsidRPr="00E400EB">
        <w:rPr>
          <w:b/>
          <w:i/>
          <w:sz w:val="20"/>
          <w:lang w:val="en-GB" w:eastAsia="en-GB"/>
        </w:rPr>
        <w:t>Proposal</w:t>
      </w:r>
      <w:r w:rsidR="006A06BC">
        <w:rPr>
          <w:b/>
          <w:i/>
          <w:sz w:val="20"/>
          <w:lang w:val="en-GB" w:eastAsia="en-GB"/>
        </w:rPr>
        <w:t xml:space="preserve"> 1</w:t>
      </w:r>
      <w:r w:rsidRPr="00E400EB">
        <w:rPr>
          <w:b/>
          <w:i/>
          <w:sz w:val="20"/>
          <w:lang w:val="en-GB" w:eastAsia="en-GB"/>
        </w:rPr>
        <w:t>: The single probe per cluster methodology should be allowed and incorporated into the baseline demodulation test system.</w:t>
      </w:r>
    </w:p>
    <w:p w:rsidR="006A06BC" w:rsidRDefault="006A06BC" w:rsidP="005F1038">
      <w:pPr>
        <w:rPr>
          <w:lang w:val="en-GB" w:eastAsia="en-GB"/>
        </w:rPr>
      </w:pPr>
      <w:r w:rsidRPr="00E400EB">
        <w:rPr>
          <w:b/>
          <w:i/>
          <w:sz w:val="20"/>
          <w:lang w:val="en-GB" w:eastAsia="en-GB"/>
        </w:rPr>
        <w:t>Proposal 2: Study should continue using different multi-antenna UE arrays.</w:t>
      </w:r>
    </w:p>
    <w:p w:rsidR="008B2DF5" w:rsidRPr="005F1038" w:rsidRDefault="008B2DF5" w:rsidP="005F1038">
      <w:pPr>
        <w:rPr>
          <w:lang w:val="en-GB" w:eastAsia="en-GB"/>
        </w:rPr>
      </w:pPr>
      <w:r>
        <w:rPr>
          <w:lang w:val="en-GB" w:eastAsia="en-GB"/>
        </w:rPr>
        <w:t>We ask the group for endorsement of th</w:t>
      </w:r>
      <w:r w:rsidR="006A06BC">
        <w:rPr>
          <w:lang w:val="en-GB" w:eastAsia="en-GB"/>
        </w:rPr>
        <w:t>ese</w:t>
      </w:r>
      <w:r>
        <w:rPr>
          <w:lang w:val="en-GB" w:eastAsia="en-GB"/>
        </w:rPr>
        <w:t xml:space="preserve"> proposal</w:t>
      </w:r>
      <w:r w:rsidR="006A06BC">
        <w:rPr>
          <w:lang w:val="en-GB" w:eastAsia="en-GB"/>
        </w:rPr>
        <w:t>s</w:t>
      </w:r>
      <w:r>
        <w:rPr>
          <w:lang w:val="en-GB" w:eastAsia="en-GB"/>
        </w:rPr>
        <w:t>.</w:t>
      </w:r>
    </w:p>
    <w:p w:rsidR="00647B25" w:rsidRDefault="00647B25" w:rsidP="0008103A">
      <w:pPr>
        <w:pStyle w:val="Heading1"/>
      </w:pPr>
      <w:r>
        <w:t>References</w:t>
      </w:r>
    </w:p>
    <w:p w:rsidR="00755C24" w:rsidRDefault="00755C24" w:rsidP="00755C24">
      <w:pPr>
        <w:pStyle w:val="Reference"/>
      </w:pPr>
      <w:bookmarkStart w:id="12" w:name="_Ref498509603"/>
      <w:bookmarkStart w:id="13" w:name="_Ref498433679"/>
      <w:bookmarkStart w:id="14" w:name="_Ref489271539"/>
      <w:bookmarkStart w:id="15" w:name="_Ref477981073"/>
      <w:bookmarkStart w:id="16" w:name="_Ref485396697"/>
      <w:bookmarkStart w:id="17" w:name="_Ref466239850"/>
      <w:bookmarkStart w:id="18" w:name="_Ref466239739"/>
      <w:bookmarkStart w:id="19" w:name="_Ref477533068"/>
      <w:bookmarkStart w:id="20" w:name="_Ref485484834"/>
      <w:bookmarkStart w:id="21" w:name="_Ref477944805"/>
      <w:r>
        <w:t>3GPP TR 38.901, “</w:t>
      </w:r>
      <w:r w:rsidRPr="00C0700D">
        <w:t xml:space="preserve">Study on channel model for </w:t>
      </w:r>
      <w:r>
        <w:t>frequencies from 0.5 to 100 GHz”, V14.0.1, June 2016.</w:t>
      </w:r>
      <w:bookmarkEnd w:id="12"/>
    </w:p>
    <w:p w:rsidR="00B41704" w:rsidRDefault="00B41704" w:rsidP="00B41704">
      <w:pPr>
        <w:pStyle w:val="Reference"/>
      </w:pPr>
      <w:r>
        <w:t>R4-1703567, “</w:t>
      </w:r>
      <w:r w:rsidRPr="00832E49">
        <w:t>Considerations for UE demodulation test methodologies in NR (mmWave)</w:t>
      </w:r>
      <w:r>
        <w:t xml:space="preserve">”, </w:t>
      </w:r>
      <w:r w:rsidRPr="00832E49">
        <w:t>Azimuth Systems Inc., Anritsu Ltd.</w:t>
      </w:r>
      <w:r>
        <w:t>, TSG RAN WG4 #82bis, April 2017.</w:t>
      </w:r>
      <w:bookmarkEnd w:id="13"/>
    </w:p>
    <w:p w:rsidR="00EF280D" w:rsidRDefault="00EF280D" w:rsidP="00EF280D">
      <w:pPr>
        <w:pStyle w:val="Reference"/>
      </w:pPr>
      <w:bookmarkStart w:id="22" w:name="_Ref492801159"/>
      <w:r>
        <w:t>R4-1707131, “</w:t>
      </w:r>
      <w:r w:rsidRPr="00633B63">
        <w:t>Evaluation of reduced complexity millimeter wave OTA channel models for UE demod testing</w:t>
      </w:r>
      <w:r>
        <w:t>”, Azimuth Systems, Anritsu, TSG</w:t>
      </w:r>
      <w:r w:rsidRPr="00F0794D">
        <w:t xml:space="preserve"> </w:t>
      </w:r>
      <w:r>
        <w:t>RAN4 #84, August 2017, Berlin, Germany.</w:t>
      </w:r>
      <w:bookmarkEnd w:id="22"/>
    </w:p>
    <w:p w:rsidR="00B41704" w:rsidRDefault="00B41704" w:rsidP="00B41704">
      <w:pPr>
        <w:pStyle w:val="Reference"/>
      </w:pPr>
      <w:bookmarkStart w:id="23" w:name="_Ref498434143"/>
      <w:r>
        <w:t>R4-1705838, “</w:t>
      </w:r>
      <w:r w:rsidRPr="00B41704">
        <w:t>Simplified sectorized MPAC for RRM/Demodulation Setup</w:t>
      </w:r>
      <w:r>
        <w:t>”, Keysight, TSG RAN4 #83, Hangzhou, China.</w:t>
      </w:r>
      <w:bookmarkEnd w:id="23"/>
    </w:p>
    <w:p w:rsidR="00D525EC" w:rsidRDefault="00EF280D" w:rsidP="00EF280D">
      <w:pPr>
        <w:pStyle w:val="Reference"/>
      </w:pPr>
      <w:bookmarkStart w:id="24" w:name="_Ref498434488"/>
      <w:r>
        <w:t>R4-1706876, “</w:t>
      </w:r>
      <w:r w:rsidRPr="00EF280D">
        <w:t>Comparison of mmWave channel models and measurements with TS 38.901</w:t>
      </w:r>
      <w:r>
        <w:t>”, Keysight, TSG RAN4 NR AH#2, June 2017, Qingdao, China.</w:t>
      </w:r>
      <w:bookmarkEnd w:id="24"/>
    </w:p>
    <w:p w:rsidR="00633B63" w:rsidRDefault="00633B63" w:rsidP="00633B63">
      <w:pPr>
        <w:pStyle w:val="Reference"/>
      </w:pPr>
      <w:bookmarkStart w:id="25" w:name="_Ref498435033"/>
      <w:r>
        <w:lastRenderedPageBreak/>
        <w:t>R4-1707129, “</w:t>
      </w:r>
      <w:r w:rsidRPr="007D3322">
        <w:t>Reduced complexity millimeter wave OTA channel models evaluation candidates</w:t>
      </w:r>
      <w:r>
        <w:t>”, Azimuth Systems, Anritsu, TSG RAN4 #84, August 2017, Berlin, Germany.</w:t>
      </w:r>
      <w:bookmarkEnd w:id="14"/>
      <w:bookmarkEnd w:id="25"/>
    </w:p>
    <w:p w:rsidR="007876C6" w:rsidRDefault="007876C6" w:rsidP="00741748">
      <w:pPr>
        <w:pStyle w:val="Reference"/>
      </w:pPr>
      <w:bookmarkStart w:id="26" w:name="_Ref498435228"/>
      <w:r w:rsidRPr="007876C6">
        <w:t>R4-1708556</w:t>
      </w:r>
      <w:r>
        <w:t xml:space="preserve">, “WF on channel modeling”, </w:t>
      </w:r>
      <w:r w:rsidRPr="007876C6">
        <w:t>Keysight Technologies, Rohde &amp; Schwarz, Anritsu, Spirent, Bluetest</w:t>
      </w:r>
      <w:r>
        <w:t xml:space="preserve">, </w:t>
      </w:r>
      <w:r w:rsidRPr="007876C6">
        <w:t>TSG-RAN WG4 #84</w:t>
      </w:r>
      <w:r>
        <w:t xml:space="preserve">, August 2017, </w:t>
      </w:r>
      <w:r w:rsidRPr="007876C6">
        <w:t>Berlin, Germany</w:t>
      </w:r>
      <w:r>
        <w:t>.</w:t>
      </w:r>
      <w:bookmarkEnd w:id="26"/>
    </w:p>
    <w:p w:rsidR="00633B63" w:rsidRDefault="00633B63" w:rsidP="00633B63">
      <w:pPr>
        <w:pStyle w:val="Reference"/>
      </w:pPr>
      <w:bookmarkStart w:id="27" w:name="_Ref489344737"/>
      <w:r>
        <w:t>R4-1707130, “</w:t>
      </w:r>
      <w:r w:rsidRPr="00F0794D">
        <w:t>Metrics for comparing reduced complexity models for millimeter-wave OTA demod testing</w:t>
      </w:r>
      <w:r>
        <w:t>”, Azimuth Systems, Anritsu, TSG</w:t>
      </w:r>
      <w:r w:rsidRPr="00F0794D">
        <w:t xml:space="preserve"> </w:t>
      </w:r>
      <w:r>
        <w:t>RAN4 #84, August 2017, Berlin, Germany.</w:t>
      </w:r>
      <w:bookmarkEnd w:id="27"/>
    </w:p>
    <w:p w:rsidR="007D4BC9" w:rsidRDefault="007D4BC9" w:rsidP="007D4BC9">
      <w:pPr>
        <w:pStyle w:val="Reference"/>
      </w:pPr>
      <w:bookmarkStart w:id="28" w:name="_Ref498435537"/>
      <w:bookmarkStart w:id="29" w:name="_Ref492806028"/>
      <w:bookmarkStart w:id="30" w:name="_Ref489008669"/>
      <w:r>
        <w:t>R4-171</w:t>
      </w:r>
      <w:r w:rsidR="00D00A19">
        <w:t>3679</w:t>
      </w:r>
      <w:bookmarkStart w:id="31" w:name="_GoBack"/>
      <w:bookmarkEnd w:id="31"/>
      <w:r>
        <w:t>, “</w:t>
      </w:r>
      <w:r w:rsidR="00D00A19">
        <w:t>Improved c</w:t>
      </w:r>
      <w:r w:rsidRPr="007D4BC9">
        <w:t xml:space="preserve">apacity </w:t>
      </w:r>
      <w:r w:rsidR="00D00A19">
        <w:t>m</w:t>
      </w:r>
      <w:r w:rsidRPr="007D4BC9">
        <w:t>etric for CDL models in mmWave environment</w:t>
      </w:r>
      <w:r>
        <w:t>”, Azimuth Systems, Anritsu, TSG RAN WG4 #85, Nov 2017, Reno, USA.</w:t>
      </w:r>
      <w:bookmarkEnd w:id="28"/>
    </w:p>
    <w:bookmarkEnd w:id="29"/>
    <w:p w:rsidR="009A36CB" w:rsidRDefault="009A36CB" w:rsidP="009A36CB">
      <w:pPr>
        <w:pStyle w:val="Reference"/>
      </w:pPr>
      <w:r>
        <w:t>3GPP TR 25.996, “Spatial channel model for Multiple Input Multiple Output (MIMO) simulations”, V6.0.0, June 2003.</w:t>
      </w:r>
      <w:bookmarkEnd w:id="30"/>
    </w:p>
    <w:p w:rsidR="009A36CB" w:rsidRDefault="009A36CB" w:rsidP="009A36CB">
      <w:pPr>
        <w:pStyle w:val="Reference"/>
      </w:pPr>
      <w:bookmarkStart w:id="32" w:name="_Ref489881390"/>
      <w:bookmarkStart w:id="33" w:name="_Ref492806000"/>
      <w:r w:rsidRPr="00810147">
        <w:t xml:space="preserve">Baum, D. S., Hansen, J., Galdo, G. Del, Milojevic, M., Salo, J., &amp; Kyösti, P. (2005). An Interim Channel Model for Beyond-3G Systems. In </w:t>
      </w:r>
      <w:r w:rsidRPr="00810147">
        <w:rPr>
          <w:i/>
          <w:iCs/>
        </w:rPr>
        <w:t>2005 IEEE 61st Vehicular Technology Conference</w:t>
      </w:r>
      <w:r w:rsidRPr="00810147">
        <w:t xml:space="preserve"> (Vol. 0, pp. 1–5).</w:t>
      </w:r>
      <w:bookmarkEnd w:id="32"/>
    </w:p>
    <w:p w:rsidR="00655B5D" w:rsidRPr="000D7C2D" w:rsidRDefault="00655B5D" w:rsidP="006C4ED7">
      <w:pPr>
        <w:pStyle w:val="Reference"/>
      </w:pPr>
      <w:bookmarkStart w:id="34" w:name="_Ref488406004"/>
      <w:bookmarkEnd w:id="15"/>
      <w:bookmarkEnd w:id="16"/>
      <w:bookmarkEnd w:id="33"/>
      <w:r w:rsidRPr="004F7623">
        <w:rPr>
          <w:lang w:val="en-GB" w:eastAsia="en-GB"/>
        </w:rPr>
        <w:t>R4-1702844</w:t>
      </w:r>
      <w:r>
        <w:rPr>
          <w:lang w:val="en-GB" w:eastAsia="en-GB"/>
        </w:rPr>
        <w:t>, “</w:t>
      </w:r>
      <w:r w:rsidRPr="00492DD1">
        <w:rPr>
          <w:lang w:val="en-GB" w:eastAsia="en-GB"/>
        </w:rPr>
        <w:t>UE antenna array configuration for mmWave</w:t>
      </w:r>
      <w:r>
        <w:rPr>
          <w:lang w:val="en-GB" w:eastAsia="en-GB"/>
        </w:rPr>
        <w:t>”, Sony, Ericsson, TSG RAN4 #82bis, April 2017, Spokane WA.</w:t>
      </w:r>
      <w:bookmarkEnd w:id="17"/>
      <w:bookmarkEnd w:id="18"/>
      <w:bookmarkEnd w:id="19"/>
      <w:bookmarkEnd w:id="20"/>
      <w:bookmarkEnd w:id="21"/>
      <w:bookmarkEnd w:id="34"/>
    </w:p>
    <w:p w:rsidR="000D7C2D" w:rsidRDefault="000D7C2D" w:rsidP="000D7C2D">
      <w:pPr>
        <w:pStyle w:val="Reference"/>
      </w:pPr>
      <w:bookmarkStart w:id="35" w:name="_Ref498284000"/>
      <w:r w:rsidRPr="000D7C2D">
        <w:t>R4-1711826</w:t>
      </w:r>
      <w:r>
        <w:t>, “</w:t>
      </w:r>
      <w:r w:rsidRPr="000D7C2D">
        <w:t>Inclusion of BS antenna pattern and weights in NR UE OTA testing</w:t>
      </w:r>
      <w:r>
        <w:t xml:space="preserve">”, Huawei, </w:t>
      </w:r>
      <w:r w:rsidRPr="000D7C2D">
        <w:rPr>
          <w:i/>
        </w:rPr>
        <w:t>et al</w:t>
      </w:r>
      <w:r>
        <w:t>, TSG RAN4 #84bis, Dubrovnik, Croatia.</w:t>
      </w:r>
      <w:bookmarkEnd w:id="35"/>
    </w:p>
    <w:sectPr w:rsidR="000D7C2D" w:rsidSect="008C368C">
      <w:footnotePr>
        <w:numRestart w:val="eachSect"/>
      </w:footnotePr>
      <w:pgSz w:w="11907" w:h="16839" w:code="9"/>
      <w:pgMar w:top="1416" w:right="1133" w:bottom="1133" w:left="1133" w:header="850" w:footer="340" w:gutter="0"/>
      <w:pgNumType w:start="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F45" w:rsidRDefault="00663F45">
      <w:r>
        <w:separator/>
      </w:r>
    </w:p>
  </w:endnote>
  <w:endnote w:type="continuationSeparator" w:id="0">
    <w:p w:rsidR="00663F45" w:rsidRDefault="00663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F45" w:rsidRDefault="00663F45">
      <w:r>
        <w:separator/>
      </w:r>
    </w:p>
  </w:footnote>
  <w:footnote w:type="continuationSeparator" w:id="0">
    <w:p w:rsidR="00663F45" w:rsidRDefault="00663F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0F3B82"/>
    <w:multiLevelType w:val="hybridMultilevel"/>
    <w:tmpl w:val="4014C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931966"/>
    <w:multiLevelType w:val="hybridMultilevel"/>
    <w:tmpl w:val="1570A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05EA3"/>
    <w:multiLevelType w:val="hybridMultilevel"/>
    <w:tmpl w:val="5EDA3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E51D2F"/>
    <w:multiLevelType w:val="hybridMultilevel"/>
    <w:tmpl w:val="968E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2AF25D4"/>
    <w:multiLevelType w:val="hybridMultilevel"/>
    <w:tmpl w:val="F17A6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640E21"/>
    <w:multiLevelType w:val="hybridMultilevel"/>
    <w:tmpl w:val="8134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2"/>
  </w:num>
  <w:num w:numId="3">
    <w:abstractNumId w:val="8"/>
  </w:num>
  <w:num w:numId="4">
    <w:abstractNumId w:val="6"/>
  </w:num>
  <w:num w:numId="5">
    <w:abstractNumId w:val="0"/>
  </w:num>
  <w:num w:numId="6">
    <w:abstractNumId w:val="11"/>
  </w:num>
  <w:num w:numId="7">
    <w:abstractNumId w:val="5"/>
  </w:num>
  <w:num w:numId="8">
    <w:abstractNumId w:val="1"/>
  </w:num>
  <w:num w:numId="9">
    <w:abstractNumId w:val="4"/>
  </w:num>
  <w:num w:numId="10">
    <w:abstractNumId w:val="9"/>
  </w:num>
  <w:num w:numId="11">
    <w:abstractNumId w:val="10"/>
  </w:num>
  <w:num w:numId="12">
    <w:abstractNumId w:val="3"/>
  </w:num>
  <w:num w:numId="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18B8"/>
    <w:rsid w:val="00003987"/>
    <w:rsid w:val="00004683"/>
    <w:rsid w:val="000048A3"/>
    <w:rsid w:val="00004D09"/>
    <w:rsid w:val="000110D5"/>
    <w:rsid w:val="00011737"/>
    <w:rsid w:val="0001572C"/>
    <w:rsid w:val="000200D6"/>
    <w:rsid w:val="00020D18"/>
    <w:rsid w:val="00025E6A"/>
    <w:rsid w:val="00026C34"/>
    <w:rsid w:val="000274B2"/>
    <w:rsid w:val="000304C8"/>
    <w:rsid w:val="000319C9"/>
    <w:rsid w:val="000324CF"/>
    <w:rsid w:val="00033949"/>
    <w:rsid w:val="00034E3F"/>
    <w:rsid w:val="0003503D"/>
    <w:rsid w:val="000350E0"/>
    <w:rsid w:val="00037E33"/>
    <w:rsid w:val="0004319E"/>
    <w:rsid w:val="000440AE"/>
    <w:rsid w:val="00045D92"/>
    <w:rsid w:val="00051B57"/>
    <w:rsid w:val="00053B32"/>
    <w:rsid w:val="00054BE8"/>
    <w:rsid w:val="0005753B"/>
    <w:rsid w:val="00057971"/>
    <w:rsid w:val="00064772"/>
    <w:rsid w:val="00070788"/>
    <w:rsid w:val="000728B6"/>
    <w:rsid w:val="000728D7"/>
    <w:rsid w:val="0007575C"/>
    <w:rsid w:val="00077B48"/>
    <w:rsid w:val="0008103A"/>
    <w:rsid w:val="000810EE"/>
    <w:rsid w:val="0008442D"/>
    <w:rsid w:val="00086548"/>
    <w:rsid w:val="00086B0E"/>
    <w:rsid w:val="00086D7D"/>
    <w:rsid w:val="00086E1B"/>
    <w:rsid w:val="00092222"/>
    <w:rsid w:val="0009534A"/>
    <w:rsid w:val="00096E64"/>
    <w:rsid w:val="00097BB3"/>
    <w:rsid w:val="000A13D9"/>
    <w:rsid w:val="000A357B"/>
    <w:rsid w:val="000A3FF6"/>
    <w:rsid w:val="000A67DA"/>
    <w:rsid w:val="000A6A6C"/>
    <w:rsid w:val="000A6F3D"/>
    <w:rsid w:val="000B0B4B"/>
    <w:rsid w:val="000B404B"/>
    <w:rsid w:val="000B5357"/>
    <w:rsid w:val="000C62F0"/>
    <w:rsid w:val="000D0A3E"/>
    <w:rsid w:val="000D26CE"/>
    <w:rsid w:val="000D505F"/>
    <w:rsid w:val="000D5AC1"/>
    <w:rsid w:val="000D5E5C"/>
    <w:rsid w:val="000D6A4F"/>
    <w:rsid w:val="000D7C2D"/>
    <w:rsid w:val="000E0BC7"/>
    <w:rsid w:val="000E2BE1"/>
    <w:rsid w:val="000E6E47"/>
    <w:rsid w:val="000E70BC"/>
    <w:rsid w:val="000E7266"/>
    <w:rsid w:val="000F28C0"/>
    <w:rsid w:val="000F7BB6"/>
    <w:rsid w:val="00100390"/>
    <w:rsid w:val="00100511"/>
    <w:rsid w:val="00100EB4"/>
    <w:rsid w:val="001029F8"/>
    <w:rsid w:val="00103056"/>
    <w:rsid w:val="00103A90"/>
    <w:rsid w:val="00106E82"/>
    <w:rsid w:val="001070C1"/>
    <w:rsid w:val="00110903"/>
    <w:rsid w:val="00111269"/>
    <w:rsid w:val="001119B5"/>
    <w:rsid w:val="00113A1A"/>
    <w:rsid w:val="00114158"/>
    <w:rsid w:val="00114773"/>
    <w:rsid w:val="00117C31"/>
    <w:rsid w:val="001232DA"/>
    <w:rsid w:val="00123ED1"/>
    <w:rsid w:val="00125748"/>
    <w:rsid w:val="0012646E"/>
    <w:rsid w:val="0013008E"/>
    <w:rsid w:val="0013183E"/>
    <w:rsid w:val="0013200F"/>
    <w:rsid w:val="00132115"/>
    <w:rsid w:val="00133749"/>
    <w:rsid w:val="001342B7"/>
    <w:rsid w:val="00137FD6"/>
    <w:rsid w:val="0014051C"/>
    <w:rsid w:val="0014356E"/>
    <w:rsid w:val="001470A2"/>
    <w:rsid w:val="00147374"/>
    <w:rsid w:val="00147D90"/>
    <w:rsid w:val="0015039B"/>
    <w:rsid w:val="001508F9"/>
    <w:rsid w:val="001514CE"/>
    <w:rsid w:val="001575B2"/>
    <w:rsid w:val="00160BEF"/>
    <w:rsid w:val="00161CD0"/>
    <w:rsid w:val="0016310B"/>
    <w:rsid w:val="001765DF"/>
    <w:rsid w:val="0017663A"/>
    <w:rsid w:val="00180424"/>
    <w:rsid w:val="00182A96"/>
    <w:rsid w:val="0018316A"/>
    <w:rsid w:val="00183981"/>
    <w:rsid w:val="00183E7A"/>
    <w:rsid w:val="00184C40"/>
    <w:rsid w:val="00190F21"/>
    <w:rsid w:val="00194344"/>
    <w:rsid w:val="001A08D8"/>
    <w:rsid w:val="001A0AEE"/>
    <w:rsid w:val="001A2578"/>
    <w:rsid w:val="001A7934"/>
    <w:rsid w:val="001A7964"/>
    <w:rsid w:val="001B20B4"/>
    <w:rsid w:val="001B31D1"/>
    <w:rsid w:val="001B387E"/>
    <w:rsid w:val="001B4EA6"/>
    <w:rsid w:val="001C1159"/>
    <w:rsid w:val="001C3640"/>
    <w:rsid w:val="001C5659"/>
    <w:rsid w:val="001C6802"/>
    <w:rsid w:val="001C6E82"/>
    <w:rsid w:val="001C735C"/>
    <w:rsid w:val="001D6D52"/>
    <w:rsid w:val="001E1F2A"/>
    <w:rsid w:val="001E35E5"/>
    <w:rsid w:val="001E4F49"/>
    <w:rsid w:val="001F2804"/>
    <w:rsid w:val="001F3790"/>
    <w:rsid w:val="001F623D"/>
    <w:rsid w:val="001F7149"/>
    <w:rsid w:val="001F7EA1"/>
    <w:rsid w:val="00200F49"/>
    <w:rsid w:val="00202010"/>
    <w:rsid w:val="0020346E"/>
    <w:rsid w:val="002048C5"/>
    <w:rsid w:val="002049A2"/>
    <w:rsid w:val="0020653F"/>
    <w:rsid w:val="00207F1A"/>
    <w:rsid w:val="002140E2"/>
    <w:rsid w:val="0021540A"/>
    <w:rsid w:val="00215536"/>
    <w:rsid w:val="0021609E"/>
    <w:rsid w:val="00216E80"/>
    <w:rsid w:val="00216FDD"/>
    <w:rsid w:val="00220FD4"/>
    <w:rsid w:val="002229A4"/>
    <w:rsid w:val="00224524"/>
    <w:rsid w:val="0023243D"/>
    <w:rsid w:val="002329B5"/>
    <w:rsid w:val="002355B6"/>
    <w:rsid w:val="00237DF5"/>
    <w:rsid w:val="00242217"/>
    <w:rsid w:val="00242E04"/>
    <w:rsid w:val="00244D80"/>
    <w:rsid w:val="00246B8D"/>
    <w:rsid w:val="00250240"/>
    <w:rsid w:val="0025130A"/>
    <w:rsid w:val="00251846"/>
    <w:rsid w:val="00255BDA"/>
    <w:rsid w:val="002603B7"/>
    <w:rsid w:val="00260EC9"/>
    <w:rsid w:val="00272FD8"/>
    <w:rsid w:val="00273870"/>
    <w:rsid w:val="00273D3A"/>
    <w:rsid w:val="00275B49"/>
    <w:rsid w:val="00276669"/>
    <w:rsid w:val="00283CE4"/>
    <w:rsid w:val="00284990"/>
    <w:rsid w:val="00286B4A"/>
    <w:rsid w:val="0028722B"/>
    <w:rsid w:val="002879FE"/>
    <w:rsid w:val="00290BA5"/>
    <w:rsid w:val="00293451"/>
    <w:rsid w:val="002943C0"/>
    <w:rsid w:val="002A0332"/>
    <w:rsid w:val="002A1732"/>
    <w:rsid w:val="002A231C"/>
    <w:rsid w:val="002A45CE"/>
    <w:rsid w:val="002A70E2"/>
    <w:rsid w:val="002A7CF2"/>
    <w:rsid w:val="002B1143"/>
    <w:rsid w:val="002B3265"/>
    <w:rsid w:val="002B43AD"/>
    <w:rsid w:val="002B50EC"/>
    <w:rsid w:val="002B519F"/>
    <w:rsid w:val="002B5B87"/>
    <w:rsid w:val="002C05AF"/>
    <w:rsid w:val="002C167C"/>
    <w:rsid w:val="002C1E09"/>
    <w:rsid w:val="002C5E5B"/>
    <w:rsid w:val="002C6452"/>
    <w:rsid w:val="002C7A81"/>
    <w:rsid w:val="002D1238"/>
    <w:rsid w:val="002D3A52"/>
    <w:rsid w:val="002D3F00"/>
    <w:rsid w:val="002D4419"/>
    <w:rsid w:val="002D4730"/>
    <w:rsid w:val="002D5CFD"/>
    <w:rsid w:val="002D6FD8"/>
    <w:rsid w:val="002E0D39"/>
    <w:rsid w:val="002E1641"/>
    <w:rsid w:val="002E1B5B"/>
    <w:rsid w:val="002E3964"/>
    <w:rsid w:val="002E42BB"/>
    <w:rsid w:val="002E4A4B"/>
    <w:rsid w:val="002E60D0"/>
    <w:rsid w:val="002F4EBE"/>
    <w:rsid w:val="002F5088"/>
    <w:rsid w:val="002F509A"/>
    <w:rsid w:val="002F5212"/>
    <w:rsid w:val="002F6442"/>
    <w:rsid w:val="002F66AE"/>
    <w:rsid w:val="002F75EA"/>
    <w:rsid w:val="002F7671"/>
    <w:rsid w:val="002F7C30"/>
    <w:rsid w:val="00301DA5"/>
    <w:rsid w:val="00302EC5"/>
    <w:rsid w:val="00310DA9"/>
    <w:rsid w:val="003131C4"/>
    <w:rsid w:val="00313DDE"/>
    <w:rsid w:val="00314E22"/>
    <w:rsid w:val="003167CA"/>
    <w:rsid w:val="00320802"/>
    <w:rsid w:val="00324C8F"/>
    <w:rsid w:val="00324E7E"/>
    <w:rsid w:val="00330B06"/>
    <w:rsid w:val="003337E4"/>
    <w:rsid w:val="00333B47"/>
    <w:rsid w:val="0033547C"/>
    <w:rsid w:val="00342645"/>
    <w:rsid w:val="0034288B"/>
    <w:rsid w:val="00343569"/>
    <w:rsid w:val="00345C8D"/>
    <w:rsid w:val="00353288"/>
    <w:rsid w:val="00353392"/>
    <w:rsid w:val="00354D58"/>
    <w:rsid w:val="003552F8"/>
    <w:rsid w:val="00365F9A"/>
    <w:rsid w:val="003665BC"/>
    <w:rsid w:val="00366997"/>
    <w:rsid w:val="0036740E"/>
    <w:rsid w:val="00367C3D"/>
    <w:rsid w:val="00367F1F"/>
    <w:rsid w:val="003713D9"/>
    <w:rsid w:val="0037359F"/>
    <w:rsid w:val="003737DD"/>
    <w:rsid w:val="00373DBC"/>
    <w:rsid w:val="00382662"/>
    <w:rsid w:val="003826D8"/>
    <w:rsid w:val="003828CE"/>
    <w:rsid w:val="003828EE"/>
    <w:rsid w:val="00387856"/>
    <w:rsid w:val="003910CF"/>
    <w:rsid w:val="0039132D"/>
    <w:rsid w:val="00391BDB"/>
    <w:rsid w:val="00391C57"/>
    <w:rsid w:val="003923E6"/>
    <w:rsid w:val="00392496"/>
    <w:rsid w:val="003932E7"/>
    <w:rsid w:val="003951AF"/>
    <w:rsid w:val="0039609E"/>
    <w:rsid w:val="003A144F"/>
    <w:rsid w:val="003A1EB2"/>
    <w:rsid w:val="003A30E1"/>
    <w:rsid w:val="003A3FA5"/>
    <w:rsid w:val="003A4CFF"/>
    <w:rsid w:val="003A652B"/>
    <w:rsid w:val="003B0442"/>
    <w:rsid w:val="003B09B2"/>
    <w:rsid w:val="003B1316"/>
    <w:rsid w:val="003B3318"/>
    <w:rsid w:val="003C208D"/>
    <w:rsid w:val="003C4803"/>
    <w:rsid w:val="003C6EE8"/>
    <w:rsid w:val="003D197F"/>
    <w:rsid w:val="003D1CAD"/>
    <w:rsid w:val="003D2811"/>
    <w:rsid w:val="003D6B8F"/>
    <w:rsid w:val="003D6DDB"/>
    <w:rsid w:val="003E06E5"/>
    <w:rsid w:val="003E33BF"/>
    <w:rsid w:val="003E3537"/>
    <w:rsid w:val="003E4264"/>
    <w:rsid w:val="003E5284"/>
    <w:rsid w:val="003E576B"/>
    <w:rsid w:val="003E72FA"/>
    <w:rsid w:val="003F15BD"/>
    <w:rsid w:val="003F2785"/>
    <w:rsid w:val="003F4570"/>
    <w:rsid w:val="003F5EF0"/>
    <w:rsid w:val="003F6043"/>
    <w:rsid w:val="003F637A"/>
    <w:rsid w:val="003F6F11"/>
    <w:rsid w:val="003F7C09"/>
    <w:rsid w:val="003F7FB8"/>
    <w:rsid w:val="004001CD"/>
    <w:rsid w:val="00400B07"/>
    <w:rsid w:val="00400B15"/>
    <w:rsid w:val="00400EE7"/>
    <w:rsid w:val="004020FA"/>
    <w:rsid w:val="00402E1E"/>
    <w:rsid w:val="00404119"/>
    <w:rsid w:val="00404A01"/>
    <w:rsid w:val="00412C55"/>
    <w:rsid w:val="00415E5C"/>
    <w:rsid w:val="00415EEF"/>
    <w:rsid w:val="00420B98"/>
    <w:rsid w:val="0042388A"/>
    <w:rsid w:val="00425615"/>
    <w:rsid w:val="00425FEB"/>
    <w:rsid w:val="00427255"/>
    <w:rsid w:val="0043236D"/>
    <w:rsid w:val="0043674B"/>
    <w:rsid w:val="00442138"/>
    <w:rsid w:val="00442F4F"/>
    <w:rsid w:val="0044307A"/>
    <w:rsid w:val="00451032"/>
    <w:rsid w:val="004523BF"/>
    <w:rsid w:val="00454E1F"/>
    <w:rsid w:val="0045520F"/>
    <w:rsid w:val="00455A14"/>
    <w:rsid w:val="00456499"/>
    <w:rsid w:val="00461CF5"/>
    <w:rsid w:val="00464883"/>
    <w:rsid w:val="00465869"/>
    <w:rsid w:val="0046740F"/>
    <w:rsid w:val="004679AF"/>
    <w:rsid w:val="004703CD"/>
    <w:rsid w:val="00470720"/>
    <w:rsid w:val="00470CED"/>
    <w:rsid w:val="00474A35"/>
    <w:rsid w:val="004820C4"/>
    <w:rsid w:val="0048584F"/>
    <w:rsid w:val="00491979"/>
    <w:rsid w:val="00492DD1"/>
    <w:rsid w:val="004963AC"/>
    <w:rsid w:val="004A0E35"/>
    <w:rsid w:val="004A18FC"/>
    <w:rsid w:val="004A1DA0"/>
    <w:rsid w:val="004A1EEF"/>
    <w:rsid w:val="004A2527"/>
    <w:rsid w:val="004A3813"/>
    <w:rsid w:val="004A54E3"/>
    <w:rsid w:val="004A6404"/>
    <w:rsid w:val="004A6CFD"/>
    <w:rsid w:val="004A7CBB"/>
    <w:rsid w:val="004B0BC8"/>
    <w:rsid w:val="004B2192"/>
    <w:rsid w:val="004B3771"/>
    <w:rsid w:val="004B3ED8"/>
    <w:rsid w:val="004B7612"/>
    <w:rsid w:val="004C17F4"/>
    <w:rsid w:val="004C1AA9"/>
    <w:rsid w:val="004C1E20"/>
    <w:rsid w:val="004C2183"/>
    <w:rsid w:val="004C23FD"/>
    <w:rsid w:val="004C505E"/>
    <w:rsid w:val="004C7E19"/>
    <w:rsid w:val="004D00F2"/>
    <w:rsid w:val="004D06CD"/>
    <w:rsid w:val="004D183A"/>
    <w:rsid w:val="004D2833"/>
    <w:rsid w:val="004D2A62"/>
    <w:rsid w:val="004D2E76"/>
    <w:rsid w:val="004D309C"/>
    <w:rsid w:val="004D382C"/>
    <w:rsid w:val="004D4E4F"/>
    <w:rsid w:val="004D519F"/>
    <w:rsid w:val="004D6BBA"/>
    <w:rsid w:val="004E3963"/>
    <w:rsid w:val="004E4EFC"/>
    <w:rsid w:val="004E7F1E"/>
    <w:rsid w:val="004F16D2"/>
    <w:rsid w:val="004F1956"/>
    <w:rsid w:val="004F30A1"/>
    <w:rsid w:val="004F7623"/>
    <w:rsid w:val="004F7BB7"/>
    <w:rsid w:val="004F7E84"/>
    <w:rsid w:val="0050105E"/>
    <w:rsid w:val="00501C64"/>
    <w:rsid w:val="0050210E"/>
    <w:rsid w:val="00502C90"/>
    <w:rsid w:val="00503F62"/>
    <w:rsid w:val="00505651"/>
    <w:rsid w:val="00510D89"/>
    <w:rsid w:val="00511232"/>
    <w:rsid w:val="0051217C"/>
    <w:rsid w:val="00512CEE"/>
    <w:rsid w:val="0051606B"/>
    <w:rsid w:val="005173A5"/>
    <w:rsid w:val="0052175C"/>
    <w:rsid w:val="00521896"/>
    <w:rsid w:val="00521B78"/>
    <w:rsid w:val="0052253C"/>
    <w:rsid w:val="00522B3A"/>
    <w:rsid w:val="005242F9"/>
    <w:rsid w:val="00526B84"/>
    <w:rsid w:val="00527456"/>
    <w:rsid w:val="00530BD4"/>
    <w:rsid w:val="0053325D"/>
    <w:rsid w:val="00535447"/>
    <w:rsid w:val="00542B9E"/>
    <w:rsid w:val="00542C03"/>
    <w:rsid w:val="00552B94"/>
    <w:rsid w:val="00552D50"/>
    <w:rsid w:val="0055438A"/>
    <w:rsid w:val="00555361"/>
    <w:rsid w:val="00556E45"/>
    <w:rsid w:val="00557056"/>
    <w:rsid w:val="00557420"/>
    <w:rsid w:val="0056026B"/>
    <w:rsid w:val="0056186B"/>
    <w:rsid w:val="00562A61"/>
    <w:rsid w:val="00564321"/>
    <w:rsid w:val="00565392"/>
    <w:rsid w:val="00566714"/>
    <w:rsid w:val="00566988"/>
    <w:rsid w:val="00567525"/>
    <w:rsid w:val="00570A04"/>
    <w:rsid w:val="005734B4"/>
    <w:rsid w:val="00573B04"/>
    <w:rsid w:val="00576853"/>
    <w:rsid w:val="00580AAB"/>
    <w:rsid w:val="00581C7A"/>
    <w:rsid w:val="0058403A"/>
    <w:rsid w:val="0058579F"/>
    <w:rsid w:val="005872D2"/>
    <w:rsid w:val="005913C7"/>
    <w:rsid w:val="00591CFF"/>
    <w:rsid w:val="00592B11"/>
    <w:rsid w:val="00597BF4"/>
    <w:rsid w:val="005A22FC"/>
    <w:rsid w:val="005A29E2"/>
    <w:rsid w:val="005A2A08"/>
    <w:rsid w:val="005A2E0A"/>
    <w:rsid w:val="005A4152"/>
    <w:rsid w:val="005A5586"/>
    <w:rsid w:val="005A65C0"/>
    <w:rsid w:val="005A7989"/>
    <w:rsid w:val="005A7AFA"/>
    <w:rsid w:val="005B010E"/>
    <w:rsid w:val="005B0B53"/>
    <w:rsid w:val="005B1DC9"/>
    <w:rsid w:val="005B236C"/>
    <w:rsid w:val="005B4392"/>
    <w:rsid w:val="005B6547"/>
    <w:rsid w:val="005C6C8C"/>
    <w:rsid w:val="005C7D7F"/>
    <w:rsid w:val="005D2536"/>
    <w:rsid w:val="005D2708"/>
    <w:rsid w:val="005D335F"/>
    <w:rsid w:val="005D40C6"/>
    <w:rsid w:val="005D54BC"/>
    <w:rsid w:val="005D6F89"/>
    <w:rsid w:val="005E11AD"/>
    <w:rsid w:val="005E186C"/>
    <w:rsid w:val="005E418A"/>
    <w:rsid w:val="005E53DE"/>
    <w:rsid w:val="005E6C79"/>
    <w:rsid w:val="005E7321"/>
    <w:rsid w:val="005F0655"/>
    <w:rsid w:val="005F1038"/>
    <w:rsid w:val="005F2D3A"/>
    <w:rsid w:val="006002BE"/>
    <w:rsid w:val="00601D13"/>
    <w:rsid w:val="00601D6B"/>
    <w:rsid w:val="00605EFF"/>
    <w:rsid w:val="00610919"/>
    <w:rsid w:val="00611EE7"/>
    <w:rsid w:val="00613735"/>
    <w:rsid w:val="0061587F"/>
    <w:rsid w:val="00622E25"/>
    <w:rsid w:val="00627398"/>
    <w:rsid w:val="00627CAE"/>
    <w:rsid w:val="00633B63"/>
    <w:rsid w:val="00633D7B"/>
    <w:rsid w:val="00633FA9"/>
    <w:rsid w:val="00634B5A"/>
    <w:rsid w:val="0064061F"/>
    <w:rsid w:val="00640EF1"/>
    <w:rsid w:val="0064256C"/>
    <w:rsid w:val="00647B25"/>
    <w:rsid w:val="00651FB3"/>
    <w:rsid w:val="006524BB"/>
    <w:rsid w:val="00652E4A"/>
    <w:rsid w:val="006536B9"/>
    <w:rsid w:val="00654AAA"/>
    <w:rsid w:val="00654F6A"/>
    <w:rsid w:val="00655B5D"/>
    <w:rsid w:val="006616FE"/>
    <w:rsid w:val="006624E1"/>
    <w:rsid w:val="006634C2"/>
    <w:rsid w:val="00663F45"/>
    <w:rsid w:val="00665D92"/>
    <w:rsid w:val="00666089"/>
    <w:rsid w:val="006660A6"/>
    <w:rsid w:val="00667560"/>
    <w:rsid w:val="00672984"/>
    <w:rsid w:val="00676DB0"/>
    <w:rsid w:val="00683A02"/>
    <w:rsid w:val="00685BA3"/>
    <w:rsid w:val="00686007"/>
    <w:rsid w:val="00691357"/>
    <w:rsid w:val="00692744"/>
    <w:rsid w:val="00693E4C"/>
    <w:rsid w:val="00695F2B"/>
    <w:rsid w:val="0069600E"/>
    <w:rsid w:val="006A0550"/>
    <w:rsid w:val="006A0635"/>
    <w:rsid w:val="006A06BC"/>
    <w:rsid w:val="006A16F1"/>
    <w:rsid w:val="006A4328"/>
    <w:rsid w:val="006A537D"/>
    <w:rsid w:val="006A6735"/>
    <w:rsid w:val="006A717F"/>
    <w:rsid w:val="006A7D6A"/>
    <w:rsid w:val="006B01C2"/>
    <w:rsid w:val="006B285B"/>
    <w:rsid w:val="006B5580"/>
    <w:rsid w:val="006B6BD3"/>
    <w:rsid w:val="006C3DC5"/>
    <w:rsid w:val="006C4ED7"/>
    <w:rsid w:val="006C54D1"/>
    <w:rsid w:val="006C58C9"/>
    <w:rsid w:val="006C6EB9"/>
    <w:rsid w:val="006D1F09"/>
    <w:rsid w:val="006D24A3"/>
    <w:rsid w:val="006D34DA"/>
    <w:rsid w:val="006D7A77"/>
    <w:rsid w:val="006D7CEE"/>
    <w:rsid w:val="006E6BEF"/>
    <w:rsid w:val="006F0281"/>
    <w:rsid w:val="006F2D0B"/>
    <w:rsid w:val="006F2FC6"/>
    <w:rsid w:val="006F4E37"/>
    <w:rsid w:val="006F760C"/>
    <w:rsid w:val="007017D3"/>
    <w:rsid w:val="00701A8B"/>
    <w:rsid w:val="00702C7E"/>
    <w:rsid w:val="00704709"/>
    <w:rsid w:val="007070E8"/>
    <w:rsid w:val="0071209A"/>
    <w:rsid w:val="007132C9"/>
    <w:rsid w:val="00713A7C"/>
    <w:rsid w:val="0071529C"/>
    <w:rsid w:val="00715340"/>
    <w:rsid w:val="00715BEC"/>
    <w:rsid w:val="00716482"/>
    <w:rsid w:val="00722DDB"/>
    <w:rsid w:val="00723A5B"/>
    <w:rsid w:val="0072495C"/>
    <w:rsid w:val="00726EC8"/>
    <w:rsid w:val="00726F85"/>
    <w:rsid w:val="007274D2"/>
    <w:rsid w:val="00730190"/>
    <w:rsid w:val="00731758"/>
    <w:rsid w:val="0073503D"/>
    <w:rsid w:val="00735E95"/>
    <w:rsid w:val="00736D84"/>
    <w:rsid w:val="00740569"/>
    <w:rsid w:val="00741748"/>
    <w:rsid w:val="00745394"/>
    <w:rsid w:val="00745A8B"/>
    <w:rsid w:val="00746C34"/>
    <w:rsid w:val="00752D0A"/>
    <w:rsid w:val="00753BA9"/>
    <w:rsid w:val="00755C24"/>
    <w:rsid w:val="00756737"/>
    <w:rsid w:val="0075678D"/>
    <w:rsid w:val="00756C14"/>
    <w:rsid w:val="00757633"/>
    <w:rsid w:val="007618DB"/>
    <w:rsid w:val="007628E1"/>
    <w:rsid w:val="007629F4"/>
    <w:rsid w:val="007638BD"/>
    <w:rsid w:val="00765294"/>
    <w:rsid w:val="00766665"/>
    <w:rsid w:val="00770A5A"/>
    <w:rsid w:val="00770F38"/>
    <w:rsid w:val="007755BA"/>
    <w:rsid w:val="00775D52"/>
    <w:rsid w:val="00775EFC"/>
    <w:rsid w:val="007764B9"/>
    <w:rsid w:val="00782C98"/>
    <w:rsid w:val="00785A8D"/>
    <w:rsid w:val="007876C6"/>
    <w:rsid w:val="0079048E"/>
    <w:rsid w:val="007918EE"/>
    <w:rsid w:val="00793199"/>
    <w:rsid w:val="00794470"/>
    <w:rsid w:val="00795E4D"/>
    <w:rsid w:val="00797AD1"/>
    <w:rsid w:val="007A1110"/>
    <w:rsid w:val="007A129A"/>
    <w:rsid w:val="007A1992"/>
    <w:rsid w:val="007A4BF8"/>
    <w:rsid w:val="007A62B3"/>
    <w:rsid w:val="007A655F"/>
    <w:rsid w:val="007B0993"/>
    <w:rsid w:val="007B319A"/>
    <w:rsid w:val="007B331E"/>
    <w:rsid w:val="007B602E"/>
    <w:rsid w:val="007B61B2"/>
    <w:rsid w:val="007B6413"/>
    <w:rsid w:val="007B7FDF"/>
    <w:rsid w:val="007C032A"/>
    <w:rsid w:val="007C088B"/>
    <w:rsid w:val="007C12D1"/>
    <w:rsid w:val="007C2EA6"/>
    <w:rsid w:val="007C6893"/>
    <w:rsid w:val="007C7BC3"/>
    <w:rsid w:val="007D07E4"/>
    <w:rsid w:val="007D1AF7"/>
    <w:rsid w:val="007D21E8"/>
    <w:rsid w:val="007D3A0A"/>
    <w:rsid w:val="007D3F46"/>
    <w:rsid w:val="007D46A2"/>
    <w:rsid w:val="007D4BC9"/>
    <w:rsid w:val="007D5067"/>
    <w:rsid w:val="007D5BAF"/>
    <w:rsid w:val="007D618E"/>
    <w:rsid w:val="007D6251"/>
    <w:rsid w:val="007D6369"/>
    <w:rsid w:val="007D7DA3"/>
    <w:rsid w:val="007E08F9"/>
    <w:rsid w:val="007E2549"/>
    <w:rsid w:val="007E3801"/>
    <w:rsid w:val="007E42EE"/>
    <w:rsid w:val="007E664A"/>
    <w:rsid w:val="007F03BB"/>
    <w:rsid w:val="007F0EA5"/>
    <w:rsid w:val="007F1A58"/>
    <w:rsid w:val="00802449"/>
    <w:rsid w:val="008024BF"/>
    <w:rsid w:val="0080368D"/>
    <w:rsid w:val="0080568E"/>
    <w:rsid w:val="008068CF"/>
    <w:rsid w:val="00810147"/>
    <w:rsid w:val="00814183"/>
    <w:rsid w:val="00814FBB"/>
    <w:rsid w:val="00815588"/>
    <w:rsid w:val="008158EB"/>
    <w:rsid w:val="008218ED"/>
    <w:rsid w:val="00822F10"/>
    <w:rsid w:val="008230B9"/>
    <w:rsid w:val="008248EA"/>
    <w:rsid w:val="008260B9"/>
    <w:rsid w:val="00826EA6"/>
    <w:rsid w:val="00827F55"/>
    <w:rsid w:val="00832BB2"/>
    <w:rsid w:val="00832E49"/>
    <w:rsid w:val="00834D2F"/>
    <w:rsid w:val="00834DEA"/>
    <w:rsid w:val="00836354"/>
    <w:rsid w:val="00836F18"/>
    <w:rsid w:val="008415F4"/>
    <w:rsid w:val="008434C5"/>
    <w:rsid w:val="0085065C"/>
    <w:rsid w:val="008506DA"/>
    <w:rsid w:val="0085224E"/>
    <w:rsid w:val="0085279C"/>
    <w:rsid w:val="00853C98"/>
    <w:rsid w:val="008540B7"/>
    <w:rsid w:val="0085691C"/>
    <w:rsid w:val="00856DA5"/>
    <w:rsid w:val="00857410"/>
    <w:rsid w:val="00861477"/>
    <w:rsid w:val="008624C0"/>
    <w:rsid w:val="00862CAA"/>
    <w:rsid w:val="00863407"/>
    <w:rsid w:val="00866935"/>
    <w:rsid w:val="00870311"/>
    <w:rsid w:val="008712E7"/>
    <w:rsid w:val="00871E56"/>
    <w:rsid w:val="008818B8"/>
    <w:rsid w:val="00884DF8"/>
    <w:rsid w:val="0088529C"/>
    <w:rsid w:val="00885572"/>
    <w:rsid w:val="008859EA"/>
    <w:rsid w:val="00885E99"/>
    <w:rsid w:val="00886B87"/>
    <w:rsid w:val="0088709A"/>
    <w:rsid w:val="00890665"/>
    <w:rsid w:val="00890F6A"/>
    <w:rsid w:val="00891126"/>
    <w:rsid w:val="00892889"/>
    <w:rsid w:val="008A0813"/>
    <w:rsid w:val="008A4F70"/>
    <w:rsid w:val="008A55D0"/>
    <w:rsid w:val="008A761E"/>
    <w:rsid w:val="008A785B"/>
    <w:rsid w:val="008B0559"/>
    <w:rsid w:val="008B1EBE"/>
    <w:rsid w:val="008B2DF5"/>
    <w:rsid w:val="008B32E5"/>
    <w:rsid w:val="008B380C"/>
    <w:rsid w:val="008B3F29"/>
    <w:rsid w:val="008B43FF"/>
    <w:rsid w:val="008B5E7B"/>
    <w:rsid w:val="008B6553"/>
    <w:rsid w:val="008C10D6"/>
    <w:rsid w:val="008C1DCA"/>
    <w:rsid w:val="008C2A45"/>
    <w:rsid w:val="008C35D1"/>
    <w:rsid w:val="008C368C"/>
    <w:rsid w:val="008C3D1D"/>
    <w:rsid w:val="008C4577"/>
    <w:rsid w:val="008C4F0A"/>
    <w:rsid w:val="008C5401"/>
    <w:rsid w:val="008C5E13"/>
    <w:rsid w:val="008D063D"/>
    <w:rsid w:val="008D2DB6"/>
    <w:rsid w:val="008D4D1F"/>
    <w:rsid w:val="008D710B"/>
    <w:rsid w:val="008E0DB3"/>
    <w:rsid w:val="008E115C"/>
    <w:rsid w:val="008E1A90"/>
    <w:rsid w:val="008E2F79"/>
    <w:rsid w:val="008E3BAC"/>
    <w:rsid w:val="008E5B45"/>
    <w:rsid w:val="008E7B3D"/>
    <w:rsid w:val="008F098E"/>
    <w:rsid w:val="008F13CF"/>
    <w:rsid w:val="008F1F1A"/>
    <w:rsid w:val="008F2907"/>
    <w:rsid w:val="008F2F97"/>
    <w:rsid w:val="008F3FFB"/>
    <w:rsid w:val="0090191B"/>
    <w:rsid w:val="00902091"/>
    <w:rsid w:val="00902E64"/>
    <w:rsid w:val="009032EE"/>
    <w:rsid w:val="009035A9"/>
    <w:rsid w:val="009110DF"/>
    <w:rsid w:val="00913DCA"/>
    <w:rsid w:val="0091713D"/>
    <w:rsid w:val="009178B6"/>
    <w:rsid w:val="009217FB"/>
    <w:rsid w:val="00921F58"/>
    <w:rsid w:val="0092306D"/>
    <w:rsid w:val="0092541A"/>
    <w:rsid w:val="00930912"/>
    <w:rsid w:val="0093274D"/>
    <w:rsid w:val="009343F7"/>
    <w:rsid w:val="00935D16"/>
    <w:rsid w:val="00940B84"/>
    <w:rsid w:val="009418D7"/>
    <w:rsid w:val="009503F6"/>
    <w:rsid w:val="00951C3D"/>
    <w:rsid w:val="00953C88"/>
    <w:rsid w:val="00955835"/>
    <w:rsid w:val="00960B4C"/>
    <w:rsid w:val="00961ECE"/>
    <w:rsid w:val="00962642"/>
    <w:rsid w:val="0096283D"/>
    <w:rsid w:val="0096289D"/>
    <w:rsid w:val="00963518"/>
    <w:rsid w:val="00963C42"/>
    <w:rsid w:val="00967EAA"/>
    <w:rsid w:val="00971E8B"/>
    <w:rsid w:val="00975C2E"/>
    <w:rsid w:val="009761EA"/>
    <w:rsid w:val="00976334"/>
    <w:rsid w:val="00980373"/>
    <w:rsid w:val="00982C80"/>
    <w:rsid w:val="00984384"/>
    <w:rsid w:val="009847C4"/>
    <w:rsid w:val="00984EBC"/>
    <w:rsid w:val="00985A8E"/>
    <w:rsid w:val="00985FE1"/>
    <w:rsid w:val="00986262"/>
    <w:rsid w:val="009901C1"/>
    <w:rsid w:val="00992228"/>
    <w:rsid w:val="00992CF4"/>
    <w:rsid w:val="00993B72"/>
    <w:rsid w:val="00995FF8"/>
    <w:rsid w:val="00997AB6"/>
    <w:rsid w:val="009A0B0E"/>
    <w:rsid w:val="009A1EB5"/>
    <w:rsid w:val="009A2B7A"/>
    <w:rsid w:val="009A2CC3"/>
    <w:rsid w:val="009A2F19"/>
    <w:rsid w:val="009A3198"/>
    <w:rsid w:val="009A36CB"/>
    <w:rsid w:val="009A4B50"/>
    <w:rsid w:val="009A5026"/>
    <w:rsid w:val="009A66FA"/>
    <w:rsid w:val="009A6C94"/>
    <w:rsid w:val="009A700C"/>
    <w:rsid w:val="009A702D"/>
    <w:rsid w:val="009B05D1"/>
    <w:rsid w:val="009B0818"/>
    <w:rsid w:val="009B0BCD"/>
    <w:rsid w:val="009B2A58"/>
    <w:rsid w:val="009B2F85"/>
    <w:rsid w:val="009B45EC"/>
    <w:rsid w:val="009B5DBF"/>
    <w:rsid w:val="009B7099"/>
    <w:rsid w:val="009B7302"/>
    <w:rsid w:val="009B7AA2"/>
    <w:rsid w:val="009C0169"/>
    <w:rsid w:val="009C25C3"/>
    <w:rsid w:val="009C3CCA"/>
    <w:rsid w:val="009C4A60"/>
    <w:rsid w:val="009C704F"/>
    <w:rsid w:val="009C71FA"/>
    <w:rsid w:val="009C79EB"/>
    <w:rsid w:val="009D286D"/>
    <w:rsid w:val="009D2890"/>
    <w:rsid w:val="009D34BF"/>
    <w:rsid w:val="009D3CB9"/>
    <w:rsid w:val="009D472D"/>
    <w:rsid w:val="009E0607"/>
    <w:rsid w:val="009E0E73"/>
    <w:rsid w:val="009E0FE3"/>
    <w:rsid w:val="009E106C"/>
    <w:rsid w:val="009E548C"/>
    <w:rsid w:val="009E5A17"/>
    <w:rsid w:val="009E663C"/>
    <w:rsid w:val="009E6D41"/>
    <w:rsid w:val="009F29C2"/>
    <w:rsid w:val="009F33E3"/>
    <w:rsid w:val="009F43A6"/>
    <w:rsid w:val="009F51A5"/>
    <w:rsid w:val="009F55A0"/>
    <w:rsid w:val="009F685C"/>
    <w:rsid w:val="00A00E01"/>
    <w:rsid w:val="00A010C9"/>
    <w:rsid w:val="00A0669B"/>
    <w:rsid w:val="00A075D1"/>
    <w:rsid w:val="00A113EC"/>
    <w:rsid w:val="00A14406"/>
    <w:rsid w:val="00A1570C"/>
    <w:rsid w:val="00A235FA"/>
    <w:rsid w:val="00A242D5"/>
    <w:rsid w:val="00A26167"/>
    <w:rsid w:val="00A27EF2"/>
    <w:rsid w:val="00A301BD"/>
    <w:rsid w:val="00A303A3"/>
    <w:rsid w:val="00A32D17"/>
    <w:rsid w:val="00A330A7"/>
    <w:rsid w:val="00A34287"/>
    <w:rsid w:val="00A35250"/>
    <w:rsid w:val="00A37C73"/>
    <w:rsid w:val="00A427F3"/>
    <w:rsid w:val="00A448A9"/>
    <w:rsid w:val="00A45F93"/>
    <w:rsid w:val="00A462AE"/>
    <w:rsid w:val="00A47A9D"/>
    <w:rsid w:val="00A52348"/>
    <w:rsid w:val="00A54BFD"/>
    <w:rsid w:val="00A55FEA"/>
    <w:rsid w:val="00A56D4A"/>
    <w:rsid w:val="00A572B6"/>
    <w:rsid w:val="00A57EAF"/>
    <w:rsid w:val="00A6156F"/>
    <w:rsid w:val="00A61E75"/>
    <w:rsid w:val="00A61F75"/>
    <w:rsid w:val="00A64C22"/>
    <w:rsid w:val="00A64C40"/>
    <w:rsid w:val="00A65CD4"/>
    <w:rsid w:val="00A66B1A"/>
    <w:rsid w:val="00A6755D"/>
    <w:rsid w:val="00A6779E"/>
    <w:rsid w:val="00A67F68"/>
    <w:rsid w:val="00A706E0"/>
    <w:rsid w:val="00A72E4E"/>
    <w:rsid w:val="00A733C4"/>
    <w:rsid w:val="00A73BB6"/>
    <w:rsid w:val="00A73F29"/>
    <w:rsid w:val="00A74DAF"/>
    <w:rsid w:val="00A76F87"/>
    <w:rsid w:val="00A77C68"/>
    <w:rsid w:val="00A80CF9"/>
    <w:rsid w:val="00A81D73"/>
    <w:rsid w:val="00A82F37"/>
    <w:rsid w:val="00A8309F"/>
    <w:rsid w:val="00A8314F"/>
    <w:rsid w:val="00A84DB7"/>
    <w:rsid w:val="00A860DF"/>
    <w:rsid w:val="00A866E4"/>
    <w:rsid w:val="00A86E7D"/>
    <w:rsid w:val="00A8716F"/>
    <w:rsid w:val="00A90FF9"/>
    <w:rsid w:val="00A92341"/>
    <w:rsid w:val="00A95D76"/>
    <w:rsid w:val="00A95F87"/>
    <w:rsid w:val="00A95FA7"/>
    <w:rsid w:val="00AA29D5"/>
    <w:rsid w:val="00AA40F1"/>
    <w:rsid w:val="00AB11DD"/>
    <w:rsid w:val="00AB19C9"/>
    <w:rsid w:val="00AB1BEF"/>
    <w:rsid w:val="00AB1D8E"/>
    <w:rsid w:val="00AB53CD"/>
    <w:rsid w:val="00AB7318"/>
    <w:rsid w:val="00AC190B"/>
    <w:rsid w:val="00AC3005"/>
    <w:rsid w:val="00AC4F11"/>
    <w:rsid w:val="00AC5EF8"/>
    <w:rsid w:val="00AC6AC8"/>
    <w:rsid w:val="00AC6AD2"/>
    <w:rsid w:val="00AD024C"/>
    <w:rsid w:val="00AD3C4F"/>
    <w:rsid w:val="00AD492B"/>
    <w:rsid w:val="00AD5D26"/>
    <w:rsid w:val="00AE27F6"/>
    <w:rsid w:val="00AE7A54"/>
    <w:rsid w:val="00AF030F"/>
    <w:rsid w:val="00AF0667"/>
    <w:rsid w:val="00AF0853"/>
    <w:rsid w:val="00AF1A7F"/>
    <w:rsid w:val="00AF384E"/>
    <w:rsid w:val="00AF4D64"/>
    <w:rsid w:val="00AF5072"/>
    <w:rsid w:val="00AF6A36"/>
    <w:rsid w:val="00B00DF6"/>
    <w:rsid w:val="00B039C8"/>
    <w:rsid w:val="00B03C64"/>
    <w:rsid w:val="00B0663A"/>
    <w:rsid w:val="00B07B0F"/>
    <w:rsid w:val="00B07B98"/>
    <w:rsid w:val="00B07FCB"/>
    <w:rsid w:val="00B10D33"/>
    <w:rsid w:val="00B126D1"/>
    <w:rsid w:val="00B12F8B"/>
    <w:rsid w:val="00B13461"/>
    <w:rsid w:val="00B13A75"/>
    <w:rsid w:val="00B14946"/>
    <w:rsid w:val="00B14E8E"/>
    <w:rsid w:val="00B151BA"/>
    <w:rsid w:val="00B15FAE"/>
    <w:rsid w:val="00B17354"/>
    <w:rsid w:val="00B21C24"/>
    <w:rsid w:val="00B22629"/>
    <w:rsid w:val="00B23417"/>
    <w:rsid w:val="00B25C8A"/>
    <w:rsid w:val="00B30147"/>
    <w:rsid w:val="00B3044D"/>
    <w:rsid w:val="00B3161B"/>
    <w:rsid w:val="00B32B4E"/>
    <w:rsid w:val="00B32D9C"/>
    <w:rsid w:val="00B3332B"/>
    <w:rsid w:val="00B33680"/>
    <w:rsid w:val="00B33C26"/>
    <w:rsid w:val="00B34523"/>
    <w:rsid w:val="00B35920"/>
    <w:rsid w:val="00B35DA8"/>
    <w:rsid w:val="00B40825"/>
    <w:rsid w:val="00B41704"/>
    <w:rsid w:val="00B45C5C"/>
    <w:rsid w:val="00B55C3C"/>
    <w:rsid w:val="00B57C62"/>
    <w:rsid w:val="00B60377"/>
    <w:rsid w:val="00B638E8"/>
    <w:rsid w:val="00B645EB"/>
    <w:rsid w:val="00B6690C"/>
    <w:rsid w:val="00B67B37"/>
    <w:rsid w:val="00B745E2"/>
    <w:rsid w:val="00B75049"/>
    <w:rsid w:val="00B763E7"/>
    <w:rsid w:val="00B82BA5"/>
    <w:rsid w:val="00B84698"/>
    <w:rsid w:val="00B8734C"/>
    <w:rsid w:val="00B917E3"/>
    <w:rsid w:val="00B91FF8"/>
    <w:rsid w:val="00B94764"/>
    <w:rsid w:val="00B951A0"/>
    <w:rsid w:val="00B96CA8"/>
    <w:rsid w:val="00B97F26"/>
    <w:rsid w:val="00BA169E"/>
    <w:rsid w:val="00BA300C"/>
    <w:rsid w:val="00BA38C3"/>
    <w:rsid w:val="00BA713E"/>
    <w:rsid w:val="00BA7C73"/>
    <w:rsid w:val="00BB0CED"/>
    <w:rsid w:val="00BB1153"/>
    <w:rsid w:val="00BB331F"/>
    <w:rsid w:val="00BB67AC"/>
    <w:rsid w:val="00BC3DAA"/>
    <w:rsid w:val="00BC5365"/>
    <w:rsid w:val="00BD296A"/>
    <w:rsid w:val="00BE2BA8"/>
    <w:rsid w:val="00BE2FB4"/>
    <w:rsid w:val="00BF1CA0"/>
    <w:rsid w:val="00BF5300"/>
    <w:rsid w:val="00BF5877"/>
    <w:rsid w:val="00C00EC1"/>
    <w:rsid w:val="00C026A9"/>
    <w:rsid w:val="00C02A38"/>
    <w:rsid w:val="00C0419D"/>
    <w:rsid w:val="00C045A7"/>
    <w:rsid w:val="00C04FCF"/>
    <w:rsid w:val="00C0642A"/>
    <w:rsid w:val="00C06741"/>
    <w:rsid w:val="00C0700D"/>
    <w:rsid w:val="00C134F8"/>
    <w:rsid w:val="00C14453"/>
    <w:rsid w:val="00C14BD0"/>
    <w:rsid w:val="00C14E1F"/>
    <w:rsid w:val="00C15EE1"/>
    <w:rsid w:val="00C16685"/>
    <w:rsid w:val="00C20F95"/>
    <w:rsid w:val="00C26E94"/>
    <w:rsid w:val="00C30500"/>
    <w:rsid w:val="00C30903"/>
    <w:rsid w:val="00C315FF"/>
    <w:rsid w:val="00C340E2"/>
    <w:rsid w:val="00C370D8"/>
    <w:rsid w:val="00C42A09"/>
    <w:rsid w:val="00C43E33"/>
    <w:rsid w:val="00C43E7A"/>
    <w:rsid w:val="00C45FF6"/>
    <w:rsid w:val="00C50F49"/>
    <w:rsid w:val="00C5200B"/>
    <w:rsid w:val="00C5236B"/>
    <w:rsid w:val="00C52A88"/>
    <w:rsid w:val="00C52EA7"/>
    <w:rsid w:val="00C5310B"/>
    <w:rsid w:val="00C5509E"/>
    <w:rsid w:val="00C55159"/>
    <w:rsid w:val="00C55D82"/>
    <w:rsid w:val="00C56B0C"/>
    <w:rsid w:val="00C61280"/>
    <w:rsid w:val="00C62816"/>
    <w:rsid w:val="00C63398"/>
    <w:rsid w:val="00C6516B"/>
    <w:rsid w:val="00C65CAF"/>
    <w:rsid w:val="00C66734"/>
    <w:rsid w:val="00C6756F"/>
    <w:rsid w:val="00C67F1F"/>
    <w:rsid w:val="00C71147"/>
    <w:rsid w:val="00C712A9"/>
    <w:rsid w:val="00C74230"/>
    <w:rsid w:val="00C75B53"/>
    <w:rsid w:val="00C771BA"/>
    <w:rsid w:val="00C7765F"/>
    <w:rsid w:val="00C80503"/>
    <w:rsid w:val="00C8112B"/>
    <w:rsid w:val="00C84CEC"/>
    <w:rsid w:val="00C85C1C"/>
    <w:rsid w:val="00C8626A"/>
    <w:rsid w:val="00C86E02"/>
    <w:rsid w:val="00C90589"/>
    <w:rsid w:val="00C90B79"/>
    <w:rsid w:val="00C90E3B"/>
    <w:rsid w:val="00C911FB"/>
    <w:rsid w:val="00C95D7F"/>
    <w:rsid w:val="00C9649E"/>
    <w:rsid w:val="00C97688"/>
    <w:rsid w:val="00C97F5B"/>
    <w:rsid w:val="00CA2967"/>
    <w:rsid w:val="00CA3332"/>
    <w:rsid w:val="00CA608F"/>
    <w:rsid w:val="00CA6287"/>
    <w:rsid w:val="00CA6A29"/>
    <w:rsid w:val="00CB0D94"/>
    <w:rsid w:val="00CC132B"/>
    <w:rsid w:val="00CC5BCE"/>
    <w:rsid w:val="00CC618B"/>
    <w:rsid w:val="00CD0792"/>
    <w:rsid w:val="00CD15CC"/>
    <w:rsid w:val="00CD168C"/>
    <w:rsid w:val="00CD5010"/>
    <w:rsid w:val="00CD57C6"/>
    <w:rsid w:val="00CD6A2C"/>
    <w:rsid w:val="00CD70F7"/>
    <w:rsid w:val="00CE0797"/>
    <w:rsid w:val="00CE1BE0"/>
    <w:rsid w:val="00CE1CF8"/>
    <w:rsid w:val="00CE2A9B"/>
    <w:rsid w:val="00CE54CC"/>
    <w:rsid w:val="00CE7737"/>
    <w:rsid w:val="00CF0687"/>
    <w:rsid w:val="00CF1B12"/>
    <w:rsid w:val="00CF1EE8"/>
    <w:rsid w:val="00CF5A72"/>
    <w:rsid w:val="00D008B2"/>
    <w:rsid w:val="00D00A19"/>
    <w:rsid w:val="00D02D4B"/>
    <w:rsid w:val="00D04502"/>
    <w:rsid w:val="00D053CD"/>
    <w:rsid w:val="00D060E0"/>
    <w:rsid w:val="00D062A5"/>
    <w:rsid w:val="00D10AC8"/>
    <w:rsid w:val="00D10FAA"/>
    <w:rsid w:val="00D11DEB"/>
    <w:rsid w:val="00D13296"/>
    <w:rsid w:val="00D137F6"/>
    <w:rsid w:val="00D13A2D"/>
    <w:rsid w:val="00D16689"/>
    <w:rsid w:val="00D17734"/>
    <w:rsid w:val="00D22CFE"/>
    <w:rsid w:val="00D2453F"/>
    <w:rsid w:val="00D25F33"/>
    <w:rsid w:val="00D27433"/>
    <w:rsid w:val="00D27DF2"/>
    <w:rsid w:val="00D32920"/>
    <w:rsid w:val="00D3380B"/>
    <w:rsid w:val="00D3477F"/>
    <w:rsid w:val="00D355B3"/>
    <w:rsid w:val="00D37F06"/>
    <w:rsid w:val="00D400FF"/>
    <w:rsid w:val="00D4456E"/>
    <w:rsid w:val="00D47087"/>
    <w:rsid w:val="00D47369"/>
    <w:rsid w:val="00D525EC"/>
    <w:rsid w:val="00D53056"/>
    <w:rsid w:val="00D5486E"/>
    <w:rsid w:val="00D55801"/>
    <w:rsid w:val="00D63CFA"/>
    <w:rsid w:val="00D663CB"/>
    <w:rsid w:val="00D7050A"/>
    <w:rsid w:val="00D70F1C"/>
    <w:rsid w:val="00D74932"/>
    <w:rsid w:val="00D74BE3"/>
    <w:rsid w:val="00D752C6"/>
    <w:rsid w:val="00D75DE3"/>
    <w:rsid w:val="00D76041"/>
    <w:rsid w:val="00D762DC"/>
    <w:rsid w:val="00D81520"/>
    <w:rsid w:val="00D8313B"/>
    <w:rsid w:val="00D84C12"/>
    <w:rsid w:val="00D857F8"/>
    <w:rsid w:val="00D85F1D"/>
    <w:rsid w:val="00D90020"/>
    <w:rsid w:val="00D9046F"/>
    <w:rsid w:val="00D93FBC"/>
    <w:rsid w:val="00D942CD"/>
    <w:rsid w:val="00D95CE3"/>
    <w:rsid w:val="00D95F3D"/>
    <w:rsid w:val="00D9735B"/>
    <w:rsid w:val="00D97EBC"/>
    <w:rsid w:val="00DA1DF4"/>
    <w:rsid w:val="00DA326B"/>
    <w:rsid w:val="00DA4A44"/>
    <w:rsid w:val="00DA4DBD"/>
    <w:rsid w:val="00DA52D5"/>
    <w:rsid w:val="00DA78F3"/>
    <w:rsid w:val="00DB1C74"/>
    <w:rsid w:val="00DB3355"/>
    <w:rsid w:val="00DB4893"/>
    <w:rsid w:val="00DB5796"/>
    <w:rsid w:val="00DB664A"/>
    <w:rsid w:val="00DB749F"/>
    <w:rsid w:val="00DC05AB"/>
    <w:rsid w:val="00DC072F"/>
    <w:rsid w:val="00DC1493"/>
    <w:rsid w:val="00DC1A95"/>
    <w:rsid w:val="00DC734C"/>
    <w:rsid w:val="00DD2489"/>
    <w:rsid w:val="00DD470E"/>
    <w:rsid w:val="00DE0364"/>
    <w:rsid w:val="00DE3E36"/>
    <w:rsid w:val="00DE598D"/>
    <w:rsid w:val="00DE64B1"/>
    <w:rsid w:val="00DE78B1"/>
    <w:rsid w:val="00DF3E25"/>
    <w:rsid w:val="00E0399A"/>
    <w:rsid w:val="00E03FFE"/>
    <w:rsid w:val="00E04E7B"/>
    <w:rsid w:val="00E063DA"/>
    <w:rsid w:val="00E0764C"/>
    <w:rsid w:val="00E103A2"/>
    <w:rsid w:val="00E11768"/>
    <w:rsid w:val="00E12BB5"/>
    <w:rsid w:val="00E13B31"/>
    <w:rsid w:val="00E1520B"/>
    <w:rsid w:val="00E152C3"/>
    <w:rsid w:val="00E215F9"/>
    <w:rsid w:val="00E21BF7"/>
    <w:rsid w:val="00E2559C"/>
    <w:rsid w:val="00E25FBA"/>
    <w:rsid w:val="00E27031"/>
    <w:rsid w:val="00E33799"/>
    <w:rsid w:val="00E3478D"/>
    <w:rsid w:val="00E353CE"/>
    <w:rsid w:val="00E358AF"/>
    <w:rsid w:val="00E35A3F"/>
    <w:rsid w:val="00E36673"/>
    <w:rsid w:val="00E367FE"/>
    <w:rsid w:val="00E37509"/>
    <w:rsid w:val="00E377AD"/>
    <w:rsid w:val="00E40D9C"/>
    <w:rsid w:val="00E42B2D"/>
    <w:rsid w:val="00E44F43"/>
    <w:rsid w:val="00E522F7"/>
    <w:rsid w:val="00E52617"/>
    <w:rsid w:val="00E52F37"/>
    <w:rsid w:val="00E5398B"/>
    <w:rsid w:val="00E5588F"/>
    <w:rsid w:val="00E55DA0"/>
    <w:rsid w:val="00E6288E"/>
    <w:rsid w:val="00E63685"/>
    <w:rsid w:val="00E65866"/>
    <w:rsid w:val="00E65D6D"/>
    <w:rsid w:val="00E6608D"/>
    <w:rsid w:val="00E7225B"/>
    <w:rsid w:val="00E752B0"/>
    <w:rsid w:val="00E75FF0"/>
    <w:rsid w:val="00E760D0"/>
    <w:rsid w:val="00E763EB"/>
    <w:rsid w:val="00E83347"/>
    <w:rsid w:val="00E861BF"/>
    <w:rsid w:val="00E86E2C"/>
    <w:rsid w:val="00E9040D"/>
    <w:rsid w:val="00E92118"/>
    <w:rsid w:val="00E939A4"/>
    <w:rsid w:val="00E9516E"/>
    <w:rsid w:val="00E968F2"/>
    <w:rsid w:val="00E97045"/>
    <w:rsid w:val="00EA2E4C"/>
    <w:rsid w:val="00EA3272"/>
    <w:rsid w:val="00EA4607"/>
    <w:rsid w:val="00EA52EE"/>
    <w:rsid w:val="00EA55F6"/>
    <w:rsid w:val="00EA6B07"/>
    <w:rsid w:val="00EB024F"/>
    <w:rsid w:val="00EB06BC"/>
    <w:rsid w:val="00EB0ACC"/>
    <w:rsid w:val="00EB1F60"/>
    <w:rsid w:val="00EB2A82"/>
    <w:rsid w:val="00EB3369"/>
    <w:rsid w:val="00EB5D38"/>
    <w:rsid w:val="00EC11F5"/>
    <w:rsid w:val="00EC3D4C"/>
    <w:rsid w:val="00EC41B9"/>
    <w:rsid w:val="00EC5C6A"/>
    <w:rsid w:val="00ED0681"/>
    <w:rsid w:val="00ED1725"/>
    <w:rsid w:val="00ED2150"/>
    <w:rsid w:val="00ED38D4"/>
    <w:rsid w:val="00ED394B"/>
    <w:rsid w:val="00ED6D5F"/>
    <w:rsid w:val="00EE1461"/>
    <w:rsid w:val="00EE19B3"/>
    <w:rsid w:val="00EE3804"/>
    <w:rsid w:val="00EE3FFD"/>
    <w:rsid w:val="00EE4BEC"/>
    <w:rsid w:val="00EE524A"/>
    <w:rsid w:val="00EE722F"/>
    <w:rsid w:val="00EE7B58"/>
    <w:rsid w:val="00EF280D"/>
    <w:rsid w:val="00EF2C49"/>
    <w:rsid w:val="00EF2DAE"/>
    <w:rsid w:val="00EF5D39"/>
    <w:rsid w:val="00EF76ED"/>
    <w:rsid w:val="00EF7FE7"/>
    <w:rsid w:val="00F00EA6"/>
    <w:rsid w:val="00F00EEE"/>
    <w:rsid w:val="00F0173F"/>
    <w:rsid w:val="00F03976"/>
    <w:rsid w:val="00F044A8"/>
    <w:rsid w:val="00F04CA9"/>
    <w:rsid w:val="00F07C6B"/>
    <w:rsid w:val="00F123D8"/>
    <w:rsid w:val="00F12533"/>
    <w:rsid w:val="00F1301C"/>
    <w:rsid w:val="00F151E2"/>
    <w:rsid w:val="00F170DA"/>
    <w:rsid w:val="00F175F3"/>
    <w:rsid w:val="00F205B5"/>
    <w:rsid w:val="00F20EEE"/>
    <w:rsid w:val="00F2569F"/>
    <w:rsid w:val="00F258F1"/>
    <w:rsid w:val="00F27720"/>
    <w:rsid w:val="00F27A90"/>
    <w:rsid w:val="00F4304F"/>
    <w:rsid w:val="00F43D32"/>
    <w:rsid w:val="00F44EC9"/>
    <w:rsid w:val="00F45054"/>
    <w:rsid w:val="00F4779B"/>
    <w:rsid w:val="00F51218"/>
    <w:rsid w:val="00F548E9"/>
    <w:rsid w:val="00F56B7F"/>
    <w:rsid w:val="00F57984"/>
    <w:rsid w:val="00F60380"/>
    <w:rsid w:val="00F605BA"/>
    <w:rsid w:val="00F63B73"/>
    <w:rsid w:val="00F6744E"/>
    <w:rsid w:val="00F71BB9"/>
    <w:rsid w:val="00F71FC7"/>
    <w:rsid w:val="00F73587"/>
    <w:rsid w:val="00F7605D"/>
    <w:rsid w:val="00F8170C"/>
    <w:rsid w:val="00F820B1"/>
    <w:rsid w:val="00F826D5"/>
    <w:rsid w:val="00F84A84"/>
    <w:rsid w:val="00F8539C"/>
    <w:rsid w:val="00F855EF"/>
    <w:rsid w:val="00F85859"/>
    <w:rsid w:val="00F91CCE"/>
    <w:rsid w:val="00F91D8F"/>
    <w:rsid w:val="00F939C6"/>
    <w:rsid w:val="00F9737D"/>
    <w:rsid w:val="00FA1077"/>
    <w:rsid w:val="00FA125A"/>
    <w:rsid w:val="00FA18F6"/>
    <w:rsid w:val="00FA1CE9"/>
    <w:rsid w:val="00FA1DC2"/>
    <w:rsid w:val="00FA340F"/>
    <w:rsid w:val="00FA38E5"/>
    <w:rsid w:val="00FA6441"/>
    <w:rsid w:val="00FB10A6"/>
    <w:rsid w:val="00FB12EB"/>
    <w:rsid w:val="00FB2365"/>
    <w:rsid w:val="00FB2C72"/>
    <w:rsid w:val="00FB2D5B"/>
    <w:rsid w:val="00FB3AE8"/>
    <w:rsid w:val="00FB3E52"/>
    <w:rsid w:val="00FB3FB4"/>
    <w:rsid w:val="00FB4257"/>
    <w:rsid w:val="00FC2F71"/>
    <w:rsid w:val="00FC3199"/>
    <w:rsid w:val="00FC4AE5"/>
    <w:rsid w:val="00FC5CE4"/>
    <w:rsid w:val="00FC7999"/>
    <w:rsid w:val="00FD3162"/>
    <w:rsid w:val="00FD5E7D"/>
    <w:rsid w:val="00FD7E8B"/>
    <w:rsid w:val="00FE0074"/>
    <w:rsid w:val="00FE0414"/>
    <w:rsid w:val="00FE041F"/>
    <w:rsid w:val="00FE34F8"/>
    <w:rsid w:val="00FE48A8"/>
    <w:rsid w:val="00FE7197"/>
    <w:rsid w:val="00FE7392"/>
    <w:rsid w:val="00FE7504"/>
    <w:rsid w:val="00FE7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B8D"/>
    <w:pPr>
      <w:spacing w:after="160" w:line="259" w:lineRule="auto"/>
    </w:pPr>
    <w:rPr>
      <w:rFonts w:eastAsiaTheme="minorHAnsi" w:cstheme="minorBidi"/>
      <w:sz w:val="22"/>
      <w:szCs w:val="22"/>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uiPriority w:val="1"/>
    <w:semiHidden/>
    <w:unhideWhenUsed/>
    <w:rsid w:val="00246B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6B8D"/>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spacing w:after="0"/>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spacing w:after="0"/>
      <w:ind w:left="454" w:hanging="454"/>
    </w:pPr>
    <w:rPr>
      <w:sz w:val="16"/>
    </w:rPr>
  </w:style>
  <w:style w:type="paragraph" w:customStyle="1" w:styleId="NF">
    <w:name w:val="NF"/>
    <w:basedOn w:val="NO"/>
    <w:rsid w:val="00B13461"/>
    <w:pPr>
      <w:keepNext/>
      <w:spacing w:after="0"/>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rsid w:val="00B13461"/>
    <w:pPr>
      <w:keepNext/>
      <w:keepLines/>
      <w:spacing w:after="0"/>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pPr>
      <w:spacing w:after="0"/>
    </w:pPr>
  </w:style>
  <w:style w:type="paragraph" w:customStyle="1" w:styleId="NW">
    <w:name w:val="NW"/>
    <w:basedOn w:val="NO"/>
    <w:rsid w:val="00B13461"/>
    <w:pPr>
      <w:spacing w:after="0"/>
    </w:pPr>
  </w:style>
  <w:style w:type="paragraph" w:customStyle="1" w:styleId="EW">
    <w:name w:val="EW"/>
    <w:basedOn w:val="EX"/>
    <w:rsid w:val="00B13461"/>
    <w:pPr>
      <w:spacing w:after="0"/>
    </w:pPr>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autoRedefine/>
    <w:uiPriority w:val="35"/>
    <w:unhideWhenUsed/>
    <w:qFormat/>
    <w:rsid w:val="00246B8D"/>
    <w:pPr>
      <w:spacing w:after="200" w:line="240" w:lineRule="auto"/>
    </w:pPr>
    <w:rPr>
      <w:b/>
      <w:iCs/>
      <w:sz w:val="18"/>
      <w:szCs w:val="18"/>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customStyle="1" w:styleId="ColorfulList-Accent11">
    <w:name w:val="Colorful List - Accent 11"/>
    <w:basedOn w:val="Normal"/>
    <w:uiPriority w:val="34"/>
    <w:qFormat/>
    <w:rsid w:val="00B17354"/>
    <w:pPr>
      <w:spacing w:after="200" w:line="276" w:lineRule="auto"/>
      <w:ind w:left="720"/>
      <w:contextualSpacing/>
    </w:pPr>
    <w:rPr>
      <w:rFonts w:ascii="Calibri" w:eastAsia="Calibri" w:hAnsi="Calibri"/>
    </w:rPr>
  </w:style>
  <w:style w:type="paragraph" w:customStyle="1" w:styleId="ColorfulShading-Accent11">
    <w:name w:val="Colorful Shading - Accent 11"/>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paragraph" w:customStyle="1" w:styleId="TextBody">
    <w:name w:val="Text Body"/>
    <w:basedOn w:val="Normal"/>
    <w:rsid w:val="00C43E7A"/>
    <w:pPr>
      <w:widowControl w:val="0"/>
      <w:spacing w:after="140" w:line="288" w:lineRule="auto"/>
    </w:pPr>
    <w:rPr>
      <w:rFonts w:ascii="Liberation Serif" w:eastAsia="Droid Sans Fallback" w:hAnsi="Liberation Serif" w:cs="FreeSans"/>
      <w:sz w:val="24"/>
      <w:szCs w:val="24"/>
      <w:lang w:eastAsia="zh-CN" w:bidi="hi-IN"/>
    </w:rPr>
  </w:style>
  <w:style w:type="paragraph" w:styleId="NormalWeb">
    <w:name w:val="Normal (Web)"/>
    <w:basedOn w:val="Normal"/>
    <w:uiPriority w:val="99"/>
    <w:unhideWhenUsed/>
    <w:rsid w:val="00676DB0"/>
    <w:pPr>
      <w:spacing w:before="100" w:beforeAutospacing="1" w:after="100" w:afterAutospacing="1"/>
    </w:pPr>
    <w:rPr>
      <w:sz w:val="24"/>
      <w:szCs w:val="24"/>
    </w:rPr>
  </w:style>
  <w:style w:type="character" w:customStyle="1" w:styleId="MTEquationSection">
    <w:name w:val="MTEquationSection"/>
    <w:rsid w:val="00B35920"/>
    <w:rPr>
      <w:rFonts w:ascii="Arial" w:hAnsi="Arial" w:cs="Arial"/>
      <w:b/>
      <w:noProof/>
      <w:vanish/>
      <w:color w:val="FF0000"/>
      <w:sz w:val="28"/>
      <w:szCs w:val="28"/>
      <w:lang w:val="en-US"/>
    </w:rPr>
  </w:style>
  <w:style w:type="paragraph" w:customStyle="1" w:styleId="MTDisplayEquation">
    <w:name w:val="MTDisplayEquation"/>
    <w:basedOn w:val="Normal"/>
    <w:next w:val="Normal"/>
    <w:link w:val="MTDisplayEquationChar"/>
    <w:rsid w:val="00B35920"/>
    <w:pPr>
      <w:tabs>
        <w:tab w:val="center" w:pos="4820"/>
        <w:tab w:val="right" w:pos="9640"/>
      </w:tabs>
    </w:pPr>
  </w:style>
  <w:style w:type="character" w:customStyle="1" w:styleId="MTDisplayEquationChar">
    <w:name w:val="MTDisplayEquation Char"/>
    <w:link w:val="MTDisplayEquation"/>
    <w:rsid w:val="00B35920"/>
    <w:rPr>
      <w:rFonts w:eastAsia="Times New Roman"/>
      <w:lang w:val="en-GB" w:eastAsia="en-GB"/>
    </w:rPr>
  </w:style>
  <w:style w:type="paragraph" w:styleId="ListParagraph">
    <w:name w:val="List Paragraph"/>
    <w:basedOn w:val="Normal"/>
    <w:uiPriority w:val="34"/>
    <w:qFormat/>
    <w:rsid w:val="00D008B2"/>
    <w:pPr>
      <w:spacing w:after="0"/>
      <w:ind w:left="840"/>
    </w:pPr>
    <w:rPr>
      <w:rFonts w:eastAsia="Calibri"/>
    </w:rPr>
  </w:style>
  <w:style w:type="character" w:styleId="PlaceholderText">
    <w:name w:val="Placeholder Text"/>
    <w:basedOn w:val="DefaultParagraphFont"/>
    <w:uiPriority w:val="99"/>
    <w:unhideWhenUsed/>
    <w:rsid w:val="00275B49"/>
    <w:rPr>
      <w:color w:val="808080"/>
    </w:rPr>
  </w:style>
  <w:style w:type="paragraph" w:customStyle="1" w:styleId="Figure">
    <w:name w:val="Figure"/>
    <w:basedOn w:val="Normal"/>
    <w:next w:val="Caption"/>
    <w:qFormat/>
    <w:rsid w:val="00246B8D"/>
    <w:pPr>
      <w:jc w:val="center"/>
    </w:pPr>
  </w:style>
  <w:style w:type="paragraph" w:customStyle="1" w:styleId="Equation">
    <w:name w:val="Equation"/>
    <w:basedOn w:val="Normal"/>
    <w:link w:val="EquationChar"/>
    <w:qFormat/>
    <w:rsid w:val="0034288B"/>
    <w:pPr>
      <w:tabs>
        <w:tab w:val="center" w:pos="4320"/>
        <w:tab w:val="right" w:pos="9504"/>
      </w:tabs>
    </w:pPr>
  </w:style>
  <w:style w:type="paragraph" w:styleId="EndnoteText">
    <w:name w:val="endnote text"/>
    <w:basedOn w:val="Normal"/>
    <w:link w:val="EndnoteTextChar"/>
    <w:rsid w:val="009E0FE3"/>
    <w:pPr>
      <w:spacing w:after="0" w:line="240" w:lineRule="auto"/>
    </w:pPr>
    <w:rPr>
      <w:sz w:val="20"/>
      <w:szCs w:val="20"/>
    </w:rPr>
  </w:style>
  <w:style w:type="character" w:customStyle="1" w:styleId="EquationChar">
    <w:name w:val="Equation Char"/>
    <w:basedOn w:val="DefaultParagraphFont"/>
    <w:link w:val="Equation"/>
    <w:rsid w:val="0034288B"/>
    <w:rPr>
      <w:rFonts w:eastAsiaTheme="minorHAnsi" w:cstheme="minorBidi"/>
      <w:sz w:val="22"/>
      <w:szCs w:val="22"/>
    </w:rPr>
  </w:style>
  <w:style w:type="character" w:customStyle="1" w:styleId="EndnoteTextChar">
    <w:name w:val="Endnote Text Char"/>
    <w:basedOn w:val="DefaultParagraphFont"/>
    <w:link w:val="EndnoteText"/>
    <w:rsid w:val="009E0FE3"/>
    <w:rPr>
      <w:rFonts w:eastAsiaTheme="minorHAnsi" w:cstheme="minorBidi"/>
    </w:rPr>
  </w:style>
  <w:style w:type="character" w:styleId="EndnoteReference">
    <w:name w:val="endnote reference"/>
    <w:basedOn w:val="DefaultParagraphFont"/>
    <w:rsid w:val="009E0F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9127">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98805243">
      <w:bodyDiv w:val="1"/>
      <w:marLeft w:val="0"/>
      <w:marRight w:val="0"/>
      <w:marTop w:val="0"/>
      <w:marBottom w:val="0"/>
      <w:divBdr>
        <w:top w:val="none" w:sz="0" w:space="0" w:color="auto"/>
        <w:left w:val="none" w:sz="0" w:space="0" w:color="auto"/>
        <w:bottom w:val="none" w:sz="0" w:space="0" w:color="auto"/>
        <w:right w:val="none" w:sz="0" w:space="0" w:color="auto"/>
      </w:divBdr>
      <w:divsChild>
        <w:div w:id="201989876">
          <w:marLeft w:val="0"/>
          <w:marRight w:val="0"/>
          <w:marTop w:val="0"/>
          <w:marBottom w:val="0"/>
          <w:divBdr>
            <w:top w:val="none" w:sz="0" w:space="0" w:color="auto"/>
            <w:left w:val="none" w:sz="0" w:space="0" w:color="auto"/>
            <w:bottom w:val="none" w:sz="0" w:space="0" w:color="auto"/>
            <w:right w:val="none" w:sz="0" w:space="0" w:color="auto"/>
          </w:divBdr>
        </w:div>
      </w:divsChild>
    </w:div>
    <w:div w:id="431895265">
      <w:bodyDiv w:val="1"/>
      <w:marLeft w:val="0"/>
      <w:marRight w:val="0"/>
      <w:marTop w:val="0"/>
      <w:marBottom w:val="0"/>
      <w:divBdr>
        <w:top w:val="none" w:sz="0" w:space="0" w:color="auto"/>
        <w:left w:val="none" w:sz="0" w:space="0" w:color="auto"/>
        <w:bottom w:val="none" w:sz="0" w:space="0" w:color="auto"/>
        <w:right w:val="none" w:sz="0" w:space="0" w:color="auto"/>
      </w:divBdr>
    </w:div>
    <w:div w:id="1011101798">
      <w:bodyDiv w:val="1"/>
      <w:marLeft w:val="0"/>
      <w:marRight w:val="0"/>
      <w:marTop w:val="0"/>
      <w:marBottom w:val="0"/>
      <w:divBdr>
        <w:top w:val="none" w:sz="0" w:space="0" w:color="auto"/>
        <w:left w:val="none" w:sz="0" w:space="0" w:color="auto"/>
        <w:bottom w:val="none" w:sz="0" w:space="0" w:color="auto"/>
        <w:right w:val="none" w:sz="0" w:space="0" w:color="auto"/>
      </w:divBdr>
    </w:div>
    <w:div w:id="1050376926">
      <w:bodyDiv w:val="1"/>
      <w:marLeft w:val="0"/>
      <w:marRight w:val="0"/>
      <w:marTop w:val="0"/>
      <w:marBottom w:val="0"/>
      <w:divBdr>
        <w:top w:val="none" w:sz="0" w:space="0" w:color="auto"/>
        <w:left w:val="none" w:sz="0" w:space="0" w:color="auto"/>
        <w:bottom w:val="none" w:sz="0" w:space="0" w:color="auto"/>
        <w:right w:val="none" w:sz="0" w:space="0" w:color="auto"/>
      </w:divBdr>
    </w:div>
    <w:div w:id="1189485121">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4508497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12800422">
      <w:bodyDiv w:val="1"/>
      <w:marLeft w:val="0"/>
      <w:marRight w:val="0"/>
      <w:marTop w:val="0"/>
      <w:marBottom w:val="0"/>
      <w:divBdr>
        <w:top w:val="none" w:sz="0" w:space="0" w:color="auto"/>
        <w:left w:val="none" w:sz="0" w:space="0" w:color="auto"/>
        <w:bottom w:val="none" w:sz="0" w:space="0" w:color="auto"/>
        <w:right w:val="none" w:sz="0" w:space="0" w:color="auto"/>
      </w:divBdr>
    </w:div>
    <w:div w:id="197718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5.emf"/><Relationship Id="rId22" Type="http://schemas.openxmlformats.org/officeDocument/2006/relationships/image" Target="media/image1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CDCF9-03C7-440D-961B-7ADDAFC69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3157</Words>
  <Characters>17995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CTPClassification=:VisualMarkings=, CTPClassification=CTP_PUBLIC:VisualMarkings=</cp:keywords>
  <cp:lastModifiedBy/>
  <cp:revision>1</cp:revision>
  <dcterms:created xsi:type="dcterms:W3CDTF">2017-11-17T17:29:00Z</dcterms:created>
  <dcterms:modified xsi:type="dcterms:W3CDTF">2017-11-17T17:50:00Z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cf911587-4275-409a-a830-f41a5191f9af</vt:lpwstr>
  </property>
  <property fmtid="{D5CDD505-2E9C-101B-9397-08002B2CF9AE}" pid="3" name="CTP_TimeStamp">
    <vt:lpwstr>2017-01-06 21:18:41Z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TEquationSection">
    <vt:lpwstr>1</vt:lpwstr>
  </property>
  <property fmtid="{D5CDD505-2E9C-101B-9397-08002B2CF9AE}" pid="9" name="MTWinEqns">
    <vt:bool>true</vt:bool>
  </property>
  <property fmtid="{D5CDD505-2E9C-101B-9397-08002B2CF9AE}" pid="10" name="MTEquationNumber2">
    <vt:lpwstr>(#E1)</vt:lpwstr>
  </property>
  <property fmtid="{D5CDD505-2E9C-101B-9397-08002B2CF9AE}" pid="11" name="MTEqnNumsOnRight">
    <vt:bool>true</vt:bool>
  </property>
</Properties>
</file>