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0945C" w14:textId="38B8A90C" w:rsidR="009C0564" w:rsidRPr="00CF195E" w:rsidRDefault="00CF3D8E"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611CAF7C" wp14:editId="24850483">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538C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CD3F4F">
        <w:rPr>
          <w:b/>
          <w:kern w:val="2"/>
          <w:lang w:eastAsia="zh-CN"/>
        </w:rPr>
        <w:t>4</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112BE6">
        <w:rPr>
          <w:b/>
          <w:kern w:val="2"/>
          <w:lang w:eastAsia="zh-CN"/>
        </w:rPr>
        <w:t>8</w:t>
      </w:r>
      <w:r w:rsidR="00CD3F4F">
        <w:rPr>
          <w:b/>
          <w:kern w:val="2"/>
          <w:lang w:eastAsia="zh-CN"/>
        </w:rPr>
        <w:t>5</w:t>
      </w:r>
      <w:r w:rsidR="00972929" w:rsidRPr="00CF195E">
        <w:rPr>
          <w:b/>
          <w:kern w:val="2"/>
          <w:lang w:eastAsia="zh-CN"/>
        </w:rPr>
        <w:tab/>
      </w:r>
      <w:r w:rsidR="00BF13F6" w:rsidRPr="00BF13F6">
        <w:rPr>
          <w:b/>
          <w:kern w:val="2"/>
          <w:lang w:eastAsia="zh-CN"/>
        </w:rPr>
        <w:t>R4-1713593</w:t>
      </w:r>
    </w:p>
    <w:p w14:paraId="1B487FD7" w14:textId="77777777" w:rsidR="009C0564" w:rsidRPr="00CF195E" w:rsidRDefault="00CD3F4F" w:rsidP="00CF195E">
      <w:pPr>
        <w:jc w:val="left"/>
        <w:rPr>
          <w:b/>
          <w:kern w:val="2"/>
          <w:lang w:eastAsia="zh-CN"/>
        </w:rPr>
      </w:pPr>
      <w:r>
        <w:rPr>
          <w:b/>
          <w:kern w:val="2"/>
          <w:lang w:eastAsia="zh-CN"/>
        </w:rPr>
        <w:t>Reno,</w:t>
      </w:r>
      <w:r w:rsidR="00112BE6">
        <w:rPr>
          <w:b/>
          <w:kern w:val="2"/>
          <w:lang w:eastAsia="zh-CN"/>
        </w:rPr>
        <w:t xml:space="preserve"> USA</w:t>
      </w:r>
      <w:r w:rsidR="005D0E4F" w:rsidRPr="00CF195E">
        <w:rPr>
          <w:b/>
          <w:kern w:val="2"/>
          <w:lang w:eastAsia="zh-CN"/>
        </w:rPr>
        <w:t>,</w:t>
      </w:r>
      <w:r w:rsidR="009C0564" w:rsidRPr="00CF195E">
        <w:rPr>
          <w:b/>
          <w:kern w:val="2"/>
          <w:lang w:eastAsia="zh-CN"/>
        </w:rPr>
        <w:t xml:space="preserve"> </w:t>
      </w:r>
      <w:r>
        <w:rPr>
          <w:b/>
          <w:kern w:val="2"/>
          <w:lang w:eastAsia="zh-CN"/>
        </w:rPr>
        <w:t>November</w:t>
      </w:r>
      <w:r w:rsidR="00EB0CA3" w:rsidRPr="00CF195E">
        <w:rPr>
          <w:b/>
          <w:kern w:val="2"/>
          <w:lang w:eastAsia="zh-CN"/>
        </w:rPr>
        <w:t xml:space="preserve"> </w:t>
      </w:r>
      <w:r>
        <w:rPr>
          <w:b/>
          <w:kern w:val="2"/>
          <w:lang w:eastAsia="zh-CN"/>
        </w:rPr>
        <w:t>27</w:t>
      </w:r>
      <w:r w:rsidR="00112BE6">
        <w:rPr>
          <w:b/>
          <w:kern w:val="2"/>
          <w:lang w:eastAsia="zh-CN"/>
        </w:rPr>
        <w:t>-</w:t>
      </w:r>
      <w:r>
        <w:rPr>
          <w:b/>
          <w:kern w:val="2"/>
          <w:lang w:eastAsia="zh-CN"/>
        </w:rPr>
        <w:t>December 1</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112BE6">
        <w:rPr>
          <w:b/>
          <w:kern w:val="2"/>
          <w:lang w:eastAsia="zh-CN"/>
        </w:rPr>
        <w:t>7</w:t>
      </w:r>
    </w:p>
    <w:p w14:paraId="475D1CAB" w14:textId="77777777" w:rsidR="009C0564" w:rsidRPr="00CF195E" w:rsidRDefault="009C0564" w:rsidP="00CF195E">
      <w:pPr>
        <w:pBdr>
          <w:top w:val="single" w:sz="4" w:space="1" w:color="auto"/>
        </w:pBdr>
        <w:spacing w:after="0"/>
        <w:jc w:val="left"/>
        <w:rPr>
          <w:b/>
          <w:kern w:val="2"/>
          <w:sz w:val="16"/>
          <w:szCs w:val="16"/>
          <w:lang w:eastAsia="zh-CN"/>
        </w:rPr>
      </w:pPr>
    </w:p>
    <w:p w14:paraId="5A21A37C" w14:textId="4FB47BA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12939">
        <w:rPr>
          <w:b/>
          <w:kern w:val="2"/>
          <w:lang w:eastAsia="zh-CN"/>
        </w:rPr>
        <w:t>9.3.1.2</w:t>
      </w:r>
    </w:p>
    <w:p w14:paraId="5789C44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D3F4F">
        <w:rPr>
          <w:b/>
          <w:kern w:val="2"/>
          <w:lang w:eastAsia="zh-CN"/>
        </w:rPr>
        <w:t>, HiSilicon</w:t>
      </w:r>
    </w:p>
    <w:p w14:paraId="5B3CD2A1" w14:textId="05D6353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C48FE">
        <w:rPr>
          <w:b/>
          <w:kern w:val="2"/>
          <w:lang w:eastAsia="zh-CN"/>
        </w:rPr>
        <w:t xml:space="preserve">Support of mixed numerologies when switching </w:t>
      </w:r>
      <w:r w:rsidR="000F5F58">
        <w:rPr>
          <w:b/>
          <w:kern w:val="2"/>
          <w:lang w:eastAsia="zh-CN"/>
        </w:rPr>
        <w:t>BWP</w:t>
      </w:r>
    </w:p>
    <w:p w14:paraId="476952B7" w14:textId="52E26A1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D64CD2">
        <w:rPr>
          <w:b/>
          <w:kern w:val="2"/>
          <w:lang w:eastAsia="zh-CN"/>
        </w:rPr>
        <w:t>Approval</w:t>
      </w:r>
    </w:p>
    <w:p w14:paraId="2E97035C" w14:textId="77777777" w:rsidR="009C0564" w:rsidRPr="00CF195E" w:rsidRDefault="009C0564" w:rsidP="00CF195E">
      <w:pPr>
        <w:pBdr>
          <w:bottom w:val="single" w:sz="4" w:space="1" w:color="auto"/>
        </w:pBdr>
        <w:spacing w:after="0"/>
        <w:jc w:val="left"/>
        <w:rPr>
          <w:b/>
          <w:kern w:val="2"/>
          <w:sz w:val="16"/>
          <w:szCs w:val="16"/>
          <w:lang w:eastAsia="zh-CN"/>
        </w:rPr>
      </w:pPr>
    </w:p>
    <w:p w14:paraId="7268A1D5" w14:textId="77777777" w:rsidR="009C0564" w:rsidRDefault="009C0564">
      <w:pPr>
        <w:pStyle w:val="Heading1"/>
      </w:pPr>
      <w:bookmarkStart w:id="0" w:name="_Ref124589705"/>
      <w:bookmarkStart w:id="1" w:name="_Ref129681862"/>
      <w:r w:rsidRPr="00CF195E">
        <w:t>Introduction</w:t>
      </w:r>
      <w:bookmarkEnd w:id="0"/>
      <w:bookmarkEnd w:id="1"/>
    </w:p>
    <w:p w14:paraId="3315582C" w14:textId="77777777" w:rsidR="00393937" w:rsidRDefault="000F5F58" w:rsidP="006B744E">
      <w:bookmarkStart w:id="2" w:name="_Ref129681832"/>
      <w:r>
        <w:t>The introduction of bandwidth parts (BWPs) in RAN1 allows NR a new degree of flexibility for</w:t>
      </w:r>
      <w:r w:rsidR="0022165E">
        <w:t xml:space="preserve"> allocating </w:t>
      </w:r>
      <w:r>
        <w:t xml:space="preserve">resources. In RAN1, draft specifications in section 12 of </w:t>
      </w:r>
      <w:r w:rsidR="00393937">
        <w:fldChar w:fldCharType="begin"/>
      </w:r>
      <w:r w:rsidR="00393937">
        <w:instrText xml:space="preserve"> REF _Ref497729980 \n \h </w:instrText>
      </w:r>
      <w:r w:rsidR="00393937">
        <w:fldChar w:fldCharType="separate"/>
      </w:r>
      <w:r w:rsidR="00636682">
        <w:t>[1]</w:t>
      </w:r>
      <w:r w:rsidR="00393937">
        <w:fldChar w:fldCharType="end"/>
      </w:r>
      <w:r>
        <w:t xml:space="preserve"> allow a UE to have up to four DL BWP configurations and up to four UL BWP configurations. Each BWP configuration has a subcarrier spacing, cyclic prefix, number of contiguous PRBs, and a starting </w:t>
      </w:r>
      <w:r w:rsidR="00393937">
        <w:t>offset for the PRBs.</w:t>
      </w:r>
    </w:p>
    <w:p w14:paraId="54E46A1F" w14:textId="4BEE21CB" w:rsidR="00BB3B31" w:rsidRDefault="0026445C" w:rsidP="006B744E">
      <w:r>
        <w:t xml:space="preserve">Recent agreements </w:t>
      </w:r>
      <w:r w:rsidR="00856887">
        <w:t xml:space="preserve">in RAN1 </w:t>
      </w:r>
      <w:r w:rsidR="00C35624">
        <w:t xml:space="preserve">support active BWP and active BWP switching </w:t>
      </w:r>
      <w:r w:rsidR="00856887">
        <w:fldChar w:fldCharType="begin"/>
      </w:r>
      <w:r w:rsidR="00856887">
        <w:instrText xml:space="preserve"> REF _Ref497832848 \n \h </w:instrText>
      </w:r>
      <w:r w:rsidR="00856887">
        <w:fldChar w:fldCharType="separate"/>
      </w:r>
      <w:r w:rsidR="00636682">
        <w:t>[2]</w:t>
      </w:r>
      <w:r w:rsidR="00856887">
        <w:fldChar w:fldCharType="end"/>
      </w:r>
      <w:r w:rsidR="00856887">
        <w:t>:</w:t>
      </w:r>
      <w:r w:rsidR="00934629">
        <w:t xml:space="preserve"> (</w:t>
      </w:r>
      <w:r w:rsidR="00934629" w:rsidRPr="00902FD8">
        <w:rPr>
          <w:u w:val="single"/>
        </w:rPr>
        <w:t>emphasis</w:t>
      </w:r>
      <w:r w:rsidR="00934629">
        <w:t xml:space="preserve"> added)</w:t>
      </w:r>
    </w:p>
    <w:p w14:paraId="59C814CE" w14:textId="77777777" w:rsidR="00BB3B31" w:rsidRPr="00902FD8" w:rsidRDefault="00BB3B31" w:rsidP="00BB3B31">
      <w:pPr>
        <w:numPr>
          <w:ilvl w:val="0"/>
          <w:numId w:val="32"/>
        </w:numPr>
        <w:autoSpaceDE/>
        <w:autoSpaceDN/>
        <w:adjustRightInd/>
        <w:snapToGrid/>
        <w:spacing w:after="0"/>
        <w:jc w:val="left"/>
        <w:rPr>
          <w:i/>
          <w:sz w:val="20"/>
          <w:szCs w:val="20"/>
          <w:u w:val="single"/>
        </w:rPr>
      </w:pPr>
      <w:r w:rsidRPr="00902FD8">
        <w:rPr>
          <w:i/>
          <w:sz w:val="20"/>
          <w:szCs w:val="20"/>
          <w:u w:val="single"/>
        </w:rPr>
        <w:t>The initial active DL BWP is defined as frequency location and bandwidth of RMSI CORESET and numerology of RMSI.</w:t>
      </w:r>
    </w:p>
    <w:p w14:paraId="6BD3121A" w14:textId="77777777" w:rsidR="00BB3B31" w:rsidRPr="00902FD8" w:rsidRDefault="005E5542" w:rsidP="00BB3B31">
      <w:pPr>
        <w:numPr>
          <w:ilvl w:val="1"/>
          <w:numId w:val="32"/>
        </w:numPr>
        <w:autoSpaceDE/>
        <w:autoSpaceDN/>
        <w:adjustRightInd/>
        <w:snapToGrid/>
        <w:spacing w:after="0"/>
        <w:jc w:val="left"/>
        <w:rPr>
          <w:i/>
          <w:sz w:val="20"/>
          <w:szCs w:val="20"/>
        </w:rPr>
      </w:pPr>
      <w:r w:rsidRPr="00902FD8">
        <w:rPr>
          <w:i/>
          <w:sz w:val="20"/>
          <w:szCs w:val="20"/>
        </w:rPr>
        <w:t>PDSCH deli</w:t>
      </w:r>
      <w:r w:rsidR="00BB3B31" w:rsidRPr="00902FD8">
        <w:rPr>
          <w:i/>
          <w:sz w:val="20"/>
          <w:szCs w:val="20"/>
        </w:rPr>
        <w:t>vering RMSI are confined within the initial active DL BWP</w:t>
      </w:r>
    </w:p>
    <w:p w14:paraId="1B6A6589" w14:textId="77777777" w:rsidR="00BB3B31" w:rsidRDefault="00BB3B31" w:rsidP="006B744E"/>
    <w:p w14:paraId="5BC5F66F" w14:textId="77777777" w:rsidR="005E5542" w:rsidRPr="00902FD8" w:rsidRDefault="005E5542" w:rsidP="005E5542">
      <w:pPr>
        <w:numPr>
          <w:ilvl w:val="0"/>
          <w:numId w:val="33"/>
        </w:numPr>
        <w:autoSpaceDE/>
        <w:autoSpaceDN/>
        <w:adjustRightInd/>
        <w:snapToGrid/>
        <w:spacing w:after="0"/>
        <w:jc w:val="left"/>
        <w:rPr>
          <w:i/>
          <w:sz w:val="20"/>
          <w:szCs w:val="20"/>
        </w:rPr>
      </w:pPr>
      <w:r w:rsidRPr="00902FD8">
        <w:rPr>
          <w:i/>
          <w:sz w:val="20"/>
          <w:szCs w:val="20"/>
        </w:rPr>
        <w:t>For paired spectrum, DL and UL BWPs are configured separately and independently in Rel-15 for each UE-specific serving cell for a UE</w:t>
      </w:r>
    </w:p>
    <w:p w14:paraId="548BECF8" w14:textId="77777777" w:rsidR="005E5542" w:rsidRPr="00934629" w:rsidRDefault="005E5542" w:rsidP="005E5542">
      <w:pPr>
        <w:numPr>
          <w:ilvl w:val="1"/>
          <w:numId w:val="33"/>
        </w:numPr>
        <w:autoSpaceDE/>
        <w:autoSpaceDN/>
        <w:adjustRightInd/>
        <w:snapToGrid/>
        <w:spacing w:after="0"/>
        <w:jc w:val="left"/>
        <w:rPr>
          <w:i/>
          <w:sz w:val="20"/>
          <w:szCs w:val="20"/>
        </w:rPr>
      </w:pPr>
      <w:r w:rsidRPr="00902FD8">
        <w:rPr>
          <w:i/>
          <w:sz w:val="20"/>
          <w:szCs w:val="20"/>
          <w:u w:val="single"/>
        </w:rPr>
        <w:t>For active BWP switching</w:t>
      </w:r>
      <w:r w:rsidRPr="00902FD8">
        <w:rPr>
          <w:i/>
          <w:sz w:val="20"/>
          <w:szCs w:val="20"/>
        </w:rPr>
        <w:t xml:space="preserve"> using at least scheduling DCI, DCI for DL is used for DL active BWP switching and DCI for UL is used for UL active BWP switching</w:t>
      </w:r>
    </w:p>
    <w:p w14:paraId="170ECE79" w14:textId="77777777" w:rsidR="005E5542" w:rsidRPr="00934629" w:rsidRDefault="005E5542" w:rsidP="005E5542">
      <w:pPr>
        <w:numPr>
          <w:ilvl w:val="2"/>
          <w:numId w:val="33"/>
        </w:numPr>
        <w:autoSpaceDE/>
        <w:autoSpaceDN/>
        <w:adjustRightInd/>
        <w:snapToGrid/>
        <w:spacing w:after="0"/>
        <w:jc w:val="left"/>
        <w:rPr>
          <w:i/>
          <w:sz w:val="20"/>
          <w:szCs w:val="20"/>
        </w:rPr>
      </w:pPr>
      <w:r w:rsidRPr="00934629">
        <w:rPr>
          <w:i/>
          <w:sz w:val="20"/>
          <w:szCs w:val="20"/>
        </w:rPr>
        <w:t>FFS whether or not to support a single DCI switching DL and UL BWP jointly</w:t>
      </w:r>
    </w:p>
    <w:p w14:paraId="2E13AC69" w14:textId="77777777" w:rsidR="005E5542" w:rsidRPr="00902FD8" w:rsidRDefault="005E5542" w:rsidP="005E5542">
      <w:pPr>
        <w:numPr>
          <w:ilvl w:val="0"/>
          <w:numId w:val="33"/>
        </w:numPr>
        <w:autoSpaceDE/>
        <w:autoSpaceDN/>
        <w:adjustRightInd/>
        <w:snapToGrid/>
        <w:spacing w:after="0"/>
        <w:jc w:val="left"/>
        <w:rPr>
          <w:i/>
          <w:sz w:val="20"/>
          <w:szCs w:val="20"/>
        </w:rPr>
      </w:pPr>
      <w:r w:rsidRPr="00902FD8">
        <w:rPr>
          <w:i/>
          <w:sz w:val="20"/>
          <w:szCs w:val="20"/>
        </w:rPr>
        <w:t>For unpaired spectrum, a DL BWP and an UL BWP are jointly configured as a pair, with the restriction that the DL and UL BWPs of such a DL/UL BWP pair share the same centre frequency but may be of different bandwidths in Rel-15 for each UE-specific serving cell for a UE</w:t>
      </w:r>
    </w:p>
    <w:p w14:paraId="43C9F151" w14:textId="77777777" w:rsidR="005E5542" w:rsidRPr="00902FD8" w:rsidRDefault="005E5542" w:rsidP="005E5542">
      <w:pPr>
        <w:numPr>
          <w:ilvl w:val="1"/>
          <w:numId w:val="33"/>
        </w:numPr>
        <w:autoSpaceDE/>
        <w:autoSpaceDN/>
        <w:adjustRightInd/>
        <w:snapToGrid/>
        <w:spacing w:after="0"/>
        <w:jc w:val="left"/>
        <w:rPr>
          <w:i/>
          <w:sz w:val="20"/>
          <w:szCs w:val="20"/>
        </w:rPr>
      </w:pPr>
      <w:r w:rsidRPr="00902FD8">
        <w:rPr>
          <w:i/>
          <w:sz w:val="20"/>
          <w:szCs w:val="20"/>
          <w:u w:val="single"/>
        </w:rPr>
        <w:t>For active BWP switching</w:t>
      </w:r>
      <w:r w:rsidRPr="00902FD8">
        <w:rPr>
          <w:i/>
          <w:sz w:val="20"/>
          <w:szCs w:val="20"/>
        </w:rPr>
        <w:t xml:space="preserve"> using at least scheduling DCI, DCI for either DL or UL can be used for active BWP switching from one DL/UL BWP pair to another pair</w:t>
      </w:r>
    </w:p>
    <w:p w14:paraId="353B7A9B" w14:textId="77777777" w:rsidR="005E5542" w:rsidRPr="00902FD8" w:rsidRDefault="005E5542" w:rsidP="005E5542">
      <w:pPr>
        <w:numPr>
          <w:ilvl w:val="1"/>
          <w:numId w:val="33"/>
        </w:numPr>
        <w:autoSpaceDE/>
        <w:autoSpaceDN/>
        <w:adjustRightInd/>
        <w:snapToGrid/>
        <w:spacing w:after="0"/>
        <w:jc w:val="left"/>
        <w:rPr>
          <w:i/>
          <w:sz w:val="20"/>
          <w:szCs w:val="20"/>
        </w:rPr>
      </w:pPr>
      <w:r w:rsidRPr="00902FD8">
        <w:rPr>
          <w:i/>
          <w:sz w:val="20"/>
          <w:szCs w:val="20"/>
        </w:rPr>
        <w:t>Note: there is no additional restriction on DL BWP and UL BWP pairing</w:t>
      </w:r>
    </w:p>
    <w:p w14:paraId="45DB5F67" w14:textId="77777777" w:rsidR="005E5542" w:rsidRPr="00902FD8" w:rsidRDefault="005E5542" w:rsidP="00C35624">
      <w:pPr>
        <w:numPr>
          <w:ilvl w:val="1"/>
          <w:numId w:val="33"/>
        </w:numPr>
        <w:autoSpaceDE/>
        <w:autoSpaceDN/>
        <w:adjustRightInd/>
        <w:snapToGrid/>
        <w:ind w:left="1555"/>
        <w:jc w:val="left"/>
        <w:rPr>
          <w:i/>
          <w:sz w:val="20"/>
          <w:szCs w:val="20"/>
        </w:rPr>
      </w:pPr>
      <w:r w:rsidRPr="00902FD8">
        <w:rPr>
          <w:i/>
          <w:sz w:val="20"/>
          <w:szCs w:val="20"/>
        </w:rPr>
        <w:t>Note: this applies to at least the case where both DL &amp; UL are activated to a UE in the corresponding unpaired spectrum</w:t>
      </w:r>
    </w:p>
    <w:p w14:paraId="0BE7DD1F" w14:textId="77777777" w:rsidR="00BB3B31" w:rsidRDefault="00C35624" w:rsidP="006B744E">
      <w:r>
        <w:t xml:space="preserve">However, in </w:t>
      </w:r>
      <w:r>
        <w:fldChar w:fldCharType="begin"/>
      </w:r>
      <w:r>
        <w:instrText xml:space="preserve"> REF _Ref497834719 \n \h </w:instrText>
      </w:r>
      <w:r>
        <w:fldChar w:fldCharType="separate"/>
      </w:r>
      <w:r w:rsidR="00636682">
        <w:t>[3]</w:t>
      </w:r>
      <w:r>
        <w:fldChar w:fldCharType="end"/>
      </w:r>
      <w:r>
        <w:t xml:space="preserve"> RAN1 indicated that “</w:t>
      </w:r>
      <w:r w:rsidRPr="00C35624">
        <w:rPr>
          <w:i/>
        </w:rPr>
        <w:t>it has agreed in Rel-15, for a UE, there is at most one active DL BWP and at most one active UL BWP at a given time for a serving cell.</w:t>
      </w:r>
      <w:r>
        <w:t>”</w:t>
      </w:r>
    </w:p>
    <w:p w14:paraId="591A948D" w14:textId="61DD10ED" w:rsidR="000F5F58" w:rsidRDefault="0022165E" w:rsidP="006B744E">
      <w:r>
        <w:t>Given support for multiple BWP configurations, the number of active BWP, and switching, the question of supporting switching across different numerologies should be clarified</w:t>
      </w:r>
      <w:r w:rsidR="00D2123B">
        <w:t xml:space="preserve"> for Rel-15 UEs</w:t>
      </w:r>
      <w:r>
        <w:t xml:space="preserve">. Based on the decisions made in previous meetings, the conclusion is the feature of </w:t>
      </w:r>
      <w:r w:rsidR="000F5F58" w:rsidRPr="00BD2117">
        <w:t xml:space="preserve">BWP switching with the same and different numerology </w:t>
      </w:r>
      <w:r w:rsidR="00C35624">
        <w:t xml:space="preserve">should be supported </w:t>
      </w:r>
      <w:r w:rsidR="000F5F58" w:rsidRPr="00BD2117">
        <w:t>from a UE p</w:t>
      </w:r>
      <w:r w:rsidR="000F5F58">
        <w:t>er</w:t>
      </w:r>
      <w:r w:rsidR="000F5F58" w:rsidRPr="00BD2117">
        <w:t>spective</w:t>
      </w:r>
      <w:r w:rsidR="004C48FE">
        <w:t xml:space="preserve">. </w:t>
      </w:r>
      <w:r w:rsidR="00722749">
        <w:t>This will allow RAN4 to develop test scenarios for 60 kHz</w:t>
      </w:r>
      <w:r w:rsidR="00CB16CC">
        <w:t xml:space="preserve"> and to develop guidelines for switching</w:t>
      </w:r>
      <w:r w:rsidR="00722749">
        <w:t>.</w:t>
      </w:r>
      <w:r w:rsidR="000F5F58">
        <w:t xml:space="preserve"> </w:t>
      </w:r>
    </w:p>
    <w:p w14:paraId="6BC1B817" w14:textId="530C30D8" w:rsidR="009A3A86" w:rsidRDefault="000458E0" w:rsidP="00CF195E">
      <w:pPr>
        <w:pStyle w:val="Heading1"/>
      </w:pPr>
      <w:r>
        <w:t>Discussion</w:t>
      </w:r>
    </w:p>
    <w:p w14:paraId="249416F5" w14:textId="4602791E" w:rsidR="001A6094" w:rsidRDefault="00D33750" w:rsidP="001A6094">
      <w:r>
        <w:t xml:space="preserve">In </w:t>
      </w:r>
      <w:r w:rsidR="00694243">
        <w:fldChar w:fldCharType="begin"/>
      </w:r>
      <w:r w:rsidR="00694243">
        <w:instrText xml:space="preserve"> REF _Ref497911136 \n \h </w:instrText>
      </w:r>
      <w:r w:rsidR="00694243">
        <w:fldChar w:fldCharType="separate"/>
      </w:r>
      <w:r w:rsidR="00636682">
        <w:t>[7]</w:t>
      </w:r>
      <w:r w:rsidR="00694243">
        <w:fldChar w:fldCharType="end"/>
      </w:r>
      <w:r w:rsidR="00694243">
        <w:t xml:space="preserve">, RAN4 provided a set of </w:t>
      </w:r>
      <w:r w:rsidR="003925F9">
        <w:t xml:space="preserve">feasible </w:t>
      </w:r>
      <w:r w:rsidR="00694243">
        <w:t>subcarrier spacings (15, 30, 60 kHz under 6 GHz</w:t>
      </w:r>
      <w:r w:rsidR="00FE37FA">
        <w:t xml:space="preserve">). </w:t>
      </w:r>
      <w:r w:rsidR="001A6094">
        <w:t>In addition, RAN4 also discuss</w:t>
      </w:r>
      <w:r w:rsidR="00F132FB">
        <w:t>ed</w:t>
      </w:r>
      <w:r w:rsidR="001A6094">
        <w:t xml:space="preserve"> use cases for mixed numerologies at the base station for FDM operation </w:t>
      </w:r>
      <w:r w:rsidR="001A6094">
        <w:fldChar w:fldCharType="begin"/>
      </w:r>
      <w:r w:rsidR="001A6094">
        <w:instrText xml:space="preserve"> REF _Ref497835375 \n \h </w:instrText>
      </w:r>
      <w:r w:rsidR="001A6094">
        <w:fldChar w:fldCharType="separate"/>
      </w:r>
      <w:r w:rsidR="001A6094">
        <w:t>[4]</w:t>
      </w:r>
      <w:r w:rsidR="001A6094">
        <w:fldChar w:fldCharType="end"/>
      </w:r>
      <w:r w:rsidR="001A6094">
        <w:t xml:space="preserve"> </w:t>
      </w:r>
      <w:r w:rsidR="001A6094">
        <w:fldChar w:fldCharType="begin"/>
      </w:r>
      <w:r w:rsidR="001A6094">
        <w:instrText xml:space="preserve"> REF _Ref497914616 \n \h </w:instrText>
      </w:r>
      <w:r w:rsidR="001A6094">
        <w:fldChar w:fldCharType="separate"/>
      </w:r>
      <w:r w:rsidR="001A6094">
        <w:t>[5]</w:t>
      </w:r>
      <w:r w:rsidR="001A6094">
        <w:fldChar w:fldCharType="end"/>
      </w:r>
      <w:r w:rsidR="001A6094">
        <w:t>. Further, the agreement was that “</w:t>
      </w:r>
      <w:r w:rsidR="001A6094" w:rsidRPr="00D33A3D">
        <w:t>UEs will not be required to be able to receive data on multiple numerologies</w:t>
      </w:r>
      <w:r w:rsidR="001A6094">
        <w:t>” for FDM</w:t>
      </w:r>
      <w:r w:rsidR="001159DE">
        <w:t xml:space="preserve"> (Rel-15)</w:t>
      </w:r>
      <w:r w:rsidR="001A6094">
        <w:t xml:space="preserve">. However, the agreement </w:t>
      </w:r>
      <w:r w:rsidR="001159DE">
        <w:t xml:space="preserve">does </w:t>
      </w:r>
      <w:r w:rsidR="001A6094">
        <w:t xml:space="preserve">not preclude a </w:t>
      </w:r>
      <w:r w:rsidR="001159DE">
        <w:t xml:space="preserve">Rel-15 </w:t>
      </w:r>
      <w:r w:rsidR="001A6094">
        <w:t xml:space="preserve">UE from </w:t>
      </w:r>
      <w:r w:rsidR="001159DE">
        <w:t xml:space="preserve">operating with </w:t>
      </w:r>
      <w:r w:rsidR="001A6094">
        <w:t xml:space="preserve">one numerology </w:t>
      </w:r>
      <w:r w:rsidR="001159DE">
        <w:t>at</w:t>
      </w:r>
      <w:r w:rsidR="001A6094">
        <w:t xml:space="preserve"> one time </w:t>
      </w:r>
      <w:r w:rsidR="001159DE">
        <w:t>and</w:t>
      </w:r>
      <w:r w:rsidR="001A6094">
        <w:t xml:space="preserve"> another numerology at a different time.</w:t>
      </w:r>
      <w:r w:rsidR="001159DE">
        <w:t xml:space="preserve"> In this context mixed numerologies focuses on multiple subcarrier spacings.</w:t>
      </w:r>
    </w:p>
    <w:p w14:paraId="1B8208A4" w14:textId="18136673" w:rsidR="00CA4278" w:rsidRDefault="00CA4278" w:rsidP="00CA4278">
      <w:r>
        <w:t xml:space="preserve">In </w:t>
      </w:r>
      <w:r>
        <w:fldChar w:fldCharType="begin"/>
      </w:r>
      <w:r>
        <w:instrText xml:space="preserve"> REF _Ref498412710 \n \h </w:instrText>
      </w:r>
      <w:r>
        <w:fldChar w:fldCharType="separate"/>
      </w:r>
      <w:r>
        <w:t>[8]</w:t>
      </w:r>
      <w:r>
        <w:fldChar w:fldCharType="end"/>
      </w:r>
      <w:r>
        <w:t xml:space="preserve">, some benefits of </w:t>
      </w:r>
      <w:r>
        <w:t xml:space="preserve">bandwidth parts </w:t>
      </w:r>
      <w:bookmarkStart w:id="3" w:name="_GoBack"/>
      <w:bookmarkEnd w:id="3"/>
      <w:r>
        <w:t xml:space="preserve">switching are described. For example, when operating with a 15 / 30 kHz spacing, the UE should be able to operate with a 60 kHz spacing and 7-symbol mini-slot in order to satisfy latency requirements for URLLC in TDD mode. A second example is the ability to associate a BWP with a service. Switching services would necessitate switching BWP. Another example is better </w:t>
      </w:r>
      <w:r>
        <w:lastRenderedPageBreak/>
        <w:t>resource utilization for the network when a UE switches BWP. Suppose a network partitions its carrier with one part at 15 kHz and another part at 60 kHz spacing. If the 60 kHz spacing partition is lightly loaded, the network can switch the active BWP of a UE from 15 kHz to 60 kHz to distribute the load.</w:t>
      </w:r>
    </w:p>
    <w:p w14:paraId="712AF55A" w14:textId="77777777" w:rsidR="00CA4278" w:rsidRDefault="00CA4278" w:rsidP="00CA4278">
      <w:r>
        <w:t xml:space="preserve">RAN1 created a series of procedures using this set of subcarrier spacings. The following sections show how multiple subcarrier spacings are used (focusing on sub-6GHz). </w:t>
      </w:r>
    </w:p>
    <w:p w14:paraId="2AAB20BA" w14:textId="65346AB5" w:rsidR="003443C0" w:rsidRDefault="003443C0" w:rsidP="00902FD8">
      <w:pPr>
        <w:pStyle w:val="Heading2"/>
      </w:pPr>
      <w:r>
        <w:t>SS/PBCH</w:t>
      </w:r>
      <w:r w:rsidR="00C26ACC">
        <w:t xml:space="preserve"> and RMSI</w:t>
      </w:r>
    </w:p>
    <w:p w14:paraId="09ACD059" w14:textId="7AA366FC" w:rsidR="00C26ACC" w:rsidRDefault="001159DE" w:rsidP="00902FD8">
      <w:r>
        <w:t xml:space="preserve">In the </w:t>
      </w:r>
      <w:r w:rsidR="00C26ACC">
        <w:t xml:space="preserve">procedures for initial access in section 4 of </w:t>
      </w:r>
      <w:r w:rsidR="00C26ACC">
        <w:fldChar w:fldCharType="begin"/>
      </w:r>
      <w:r w:rsidR="00C26ACC">
        <w:instrText xml:space="preserve"> REF _Ref497729980 \r \h </w:instrText>
      </w:r>
      <w:r w:rsidR="00C26ACC">
        <w:fldChar w:fldCharType="separate"/>
      </w:r>
      <w:r w:rsidR="00C26ACC">
        <w:t>[1]</w:t>
      </w:r>
      <w:r w:rsidR="00C26ACC">
        <w:fldChar w:fldCharType="end"/>
      </w:r>
      <w:r w:rsidR="00C26ACC">
        <w:t xml:space="preserve">, the subcarrier spacing for SS/PBCH block is either 15 </w:t>
      </w:r>
      <w:r w:rsidR="00D2123B">
        <w:t xml:space="preserve">or </w:t>
      </w:r>
      <w:r w:rsidR="00C26ACC">
        <w:t>30 kHz under 6 GHz. When a UE processes the master information block (MIB), one field indicates configuration information about the remaining minimum system information (RMSI) for the associated SS/PBCH block</w:t>
      </w:r>
      <w:r w:rsidR="00702A31">
        <w:t xml:space="preserve"> </w:t>
      </w:r>
      <w:r w:rsidR="00702A31">
        <w:fldChar w:fldCharType="begin"/>
      </w:r>
      <w:r w:rsidR="00702A31">
        <w:instrText xml:space="preserve"> REF _Ref497832848 \n \h </w:instrText>
      </w:r>
      <w:r w:rsidR="00702A31">
        <w:fldChar w:fldCharType="separate"/>
      </w:r>
      <w:r w:rsidR="00702A31">
        <w:t>[2]</w:t>
      </w:r>
      <w:r w:rsidR="00702A31">
        <w:fldChar w:fldCharType="end"/>
      </w:r>
      <w:r w:rsidR="00702A31">
        <w:t>.</w:t>
      </w:r>
    </w:p>
    <w:p w14:paraId="12A6A582" w14:textId="77777777" w:rsidR="00C26ACC" w:rsidRPr="00902FD8" w:rsidRDefault="00C26ACC" w:rsidP="00C26ACC">
      <w:pPr>
        <w:numPr>
          <w:ilvl w:val="0"/>
          <w:numId w:val="32"/>
        </w:numPr>
        <w:rPr>
          <w:i/>
          <w:sz w:val="20"/>
        </w:rPr>
      </w:pPr>
      <w:r w:rsidRPr="00902FD8">
        <w:rPr>
          <w:i/>
          <w:sz w:val="20"/>
        </w:rPr>
        <w:t>A single bit is used in NR-PBCH for indicating the numerology for RMSI, Msg.2/4 for initial access and broadcasted OSI</w:t>
      </w:r>
    </w:p>
    <w:p w14:paraId="1E282480" w14:textId="77777777" w:rsidR="00C26ACC" w:rsidRPr="00902FD8" w:rsidRDefault="00C26ACC" w:rsidP="00C26ACC">
      <w:pPr>
        <w:numPr>
          <w:ilvl w:val="0"/>
          <w:numId w:val="34"/>
        </w:numPr>
        <w:rPr>
          <w:i/>
          <w:sz w:val="20"/>
        </w:rPr>
      </w:pPr>
      <w:r w:rsidRPr="00902FD8">
        <w:rPr>
          <w:i/>
          <w:sz w:val="20"/>
        </w:rPr>
        <w:t>For sub-6GHz</w:t>
      </w:r>
    </w:p>
    <w:p w14:paraId="5FA3CE34" w14:textId="7BE533E3" w:rsidR="00C26ACC" w:rsidRPr="00902FD8" w:rsidRDefault="00C26ACC" w:rsidP="00902FD8">
      <w:pPr>
        <w:numPr>
          <w:ilvl w:val="0"/>
          <w:numId w:val="35"/>
        </w:numPr>
        <w:rPr>
          <w:i/>
          <w:sz w:val="20"/>
        </w:rPr>
      </w:pPr>
      <w:r w:rsidRPr="00902FD8">
        <w:rPr>
          <w:i/>
          <w:sz w:val="20"/>
        </w:rPr>
        <w:t>0: 15kHz</w:t>
      </w:r>
      <w:r w:rsidR="00934629" w:rsidRPr="00902FD8">
        <w:rPr>
          <w:i/>
          <w:sz w:val="20"/>
        </w:rPr>
        <w:t xml:space="preserve">, </w:t>
      </w:r>
      <w:r w:rsidRPr="00902FD8">
        <w:rPr>
          <w:i/>
          <w:sz w:val="20"/>
        </w:rPr>
        <w:t>1: 30kHz</w:t>
      </w:r>
    </w:p>
    <w:p w14:paraId="2A2A8718" w14:textId="77777777" w:rsidR="00C26ACC" w:rsidRPr="00902FD8" w:rsidRDefault="00C26ACC" w:rsidP="00C26ACC">
      <w:pPr>
        <w:numPr>
          <w:ilvl w:val="0"/>
          <w:numId w:val="34"/>
        </w:numPr>
        <w:rPr>
          <w:i/>
          <w:sz w:val="20"/>
        </w:rPr>
      </w:pPr>
      <w:r w:rsidRPr="00902FD8">
        <w:rPr>
          <w:i/>
          <w:sz w:val="20"/>
        </w:rPr>
        <w:t>For &gt;6GHz</w:t>
      </w:r>
    </w:p>
    <w:p w14:paraId="19B238A9" w14:textId="662F6E22" w:rsidR="00C26ACC" w:rsidRPr="00902FD8" w:rsidRDefault="00C26ACC" w:rsidP="00902FD8">
      <w:pPr>
        <w:numPr>
          <w:ilvl w:val="0"/>
          <w:numId w:val="35"/>
        </w:numPr>
        <w:rPr>
          <w:i/>
          <w:sz w:val="20"/>
        </w:rPr>
      </w:pPr>
      <w:r w:rsidRPr="00902FD8">
        <w:rPr>
          <w:i/>
          <w:sz w:val="20"/>
        </w:rPr>
        <w:t>0: 60kHz</w:t>
      </w:r>
      <w:r w:rsidR="00934629">
        <w:rPr>
          <w:i/>
          <w:sz w:val="20"/>
        </w:rPr>
        <w:t xml:space="preserve">. </w:t>
      </w:r>
      <w:r w:rsidRPr="00902FD8">
        <w:rPr>
          <w:i/>
          <w:sz w:val="20"/>
        </w:rPr>
        <w:t>1: 120kHz</w:t>
      </w:r>
    </w:p>
    <w:p w14:paraId="79998C41" w14:textId="2B9F47FE" w:rsidR="00C26ACC" w:rsidRDefault="00C26ACC" w:rsidP="00702A31">
      <w:r>
        <w:t xml:space="preserve">The implication of this decision is that </w:t>
      </w:r>
      <w:r w:rsidR="00702A31">
        <w:t>a UE can receive the SS/PBCH with one subcarrier spacing while receiving the RMSI and Msg. 2/4 for initial access with a different subcarrier spacing.</w:t>
      </w:r>
      <w:r w:rsidR="00896363" w:rsidRPr="00896363">
        <w:t xml:space="preserve"> </w:t>
      </w:r>
      <w:r w:rsidR="00896363">
        <w:t>Another note is that 60 kHz spacing is not used for the RMSI.</w:t>
      </w:r>
    </w:p>
    <w:p w14:paraId="1305FA2A" w14:textId="4C59F325" w:rsidR="00C94E40" w:rsidRDefault="00702A31" w:rsidP="00702A31">
      <w:pPr>
        <w:rPr>
          <w:b/>
          <w:i/>
        </w:rPr>
      </w:pPr>
      <w:r w:rsidRPr="00902FD8">
        <w:rPr>
          <w:b/>
          <w:i/>
        </w:rPr>
        <w:t>Observation</w:t>
      </w:r>
      <w:r w:rsidR="00C94E40">
        <w:rPr>
          <w:b/>
          <w:i/>
        </w:rPr>
        <w:t xml:space="preserve"> 1</w:t>
      </w:r>
      <w:r w:rsidRPr="00902FD8">
        <w:rPr>
          <w:b/>
          <w:i/>
        </w:rPr>
        <w:t xml:space="preserve">: </w:t>
      </w:r>
      <w:r>
        <w:rPr>
          <w:b/>
          <w:i/>
        </w:rPr>
        <w:t xml:space="preserve">RAN1 </w:t>
      </w:r>
      <w:r w:rsidR="001159DE">
        <w:rPr>
          <w:b/>
          <w:i/>
        </w:rPr>
        <w:t>allows</w:t>
      </w:r>
      <w:r>
        <w:rPr>
          <w:b/>
          <w:i/>
        </w:rPr>
        <w:t xml:space="preserve"> switching between multiple subcarrier spacings for SS/PBCH block and RMSI.</w:t>
      </w:r>
    </w:p>
    <w:p w14:paraId="573EBD01" w14:textId="55679D4F" w:rsidR="00C94E40" w:rsidRDefault="00C94E40" w:rsidP="00C94E40">
      <w:r>
        <w:t>Extending observation 1 leads to the following observation for UEs.</w:t>
      </w:r>
    </w:p>
    <w:p w14:paraId="26EE8E40" w14:textId="1264468E" w:rsidR="00C26ACC" w:rsidRPr="00902FD8" w:rsidRDefault="00C94E40" w:rsidP="00702A31">
      <w:pPr>
        <w:rPr>
          <w:b/>
          <w:i/>
        </w:rPr>
      </w:pPr>
      <w:r>
        <w:rPr>
          <w:b/>
          <w:i/>
        </w:rPr>
        <w:t>Observation 2: A</w:t>
      </w:r>
      <w:r w:rsidR="00227F03">
        <w:rPr>
          <w:b/>
          <w:i/>
        </w:rPr>
        <w:t xml:space="preserve"> UE that supports switching is capable of supporting multiple </w:t>
      </w:r>
      <w:r w:rsidR="00FA21E1">
        <w:rPr>
          <w:b/>
          <w:i/>
        </w:rPr>
        <w:t>subcarrier spacings</w:t>
      </w:r>
      <w:r w:rsidR="00227F03">
        <w:rPr>
          <w:b/>
          <w:i/>
        </w:rPr>
        <w:t>.</w:t>
      </w:r>
    </w:p>
    <w:p w14:paraId="1C97323C" w14:textId="77777777" w:rsidR="00D61DE1" w:rsidRDefault="00702A31" w:rsidP="00902FD8">
      <w:r>
        <w:t>Although switching subcarrier spacings for SS/PBCH and RMSI seems complicated for initial access, there is a benefit of switching. For example, a UE can obtain better timing and measurements using the 15 kHz spacing (longer OS) while the network can minimize the overhead</w:t>
      </w:r>
      <w:r w:rsidR="00227F03">
        <w:t xml:space="preserve"> of RMSI, other system information (OSI), and RACH</w:t>
      </w:r>
      <w:r>
        <w:t xml:space="preserve"> with smaller OS.</w:t>
      </w:r>
    </w:p>
    <w:p w14:paraId="44DAB322" w14:textId="1730889F" w:rsidR="00702A31" w:rsidRDefault="00D61DE1" w:rsidP="00902FD8">
      <w:r>
        <w:t>Another benefit is LTE / NR cell detection. Although the timing and patterns of the SSS/PSS are different between LTE and NR, having the NR SSS/PSS operate with 30 kHz spacing can simplify system identification for UEs initially. Afterwards, the RMSI can use 15 kHz spacing.</w:t>
      </w:r>
    </w:p>
    <w:p w14:paraId="6A46B6F2" w14:textId="18B1CAC7" w:rsidR="00CD4CB5" w:rsidRDefault="00CD4CB5" w:rsidP="00CD4CB5">
      <w:pPr>
        <w:pStyle w:val="Heading2"/>
      </w:pPr>
      <w:r>
        <w:t>Bandwidth Parts (BWPs)</w:t>
      </w:r>
    </w:p>
    <w:p w14:paraId="24444331" w14:textId="4DC844E6" w:rsidR="00227F03" w:rsidRDefault="00C94E40" w:rsidP="00902FD8">
      <w:r>
        <w:t xml:space="preserve">RAN1 uses the notation “active BWP” to indicate the set of parameters associated with a bandwidth part that a UE must use when receiving DL signals and when transmitting UL signals. These parameters include </w:t>
      </w:r>
      <w:r w:rsidR="001159DE">
        <w:t xml:space="preserve">the </w:t>
      </w:r>
      <w:r>
        <w:t>subcarrier spacing.</w:t>
      </w:r>
      <w:r w:rsidR="00FA21E1">
        <w:t xml:space="preserve"> </w:t>
      </w:r>
    </w:p>
    <w:p w14:paraId="1C92AC2C" w14:textId="7D764996" w:rsidR="00FA21E1" w:rsidRDefault="00C94E40" w:rsidP="00902FD8">
      <w:r>
        <w:t>With a recent decision</w:t>
      </w:r>
      <w:r w:rsidR="00934629">
        <w:t xml:space="preserve"> (presented in introduction)</w:t>
      </w:r>
      <w:r>
        <w:t xml:space="preserve">, </w:t>
      </w:r>
      <w:r w:rsidR="00934629">
        <w:t xml:space="preserve">RAN1 defined the “initial active DL BWP” based on the numerology of the RMSI. After a UE completes initial access, it receives configurations for up to four DL BWPs and four UL BWPs. </w:t>
      </w:r>
      <w:r w:rsidR="00FA21E1">
        <w:t>When there is a different subcarrier spacing among the BWP configurations, there is a change in numerology</w:t>
      </w:r>
      <w:r w:rsidR="00D61DE1">
        <w:t xml:space="preserve"> (mixed numerology)</w:t>
      </w:r>
      <w:r w:rsidR="00FA21E1">
        <w:t>.</w:t>
      </w:r>
    </w:p>
    <w:p w14:paraId="3D51490F" w14:textId="7B05CF8B" w:rsidR="00902FD8" w:rsidRDefault="001159DE" w:rsidP="00902FD8">
      <w:r>
        <w:t>The UE implements</w:t>
      </w:r>
      <w:r w:rsidR="00934629">
        <w:t xml:space="preserve"> an inherent switch from the initial active BWP to the configured DL (UL) BWP.</w:t>
      </w:r>
      <w:r w:rsidR="007070AD">
        <w:t xml:space="preserve"> </w:t>
      </w:r>
      <w:r w:rsidR="00902FD8">
        <w:t xml:space="preserve">Due to the decisions in </w:t>
      </w:r>
      <w:r w:rsidR="00902FD8">
        <w:fldChar w:fldCharType="begin"/>
      </w:r>
      <w:r w:rsidR="00902FD8">
        <w:instrText xml:space="preserve"> REF _Ref497834719 \n \h </w:instrText>
      </w:r>
      <w:r w:rsidR="00902FD8">
        <w:fldChar w:fldCharType="separate"/>
      </w:r>
      <w:r w:rsidR="00902FD8">
        <w:t>[3]</w:t>
      </w:r>
      <w:r w:rsidR="00902FD8">
        <w:fldChar w:fldCharType="end"/>
      </w:r>
      <w:r w:rsidR="00902FD8">
        <w:t xml:space="preserve">, a UE has only one active BWP at a time for Rel. 15. </w:t>
      </w:r>
    </w:p>
    <w:p w14:paraId="43831775" w14:textId="7973E213" w:rsidR="00F132FB" w:rsidRDefault="00896363" w:rsidP="00902FD8">
      <w:r>
        <w:t xml:space="preserve">Hence, because only one active </w:t>
      </w:r>
      <w:r w:rsidR="00F132FB">
        <w:t>BWP at a time is allowed</w:t>
      </w:r>
      <w:r w:rsidR="00F132FB" w:rsidRPr="00F132FB">
        <w:t xml:space="preserve"> </w:t>
      </w:r>
      <w:r w:rsidR="00F132FB">
        <w:t>for a Rel.15 UE, when a BWP is switched, changing subcarrier spacing can occur. There is no increase in RF complexity</w:t>
      </w:r>
      <w:r w:rsidR="001159DE">
        <w:t xml:space="preserve"> since subcarrier spacing is a baseband operation</w:t>
      </w:r>
      <w:r w:rsidR="00F132FB">
        <w:t>.</w:t>
      </w:r>
    </w:p>
    <w:p w14:paraId="6CF78F14" w14:textId="567028AD" w:rsidR="00902FD8" w:rsidRDefault="00896363" w:rsidP="00902FD8">
      <w:r>
        <w:lastRenderedPageBreak/>
        <w:t xml:space="preserve">Also, </w:t>
      </w:r>
      <w:r w:rsidR="00F132FB">
        <w:t>a Rel.15 UE is expected to support</w:t>
      </w:r>
      <w:r>
        <w:t xml:space="preserve"> 60</w:t>
      </w:r>
      <w:r w:rsidR="00F132FB">
        <w:t xml:space="preserve"> </w:t>
      </w:r>
      <w:r>
        <w:t>kHz subcarrier spacing</w:t>
      </w:r>
      <w:r w:rsidR="00F132FB">
        <w:t xml:space="preserve">. However, the only </w:t>
      </w:r>
      <w:r w:rsidR="00722749">
        <w:t>route</w:t>
      </w:r>
      <w:r w:rsidR="00F132FB">
        <w:t xml:space="preserve"> to use 60 kHz spacing is to first receive the RMSI at either 15 or 30 kHz spacing and then switch active BWPs to use the 60 kHz numerology.</w:t>
      </w:r>
      <w:r>
        <w:t xml:space="preserve"> </w:t>
      </w:r>
      <w:r w:rsidR="00722749">
        <w:t>This is needed for RAN4 to test 60 kHz subcarrier spacing.</w:t>
      </w:r>
    </w:p>
    <w:p w14:paraId="624CC238" w14:textId="77777777" w:rsidR="002A1458" w:rsidRPr="00FF5479" w:rsidRDefault="002A1458" w:rsidP="002A1458">
      <w:pPr>
        <w:rPr>
          <w:b/>
          <w:i/>
        </w:rPr>
      </w:pPr>
      <w:r>
        <w:rPr>
          <w:b/>
          <w:i/>
        </w:rPr>
        <w:t>Proposal</w:t>
      </w:r>
      <w:r w:rsidRPr="00FF5479">
        <w:rPr>
          <w:b/>
          <w:i/>
        </w:rPr>
        <w:t xml:space="preserve">: </w:t>
      </w:r>
      <w:r>
        <w:rPr>
          <w:b/>
          <w:i/>
        </w:rPr>
        <w:t>Since a UE must support changing subcarrier spacing during initial access, a UE shall support mixed numerologies when switching between active BWPs.</w:t>
      </w:r>
    </w:p>
    <w:p w14:paraId="4A54CB91" w14:textId="03513E1F" w:rsidR="00896363" w:rsidRDefault="00896363" w:rsidP="00896363">
      <w:r>
        <w:t xml:space="preserve">It is possible some companies may propose defer supporting mixed numerologies in Rel-15. However, such a proposal would not make sense because a UE needs to support both 15 kHz and 30 kHz subcarrier spacings </w:t>
      </w:r>
      <w:r w:rsidR="001159DE">
        <w:t>between the SS/PBCH block and RMSI</w:t>
      </w:r>
      <w:r>
        <w:t>. Consequently, supporting mixed numerologies (in time) is justified.</w:t>
      </w:r>
    </w:p>
    <w:p w14:paraId="0B7767F9" w14:textId="7E8EEB8F" w:rsidR="00722749" w:rsidRDefault="00722749" w:rsidP="00722749">
      <w:r>
        <w:t xml:space="preserve">In addition, some companies may propose operating with one numerology in Rel-15, either 15 kHz or 30 kHz. </w:t>
      </w:r>
      <w:r w:rsidR="00AD7D0E">
        <w:t>This proposal would exclude operating at 60 kHz subcarrier spacing.</w:t>
      </w:r>
    </w:p>
    <w:p w14:paraId="0B27629E" w14:textId="77777777" w:rsidR="00157FC3" w:rsidRDefault="00747F48" w:rsidP="00CF195E">
      <w:pPr>
        <w:pStyle w:val="Heading1"/>
      </w:pPr>
      <w:r w:rsidRPr="00CF195E">
        <w:t>Conclusion</w:t>
      </w:r>
      <w:r w:rsidR="006B1FD5" w:rsidRPr="00CF195E">
        <w:t>s</w:t>
      </w:r>
    </w:p>
    <w:p w14:paraId="00FF10AF" w14:textId="4BEFBD57" w:rsidR="000E390C" w:rsidRPr="002E2BFD" w:rsidRDefault="000E390C" w:rsidP="00636682">
      <w:pPr>
        <w:rPr>
          <w:lang w:val="en-GB" w:eastAsia="zh-CN"/>
        </w:rPr>
      </w:pPr>
      <w:r>
        <w:rPr>
          <w:lang w:val="en-GB" w:eastAsia="zh-CN"/>
        </w:rPr>
        <w:t xml:space="preserve">This contribution </w:t>
      </w:r>
      <w:r w:rsidR="00E47B60">
        <w:rPr>
          <w:lang w:val="en-GB" w:eastAsia="zh-CN"/>
        </w:rPr>
        <w:t xml:space="preserve">examined whether a UE should support </w:t>
      </w:r>
      <w:r w:rsidR="002A1458">
        <w:rPr>
          <w:lang w:val="en-GB" w:eastAsia="zh-CN"/>
        </w:rPr>
        <w:t xml:space="preserve">mixed </w:t>
      </w:r>
      <w:r w:rsidR="00E47B60">
        <w:rPr>
          <w:lang w:val="en-GB" w:eastAsia="zh-CN"/>
        </w:rPr>
        <w:t>numerologies</w:t>
      </w:r>
      <w:r w:rsidR="00AD7D0E">
        <w:rPr>
          <w:lang w:val="en-GB" w:eastAsia="zh-CN"/>
        </w:rPr>
        <w:t xml:space="preserve"> from a RAN4 perspective</w:t>
      </w:r>
      <w:r w:rsidR="002A1458">
        <w:rPr>
          <w:lang w:val="en-GB" w:eastAsia="zh-CN"/>
        </w:rPr>
        <w:t>. Some observations are</w:t>
      </w:r>
    </w:p>
    <w:p w14:paraId="779ABB9A" w14:textId="77777777" w:rsidR="001159DE" w:rsidRDefault="001159DE" w:rsidP="001159DE">
      <w:pPr>
        <w:rPr>
          <w:b/>
          <w:i/>
        </w:rPr>
      </w:pPr>
      <w:bookmarkStart w:id="4" w:name="_Ref124589665"/>
      <w:bookmarkStart w:id="5" w:name="_Ref71620620"/>
      <w:bookmarkStart w:id="6" w:name="_Ref124671424"/>
      <w:r w:rsidRPr="00902FD8">
        <w:rPr>
          <w:b/>
          <w:i/>
        </w:rPr>
        <w:t>Observation</w:t>
      </w:r>
      <w:r>
        <w:rPr>
          <w:b/>
          <w:i/>
        </w:rPr>
        <w:t xml:space="preserve"> 1</w:t>
      </w:r>
      <w:r w:rsidRPr="00902FD8">
        <w:rPr>
          <w:b/>
          <w:i/>
        </w:rPr>
        <w:t xml:space="preserve">: </w:t>
      </w:r>
      <w:r>
        <w:rPr>
          <w:b/>
          <w:i/>
        </w:rPr>
        <w:t>RAN1 allows switching between multiple subcarrier spacings for SS/PBCH block and RMSI.</w:t>
      </w:r>
    </w:p>
    <w:p w14:paraId="77B24897" w14:textId="77777777" w:rsidR="001159DE" w:rsidRPr="00902FD8" w:rsidRDefault="001159DE" w:rsidP="001159DE">
      <w:pPr>
        <w:rPr>
          <w:b/>
          <w:i/>
        </w:rPr>
      </w:pPr>
      <w:r>
        <w:rPr>
          <w:b/>
          <w:i/>
        </w:rPr>
        <w:t>Observation 2: A UE that supports switching is capable of supporting multiple subcarrier spacings.</w:t>
      </w:r>
    </w:p>
    <w:p w14:paraId="09EC4BAE" w14:textId="71ADB5A1" w:rsidR="002A1458" w:rsidRDefault="002A1458">
      <w:r>
        <w:t>The conclusion is:</w:t>
      </w:r>
    </w:p>
    <w:p w14:paraId="0FA7DD34" w14:textId="29A5AD02" w:rsidR="001159DE" w:rsidRPr="00FF5479" w:rsidRDefault="001159DE" w:rsidP="001159DE">
      <w:pPr>
        <w:rPr>
          <w:b/>
          <w:i/>
        </w:rPr>
      </w:pPr>
      <w:r>
        <w:rPr>
          <w:b/>
          <w:i/>
        </w:rPr>
        <w:t>Proposal</w:t>
      </w:r>
      <w:r w:rsidRPr="00FF5479">
        <w:rPr>
          <w:b/>
          <w:i/>
        </w:rPr>
        <w:t xml:space="preserve">: </w:t>
      </w:r>
      <w:r>
        <w:rPr>
          <w:b/>
          <w:i/>
        </w:rPr>
        <w:t xml:space="preserve">Since a UE must support changing subcarrier spacing during </w:t>
      </w:r>
      <w:r w:rsidR="002A1458">
        <w:rPr>
          <w:b/>
          <w:i/>
        </w:rPr>
        <w:t>initial access</w:t>
      </w:r>
      <w:r>
        <w:rPr>
          <w:b/>
          <w:i/>
        </w:rPr>
        <w:t xml:space="preserve">, a UE </w:t>
      </w:r>
      <w:r w:rsidR="002A1458">
        <w:rPr>
          <w:b/>
          <w:i/>
        </w:rPr>
        <w:t>shall</w:t>
      </w:r>
      <w:r>
        <w:rPr>
          <w:b/>
          <w:i/>
        </w:rPr>
        <w:t xml:space="preserve"> support </w:t>
      </w:r>
      <w:r w:rsidR="002A1458">
        <w:rPr>
          <w:b/>
          <w:i/>
        </w:rPr>
        <w:t>mixed numerologies</w:t>
      </w:r>
      <w:r>
        <w:rPr>
          <w:b/>
          <w:i/>
        </w:rPr>
        <w:t xml:space="preserve"> when switching between active BWPs.</w:t>
      </w:r>
    </w:p>
    <w:p w14:paraId="15865872" w14:textId="77777777" w:rsidR="00E47B60" w:rsidRDefault="00E47B60" w:rsidP="00E47B60"/>
    <w:p w14:paraId="5DFBDC2A" w14:textId="77777777" w:rsidR="001D780E" w:rsidRPr="00CF195E" w:rsidRDefault="001D780E" w:rsidP="00CF195E">
      <w:pPr>
        <w:pStyle w:val="Heading1"/>
        <w:numPr>
          <w:ilvl w:val="0"/>
          <w:numId w:val="0"/>
        </w:numPr>
        <w:ind w:left="432" w:hanging="432"/>
      </w:pPr>
      <w:r w:rsidRPr="00CF195E">
        <w:t>References</w:t>
      </w:r>
    </w:p>
    <w:p w14:paraId="223A0D6D" w14:textId="77777777" w:rsidR="006B744E" w:rsidRDefault="006B744E" w:rsidP="00393937">
      <w:pPr>
        <w:pStyle w:val="References"/>
      </w:pPr>
      <w:bookmarkStart w:id="7" w:name="_Ref497729980"/>
      <w:bookmarkEnd w:id="2"/>
      <w:bookmarkEnd w:id="4"/>
      <w:bookmarkEnd w:id="5"/>
      <w:bookmarkEnd w:id="6"/>
      <w:r w:rsidRPr="000B652F">
        <w:t>R</w:t>
      </w:r>
      <w:r w:rsidR="00636682">
        <w:t>1</w:t>
      </w:r>
      <w:r w:rsidRPr="000B652F">
        <w:t>-17</w:t>
      </w:r>
      <w:r w:rsidR="00393937">
        <w:t>19226,</w:t>
      </w:r>
      <w:r w:rsidRPr="000B652F">
        <w:t xml:space="preserve"> “</w:t>
      </w:r>
      <w:r w:rsidR="00393937" w:rsidRPr="00393937">
        <w:t>Physical layer procedures for control</w:t>
      </w:r>
      <w:r w:rsidRPr="000B652F">
        <w:t xml:space="preserve">”, </w:t>
      </w:r>
      <w:r w:rsidR="00393937">
        <w:t>TS38.213, V1.1.1</w:t>
      </w:r>
      <w:r w:rsidRPr="000B652F">
        <w:t xml:space="preserve">, </w:t>
      </w:r>
      <w:r w:rsidR="00393937">
        <w:t>Nov.</w:t>
      </w:r>
      <w:r w:rsidRPr="000B652F">
        <w:t xml:space="preserve"> 2017.</w:t>
      </w:r>
      <w:bookmarkEnd w:id="7"/>
    </w:p>
    <w:p w14:paraId="2821E418" w14:textId="6F80238F" w:rsidR="0098118F" w:rsidRDefault="0098118F" w:rsidP="00393937">
      <w:pPr>
        <w:pStyle w:val="References"/>
      </w:pPr>
      <w:bookmarkStart w:id="8" w:name="_Ref497832848"/>
      <w:r>
        <w:t>“Chairman’s notes RAN1 90bis final – updated with email approvals”, Nov. 2017.</w:t>
      </w:r>
      <w:bookmarkEnd w:id="8"/>
    </w:p>
    <w:p w14:paraId="373829DC" w14:textId="77777777" w:rsidR="00856887" w:rsidRDefault="00856887" w:rsidP="00856887">
      <w:pPr>
        <w:pStyle w:val="References"/>
      </w:pPr>
      <w:bookmarkStart w:id="9" w:name="_Ref497834719"/>
      <w:r>
        <w:t>R1-1715354, “</w:t>
      </w:r>
      <w:r w:rsidRPr="00856887">
        <w:t>Reply LS on BWP operation in NR</w:t>
      </w:r>
      <w:r>
        <w:t>”, Samsung, RAN1#NR3, Sept. 18-21, 2017.</w:t>
      </w:r>
      <w:bookmarkEnd w:id="9"/>
    </w:p>
    <w:p w14:paraId="00AABF28" w14:textId="77777777" w:rsidR="00D33A3D" w:rsidRDefault="00D33A3D" w:rsidP="00D33A3D">
      <w:pPr>
        <w:pStyle w:val="References"/>
      </w:pPr>
      <w:bookmarkStart w:id="10" w:name="_Ref497835375"/>
      <w:r>
        <w:t>R4-1711729, “</w:t>
      </w:r>
      <w:r w:rsidRPr="00D33A3D">
        <w:t>TP for TR 38.817-01 mixed numerology FDM requirements</w:t>
      </w:r>
      <w:r>
        <w:t>”, Huawei, HiSilicon, RAN4#84bis, Oct. 9-13, 2017.</w:t>
      </w:r>
      <w:bookmarkEnd w:id="10"/>
    </w:p>
    <w:p w14:paraId="31741A07" w14:textId="77777777" w:rsidR="00694243" w:rsidRDefault="00694243" w:rsidP="00694243">
      <w:pPr>
        <w:pStyle w:val="References"/>
      </w:pPr>
      <w:bookmarkStart w:id="11" w:name="_Ref497914616"/>
      <w:r>
        <w:t>R4-</w:t>
      </w:r>
      <w:r w:rsidRPr="00694243">
        <w:t>1708864</w:t>
      </w:r>
      <w:r>
        <w:t>, “</w:t>
      </w:r>
      <w:r w:rsidRPr="00694243">
        <w:t>LS on Mixed numerologies FDM operation</w:t>
      </w:r>
      <w:r>
        <w:t>”, RAN4, RAN4#84, Aug. 21-25, 2017</w:t>
      </w:r>
      <w:bookmarkEnd w:id="11"/>
    </w:p>
    <w:p w14:paraId="4E1756BC" w14:textId="77777777" w:rsidR="008254DF" w:rsidRDefault="008254DF" w:rsidP="008254DF">
      <w:pPr>
        <w:pStyle w:val="References"/>
      </w:pPr>
      <w:bookmarkStart w:id="12" w:name="_Ref497836064"/>
      <w:r w:rsidRPr="008254DF">
        <w:t>R4-1702029</w:t>
      </w:r>
      <w:r>
        <w:t>, “</w:t>
      </w:r>
      <w:r w:rsidRPr="008254DF">
        <w:t>[Draft] Reply LS on UE RF Bandwidth Adaptation in NR</w:t>
      </w:r>
      <w:r>
        <w:t xml:space="preserve">”, </w:t>
      </w:r>
      <w:r w:rsidRPr="008254DF">
        <w:t>MediaTek</w:t>
      </w:r>
      <w:r>
        <w:t>, RAN4#82, Feb. 13-17, 2017.</w:t>
      </w:r>
      <w:bookmarkEnd w:id="12"/>
    </w:p>
    <w:p w14:paraId="7067479E" w14:textId="2E30DD1E" w:rsidR="00694243" w:rsidRDefault="00694243" w:rsidP="00694243">
      <w:pPr>
        <w:pStyle w:val="References"/>
      </w:pPr>
      <w:bookmarkStart w:id="13" w:name="_Ref497911136"/>
      <w:r w:rsidRPr="00694243">
        <w:t>R4-1702019</w:t>
      </w:r>
      <w:r>
        <w:t>,</w:t>
      </w:r>
      <w:r w:rsidRPr="00694243">
        <w:t xml:space="preserve"> </w:t>
      </w:r>
      <w:r>
        <w:t>“</w:t>
      </w:r>
      <w:r w:rsidRPr="00694243">
        <w:t>[Draft] Reply LS on subcarrier spacing and carrier frequencies</w:t>
      </w:r>
      <w:r>
        <w:t>”, RAN4</w:t>
      </w:r>
      <w:r w:rsidR="00D2123B">
        <w:t>,</w:t>
      </w:r>
      <w:r>
        <w:t xml:space="preserve"> RAN4#82, Feb. 13-17, 2017.</w:t>
      </w:r>
      <w:bookmarkEnd w:id="13"/>
    </w:p>
    <w:p w14:paraId="21E10FA6" w14:textId="25D66D6E" w:rsidR="00906973" w:rsidRPr="000B652F" w:rsidRDefault="00906973" w:rsidP="00694243">
      <w:pPr>
        <w:pStyle w:val="References"/>
      </w:pPr>
      <w:bookmarkStart w:id="14" w:name="_Ref498412710"/>
      <w:r>
        <w:t>R1-1719380, “Remaining issues on bandwidth part”, Huawei, Hi</w:t>
      </w:r>
      <w:r w:rsidR="00D2123B">
        <w:t>Silicon, RAN1#91, Nov. 27-Dec. 1, 2017.</w:t>
      </w:r>
      <w:bookmarkEnd w:id="14"/>
    </w:p>
    <w:p w14:paraId="45336E56" w14:textId="77777777" w:rsidR="007C3FA8" w:rsidRPr="00CF195E" w:rsidRDefault="007C3FA8" w:rsidP="002E2BFD">
      <w:pPr>
        <w:rPr>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64BE9" w14:textId="77777777" w:rsidR="006920F0" w:rsidRDefault="006920F0">
      <w:r>
        <w:separator/>
      </w:r>
    </w:p>
  </w:endnote>
  <w:endnote w:type="continuationSeparator" w:id="0">
    <w:p w14:paraId="42D7947B" w14:textId="77777777" w:rsidR="006920F0" w:rsidRDefault="0069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28ECD" w14:textId="77777777" w:rsidR="006920F0" w:rsidRDefault="006920F0">
      <w:r>
        <w:separator/>
      </w:r>
    </w:p>
  </w:footnote>
  <w:footnote w:type="continuationSeparator" w:id="0">
    <w:p w14:paraId="434EFC8E" w14:textId="77777777" w:rsidR="006920F0" w:rsidRDefault="00692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A714BB"/>
    <w:multiLevelType w:val="hybridMultilevel"/>
    <w:tmpl w:val="03E48A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1160063"/>
    <w:multiLevelType w:val="hybridMultilevel"/>
    <w:tmpl w:val="8BB05872"/>
    <w:lvl w:ilvl="0" w:tplc="08D89EDE">
      <w:start w:val="1"/>
      <w:numFmt w:val="decimal"/>
      <w:lvlText w:val="[%1]"/>
      <w:lvlJc w:val="left"/>
      <w:pPr>
        <w:ind w:left="720" w:hanging="360"/>
      </w:pPr>
      <w:rPr>
        <w:rFonts w:hint="default"/>
      </w:rPr>
    </w:lvl>
    <w:lvl w:ilvl="1" w:tplc="6018EEA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5AE5C2A"/>
    <w:multiLevelType w:val="hybridMultilevel"/>
    <w:tmpl w:val="1620332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6A6213E"/>
    <w:multiLevelType w:val="hybridMultilevel"/>
    <w:tmpl w:val="326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8"/>
  </w:num>
  <w:num w:numId="4">
    <w:abstractNumId w:val="16"/>
  </w:num>
  <w:num w:numId="5">
    <w:abstractNumId w:val="9"/>
  </w:num>
  <w:num w:numId="6">
    <w:abstractNumId w:val="32"/>
  </w:num>
  <w:num w:numId="7">
    <w:abstractNumId w:val="17"/>
  </w:num>
  <w:num w:numId="8">
    <w:abstractNumId w:val="25"/>
  </w:num>
  <w:num w:numId="9">
    <w:abstractNumId w:val="30"/>
  </w:num>
  <w:num w:numId="10">
    <w:abstractNumId w:val="31"/>
  </w:num>
  <w:num w:numId="11">
    <w:abstractNumId w:val="34"/>
  </w:num>
  <w:num w:numId="12">
    <w:abstractNumId w:val="15"/>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0"/>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29"/>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C32"/>
    <w:rsid w:val="000172BE"/>
    <w:rsid w:val="00017D8A"/>
    <w:rsid w:val="00023388"/>
    <w:rsid w:val="00023425"/>
    <w:rsid w:val="000241BE"/>
    <w:rsid w:val="000242F2"/>
    <w:rsid w:val="00026D4B"/>
    <w:rsid w:val="000275C6"/>
    <w:rsid w:val="00027AD6"/>
    <w:rsid w:val="0003024C"/>
    <w:rsid w:val="00031ADB"/>
    <w:rsid w:val="00032056"/>
    <w:rsid w:val="00032188"/>
    <w:rsid w:val="000328CA"/>
    <w:rsid w:val="00032E40"/>
    <w:rsid w:val="0003376B"/>
    <w:rsid w:val="00034676"/>
    <w:rsid w:val="000346E6"/>
    <w:rsid w:val="000352B3"/>
    <w:rsid w:val="0004023E"/>
    <w:rsid w:val="0004024B"/>
    <w:rsid w:val="00041C57"/>
    <w:rsid w:val="000434B7"/>
    <w:rsid w:val="000435E4"/>
    <w:rsid w:val="000458E0"/>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E6E"/>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90C"/>
    <w:rsid w:val="000E59A0"/>
    <w:rsid w:val="000E7A84"/>
    <w:rsid w:val="000F15BC"/>
    <w:rsid w:val="000F180A"/>
    <w:rsid w:val="000F1C92"/>
    <w:rsid w:val="000F2EEE"/>
    <w:rsid w:val="000F3697"/>
    <w:rsid w:val="000F5F5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DE"/>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094"/>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3C3"/>
    <w:rsid w:val="002140FF"/>
    <w:rsid w:val="002163D9"/>
    <w:rsid w:val="00220894"/>
    <w:rsid w:val="0022165E"/>
    <w:rsid w:val="00222A79"/>
    <w:rsid w:val="00224952"/>
    <w:rsid w:val="00224DD2"/>
    <w:rsid w:val="00225A6A"/>
    <w:rsid w:val="00225AC7"/>
    <w:rsid w:val="00225ACC"/>
    <w:rsid w:val="00227F03"/>
    <w:rsid w:val="0023195D"/>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45C"/>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458"/>
    <w:rsid w:val="002A1E92"/>
    <w:rsid w:val="002A204D"/>
    <w:rsid w:val="002A2616"/>
    <w:rsid w:val="002A26E1"/>
    <w:rsid w:val="002A342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2BFD"/>
    <w:rsid w:val="002E3C65"/>
    <w:rsid w:val="002E3F5B"/>
    <w:rsid w:val="002E4362"/>
    <w:rsid w:val="002E63D9"/>
    <w:rsid w:val="002E640E"/>
    <w:rsid w:val="002E662F"/>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217"/>
    <w:rsid w:val="003363A1"/>
    <w:rsid w:val="0034226D"/>
    <w:rsid w:val="00342972"/>
    <w:rsid w:val="00342FDD"/>
    <w:rsid w:val="0034429B"/>
    <w:rsid w:val="003443C0"/>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5D4"/>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003"/>
    <w:rsid w:val="003852FB"/>
    <w:rsid w:val="00385429"/>
    <w:rsid w:val="00385B05"/>
    <w:rsid w:val="00386382"/>
    <w:rsid w:val="003865EF"/>
    <w:rsid w:val="00386BA9"/>
    <w:rsid w:val="00390017"/>
    <w:rsid w:val="003901A3"/>
    <w:rsid w:val="0039072F"/>
    <w:rsid w:val="003925F9"/>
    <w:rsid w:val="00393937"/>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963"/>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D50"/>
    <w:rsid w:val="004C01A8"/>
    <w:rsid w:val="004C1840"/>
    <w:rsid w:val="004C24C9"/>
    <w:rsid w:val="004C31B6"/>
    <w:rsid w:val="004C48FE"/>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275A"/>
    <w:rsid w:val="00524545"/>
    <w:rsid w:val="005255BF"/>
    <w:rsid w:val="005257DE"/>
    <w:rsid w:val="00527200"/>
    <w:rsid w:val="00530157"/>
    <w:rsid w:val="00531EBE"/>
    <w:rsid w:val="00532070"/>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3BE"/>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E61"/>
    <w:rsid w:val="005E234A"/>
    <w:rsid w:val="005E35CC"/>
    <w:rsid w:val="005E371E"/>
    <w:rsid w:val="005E53F9"/>
    <w:rsid w:val="005E554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9EC"/>
    <w:rsid w:val="00604DC7"/>
    <w:rsid w:val="00604E47"/>
    <w:rsid w:val="00605441"/>
    <w:rsid w:val="00606970"/>
    <w:rsid w:val="00606A20"/>
    <w:rsid w:val="006072C6"/>
    <w:rsid w:val="00607A2E"/>
    <w:rsid w:val="00612939"/>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682"/>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20F0"/>
    <w:rsid w:val="00693E1F"/>
    <w:rsid w:val="00693ECB"/>
    <w:rsid w:val="00694243"/>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44E"/>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1AF"/>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A31"/>
    <w:rsid w:val="007034AA"/>
    <w:rsid w:val="00703C9D"/>
    <w:rsid w:val="0070490C"/>
    <w:rsid w:val="00705C38"/>
    <w:rsid w:val="00706465"/>
    <w:rsid w:val="0070695A"/>
    <w:rsid w:val="007070AD"/>
    <w:rsid w:val="0070782D"/>
    <w:rsid w:val="007109C2"/>
    <w:rsid w:val="00711340"/>
    <w:rsid w:val="00712C42"/>
    <w:rsid w:val="00713DE4"/>
    <w:rsid w:val="00714C47"/>
    <w:rsid w:val="00716462"/>
    <w:rsid w:val="00721084"/>
    <w:rsid w:val="00721262"/>
    <w:rsid w:val="00721D9B"/>
    <w:rsid w:val="00722121"/>
    <w:rsid w:val="007224B9"/>
    <w:rsid w:val="0072274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3551"/>
    <w:rsid w:val="0081581D"/>
    <w:rsid w:val="008172BE"/>
    <w:rsid w:val="00817B71"/>
    <w:rsid w:val="00820244"/>
    <w:rsid w:val="008221B3"/>
    <w:rsid w:val="0082248E"/>
    <w:rsid w:val="00824FDF"/>
    <w:rsid w:val="00825125"/>
    <w:rsid w:val="008254DF"/>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6887"/>
    <w:rsid w:val="0086087C"/>
    <w:rsid w:val="00860D8E"/>
    <w:rsid w:val="0086275E"/>
    <w:rsid w:val="00864440"/>
    <w:rsid w:val="00864D76"/>
    <w:rsid w:val="008650FC"/>
    <w:rsid w:val="00866EB3"/>
    <w:rsid w:val="0086701A"/>
    <w:rsid w:val="00867BD2"/>
    <w:rsid w:val="00867D5F"/>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363"/>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87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329"/>
    <w:rsid w:val="008F37E5"/>
    <w:rsid w:val="008F48C2"/>
    <w:rsid w:val="008F5840"/>
    <w:rsid w:val="008F5EEF"/>
    <w:rsid w:val="008F66FE"/>
    <w:rsid w:val="008F72CC"/>
    <w:rsid w:val="008F72CD"/>
    <w:rsid w:val="00902FD8"/>
    <w:rsid w:val="00903802"/>
    <w:rsid w:val="0090696D"/>
    <w:rsid w:val="00906973"/>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629"/>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18F"/>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9C0"/>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5C5C"/>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D0E"/>
    <w:rsid w:val="00AD7E64"/>
    <w:rsid w:val="00AE0C56"/>
    <w:rsid w:val="00AE149E"/>
    <w:rsid w:val="00AE22F2"/>
    <w:rsid w:val="00AE29FC"/>
    <w:rsid w:val="00AE2F3F"/>
    <w:rsid w:val="00AE3B4E"/>
    <w:rsid w:val="00AE59EC"/>
    <w:rsid w:val="00AE67B3"/>
    <w:rsid w:val="00AE7141"/>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13"/>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7BC0"/>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3B31"/>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6"/>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ACC"/>
    <w:rsid w:val="00C26DB8"/>
    <w:rsid w:val="00C3400F"/>
    <w:rsid w:val="00C34B64"/>
    <w:rsid w:val="00C34C36"/>
    <w:rsid w:val="00C352B3"/>
    <w:rsid w:val="00C35624"/>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4E40"/>
    <w:rsid w:val="00C95854"/>
    <w:rsid w:val="00C95EFF"/>
    <w:rsid w:val="00C96E6F"/>
    <w:rsid w:val="00C97872"/>
    <w:rsid w:val="00CA0532"/>
    <w:rsid w:val="00CA2241"/>
    <w:rsid w:val="00CA3CDD"/>
    <w:rsid w:val="00CA403B"/>
    <w:rsid w:val="00CA4278"/>
    <w:rsid w:val="00CA505A"/>
    <w:rsid w:val="00CA59DD"/>
    <w:rsid w:val="00CB008E"/>
    <w:rsid w:val="00CB01FA"/>
    <w:rsid w:val="00CB0737"/>
    <w:rsid w:val="00CB097A"/>
    <w:rsid w:val="00CB16CC"/>
    <w:rsid w:val="00CB26EC"/>
    <w:rsid w:val="00CB2D2A"/>
    <w:rsid w:val="00CB5B1E"/>
    <w:rsid w:val="00CB787A"/>
    <w:rsid w:val="00CC0C4A"/>
    <w:rsid w:val="00CC17F0"/>
    <w:rsid w:val="00CC1853"/>
    <w:rsid w:val="00CC1FAE"/>
    <w:rsid w:val="00CC3A23"/>
    <w:rsid w:val="00CC737C"/>
    <w:rsid w:val="00CC78CD"/>
    <w:rsid w:val="00CD087D"/>
    <w:rsid w:val="00CD0F5D"/>
    <w:rsid w:val="00CD1C0B"/>
    <w:rsid w:val="00CD239A"/>
    <w:rsid w:val="00CD3F4F"/>
    <w:rsid w:val="00CD4CB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D8E"/>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3B"/>
    <w:rsid w:val="00D2162C"/>
    <w:rsid w:val="00D21A3C"/>
    <w:rsid w:val="00D233F1"/>
    <w:rsid w:val="00D256F8"/>
    <w:rsid w:val="00D2685C"/>
    <w:rsid w:val="00D26A3B"/>
    <w:rsid w:val="00D302FD"/>
    <w:rsid w:val="00D3038A"/>
    <w:rsid w:val="00D3098D"/>
    <w:rsid w:val="00D31A02"/>
    <w:rsid w:val="00D3323C"/>
    <w:rsid w:val="00D33456"/>
    <w:rsid w:val="00D33750"/>
    <w:rsid w:val="00D3396F"/>
    <w:rsid w:val="00D33A3D"/>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DE1"/>
    <w:rsid w:val="00D61FF0"/>
    <w:rsid w:val="00D6211D"/>
    <w:rsid w:val="00D62C97"/>
    <w:rsid w:val="00D63517"/>
    <w:rsid w:val="00D63B75"/>
    <w:rsid w:val="00D64CD2"/>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CFF"/>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147B"/>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B60"/>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1D4"/>
    <w:rsid w:val="00EF55A0"/>
    <w:rsid w:val="00EF63D1"/>
    <w:rsid w:val="00EF6513"/>
    <w:rsid w:val="00EF6683"/>
    <w:rsid w:val="00EF7002"/>
    <w:rsid w:val="00EF769B"/>
    <w:rsid w:val="00F027BA"/>
    <w:rsid w:val="00F03E79"/>
    <w:rsid w:val="00F05361"/>
    <w:rsid w:val="00F0628D"/>
    <w:rsid w:val="00F06651"/>
    <w:rsid w:val="00F07DE6"/>
    <w:rsid w:val="00F1056C"/>
    <w:rsid w:val="00F107F1"/>
    <w:rsid w:val="00F10FC1"/>
    <w:rsid w:val="00F112FD"/>
    <w:rsid w:val="00F132FB"/>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6788A"/>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E1"/>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7F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D932F"/>
  <w15:chartTrackingRefBased/>
  <w15:docId w15:val="{9ECBC576-C400-4805-B116-265AEFA2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rsid w:val="009A19C0"/>
    <w:rPr>
      <w:sz w:val="16"/>
      <w:szCs w:val="16"/>
    </w:rPr>
  </w:style>
  <w:style w:type="paragraph" w:styleId="CommentText">
    <w:name w:val="annotation text"/>
    <w:basedOn w:val="Normal"/>
    <w:link w:val="CommentTextChar"/>
    <w:rsid w:val="009A19C0"/>
    <w:rPr>
      <w:sz w:val="20"/>
      <w:szCs w:val="20"/>
    </w:rPr>
  </w:style>
  <w:style w:type="character" w:customStyle="1" w:styleId="CommentTextChar">
    <w:name w:val="Comment Text Char"/>
    <w:basedOn w:val="DefaultParagraphFont"/>
    <w:link w:val="CommentText"/>
    <w:rsid w:val="009A19C0"/>
  </w:style>
  <w:style w:type="paragraph" w:styleId="CommentSubject">
    <w:name w:val="annotation subject"/>
    <w:basedOn w:val="CommentText"/>
    <w:next w:val="CommentText"/>
    <w:link w:val="CommentSubjectChar"/>
    <w:rsid w:val="009A19C0"/>
    <w:rPr>
      <w:b/>
      <w:bCs/>
    </w:rPr>
  </w:style>
  <w:style w:type="character" w:customStyle="1" w:styleId="CommentSubjectChar">
    <w:name w:val="Comment Subject Char"/>
    <w:basedOn w:val="CommentTextChar"/>
    <w:link w:val="CommentSubject"/>
    <w:rsid w:val="009A1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2A944-D438-4509-AF7C-729FF8E6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1452</Words>
  <Characters>7696</Characters>
  <Application>Microsoft Office Word</Application>
  <DocSecurity>0</DocSecurity>
  <Lines>145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Vip</cp:lastModifiedBy>
  <cp:revision>3</cp:revision>
  <cp:lastPrinted>2007-06-18T23:08:00Z</cp:lastPrinted>
  <dcterms:created xsi:type="dcterms:W3CDTF">2017-11-17T15:16:00Z</dcterms:created>
  <dcterms:modified xsi:type="dcterms:W3CDTF">2017-11-17T18:28:00Z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1487598408</vt:lpwstr>
  </property>
</Properties>
</file>