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43DF0" w14:textId="0D002F77" w:rsidR="00380C19" w:rsidRPr="00E61854" w:rsidRDefault="00380C19" w:rsidP="00B762A7">
      <w:pPr>
        <w:widowControl w:val="0"/>
        <w:tabs>
          <w:tab w:val="right" w:pos="9639"/>
          <w:tab w:val="right" w:pos="13323"/>
        </w:tabs>
        <w:spacing w:after="0"/>
        <w:jc w:val="both"/>
        <w:rPr>
          <w:rFonts w:ascii="Arial" w:eastAsia="ＭＳ 明朝" w:hAnsi="Arial" w:cs="Arial"/>
          <w:b/>
          <w:noProof/>
          <w:sz w:val="24"/>
          <w:szCs w:val="24"/>
          <w:lang w:val="en-US" w:eastAsia="ja-JP"/>
        </w:rPr>
      </w:pPr>
      <w:bookmarkStart w:id="0" w:name="_Toc193024528"/>
      <w:r>
        <w:rPr>
          <w:rFonts w:ascii="Arial" w:hAnsi="Arial" w:cs="Arial"/>
          <w:b/>
          <w:noProof/>
          <w:sz w:val="24"/>
          <w:szCs w:val="24"/>
          <w:lang w:val="en-US"/>
        </w:rPr>
        <w:t>3GPP TSG-RAN WG4 RAN</w:t>
      </w:r>
      <w:r w:rsidR="0074435C">
        <w:rPr>
          <w:rFonts w:ascii="Arial" w:eastAsia="ＭＳ 明朝" w:hAnsi="Arial" w:cs="Arial" w:hint="eastAsia"/>
          <w:b/>
          <w:noProof/>
          <w:sz w:val="24"/>
          <w:szCs w:val="24"/>
          <w:lang w:val="en-US" w:eastAsia="ja-JP"/>
        </w:rPr>
        <w:t>#</w:t>
      </w:r>
      <w:r w:rsidR="0074435C">
        <w:rPr>
          <w:rFonts w:ascii="Arial" w:eastAsia="ＭＳ 明朝" w:hAnsi="Arial" w:cs="Arial"/>
          <w:b/>
          <w:noProof/>
          <w:sz w:val="24"/>
          <w:szCs w:val="24"/>
          <w:lang w:val="en-US" w:eastAsia="ja-JP"/>
        </w:rPr>
        <w:t>8</w:t>
      </w:r>
      <w:r w:rsidR="00A60F25">
        <w:rPr>
          <w:rFonts w:ascii="Arial" w:eastAsia="ＭＳ 明朝" w:hAnsi="Arial" w:cs="Arial"/>
          <w:b/>
          <w:noProof/>
          <w:sz w:val="24"/>
          <w:szCs w:val="24"/>
          <w:lang w:val="en-US" w:eastAsia="ja-JP"/>
        </w:rPr>
        <w:t>5</w:t>
      </w:r>
      <w:r w:rsidRPr="004B7E17">
        <w:rPr>
          <w:rFonts w:ascii="Arial" w:hAnsi="Arial" w:cs="Arial"/>
          <w:b/>
          <w:noProof/>
          <w:sz w:val="24"/>
          <w:szCs w:val="24"/>
          <w:lang w:val="en-US"/>
        </w:rPr>
        <w:tab/>
        <w:t>R4-1</w:t>
      </w:r>
      <w:r>
        <w:rPr>
          <w:rFonts w:ascii="Arial" w:hAnsi="Arial" w:cs="Arial"/>
          <w:b/>
          <w:noProof/>
          <w:sz w:val="24"/>
          <w:szCs w:val="24"/>
          <w:lang w:val="en-US"/>
        </w:rPr>
        <w:t>7</w:t>
      </w:r>
      <w:r w:rsidR="00E61854">
        <w:rPr>
          <w:rFonts w:ascii="Arial" w:eastAsia="ＭＳ 明朝" w:hAnsi="Arial" w:cs="Arial" w:hint="eastAsia"/>
          <w:b/>
          <w:noProof/>
          <w:sz w:val="24"/>
          <w:szCs w:val="24"/>
          <w:lang w:val="en-US" w:eastAsia="ja-JP"/>
        </w:rPr>
        <w:t>1</w:t>
      </w:r>
      <w:r w:rsidR="007C01E5">
        <w:rPr>
          <w:rFonts w:ascii="Arial" w:eastAsia="ＭＳ 明朝" w:hAnsi="Arial" w:cs="Arial"/>
          <w:b/>
          <w:noProof/>
          <w:sz w:val="24"/>
          <w:szCs w:val="24"/>
          <w:lang w:val="en-US" w:eastAsia="ja-JP"/>
        </w:rPr>
        <w:t>2183</w:t>
      </w:r>
      <w:bookmarkStart w:id="1" w:name="_GoBack"/>
      <w:bookmarkEnd w:id="1"/>
    </w:p>
    <w:p w14:paraId="2EC43E54" w14:textId="3C5CE43F" w:rsidR="00A32164" w:rsidRDefault="00A60F25" w:rsidP="00B762A7">
      <w:pPr>
        <w:pStyle w:val="Footer"/>
        <w:jc w:val="both"/>
        <w:rPr>
          <w:i w:val="0"/>
          <w:noProof w:val="0"/>
          <w:sz w:val="24"/>
          <w:szCs w:val="24"/>
          <w:lang w:eastAsia="ja-JP"/>
        </w:rPr>
      </w:pPr>
      <w:r>
        <w:rPr>
          <w:rFonts w:eastAsia="SimSun"/>
          <w:i w:val="0"/>
          <w:noProof w:val="0"/>
          <w:sz w:val="24"/>
          <w:szCs w:val="24"/>
          <w:lang w:eastAsia="zh-CN"/>
        </w:rPr>
        <w:t>Reno</w:t>
      </w:r>
      <w:r w:rsidR="00380C19">
        <w:rPr>
          <w:rFonts w:eastAsia="SimSun"/>
          <w:i w:val="0"/>
          <w:noProof w:val="0"/>
          <w:sz w:val="24"/>
          <w:szCs w:val="24"/>
          <w:lang w:eastAsia="zh-CN"/>
        </w:rPr>
        <w:t xml:space="preserve">, </w:t>
      </w:r>
      <w:r>
        <w:rPr>
          <w:rFonts w:eastAsia="SimSun"/>
          <w:i w:val="0"/>
          <w:noProof w:val="0"/>
          <w:sz w:val="24"/>
          <w:szCs w:val="24"/>
          <w:lang w:eastAsia="zh-CN"/>
        </w:rPr>
        <w:t>U.S.A</w:t>
      </w:r>
      <w:r w:rsidR="00380C19">
        <w:rPr>
          <w:i w:val="0"/>
          <w:noProof w:val="0"/>
          <w:sz w:val="24"/>
          <w:szCs w:val="24"/>
          <w:lang w:eastAsia="ja-JP"/>
        </w:rPr>
        <w:t xml:space="preserve">, </w:t>
      </w:r>
      <w:r>
        <w:rPr>
          <w:i w:val="0"/>
          <w:noProof w:val="0"/>
          <w:sz w:val="24"/>
          <w:szCs w:val="24"/>
          <w:lang w:eastAsia="ja-JP"/>
        </w:rPr>
        <w:t>Novem</w:t>
      </w:r>
      <w:r w:rsidR="00FB0094">
        <w:rPr>
          <w:i w:val="0"/>
          <w:noProof w:val="0"/>
          <w:sz w:val="24"/>
          <w:szCs w:val="24"/>
          <w:lang w:eastAsia="ja-JP"/>
        </w:rPr>
        <w:t>ber</w:t>
      </w:r>
      <w:r w:rsidR="00380C19">
        <w:rPr>
          <w:i w:val="0"/>
          <w:noProof w:val="0"/>
          <w:sz w:val="24"/>
          <w:szCs w:val="24"/>
          <w:lang w:eastAsia="ja-JP"/>
        </w:rPr>
        <w:t xml:space="preserve"> </w:t>
      </w:r>
      <w:r>
        <w:rPr>
          <w:i w:val="0"/>
          <w:noProof w:val="0"/>
          <w:sz w:val="24"/>
          <w:szCs w:val="24"/>
          <w:lang w:eastAsia="ja-JP"/>
        </w:rPr>
        <w:t>27</w:t>
      </w:r>
      <w:r w:rsidR="00FB0094" w:rsidRPr="00FB0094">
        <w:rPr>
          <w:i w:val="0"/>
          <w:noProof w:val="0"/>
          <w:sz w:val="24"/>
          <w:szCs w:val="24"/>
          <w:vertAlign w:val="superscript"/>
          <w:lang w:eastAsia="ja-JP"/>
        </w:rPr>
        <w:t>th</w:t>
      </w:r>
      <w:r w:rsidR="00380C19">
        <w:rPr>
          <w:i w:val="0"/>
          <w:noProof w:val="0"/>
          <w:sz w:val="24"/>
          <w:szCs w:val="24"/>
          <w:lang w:eastAsia="ja-JP"/>
        </w:rPr>
        <w:t>-</w:t>
      </w:r>
      <w:r>
        <w:rPr>
          <w:i w:val="0"/>
          <w:noProof w:val="0"/>
          <w:sz w:val="24"/>
          <w:szCs w:val="24"/>
          <w:lang w:eastAsia="ja-JP"/>
        </w:rPr>
        <w:t>December 1</w:t>
      </w:r>
      <w:r w:rsidRPr="00A60F25">
        <w:rPr>
          <w:i w:val="0"/>
          <w:noProof w:val="0"/>
          <w:sz w:val="24"/>
          <w:szCs w:val="24"/>
          <w:vertAlign w:val="superscript"/>
          <w:lang w:eastAsia="ja-JP"/>
        </w:rPr>
        <w:t>st</w:t>
      </w:r>
      <w:r>
        <w:rPr>
          <w:i w:val="0"/>
          <w:noProof w:val="0"/>
          <w:sz w:val="24"/>
          <w:szCs w:val="24"/>
          <w:lang w:eastAsia="ja-JP"/>
        </w:rPr>
        <w:t xml:space="preserve"> </w:t>
      </w:r>
      <w:r w:rsidR="00380C19" w:rsidRPr="004B7E17">
        <w:rPr>
          <w:i w:val="0"/>
          <w:noProof w:val="0"/>
          <w:sz w:val="24"/>
          <w:szCs w:val="24"/>
          <w:lang w:eastAsia="ja-JP"/>
        </w:rPr>
        <w:t>, 201</w:t>
      </w:r>
      <w:r w:rsidR="00380C19">
        <w:rPr>
          <w:i w:val="0"/>
          <w:noProof w:val="0"/>
          <w:sz w:val="24"/>
          <w:szCs w:val="24"/>
          <w:lang w:eastAsia="ja-JP"/>
        </w:rPr>
        <w:t>7</w:t>
      </w:r>
    </w:p>
    <w:p w14:paraId="7363B36E" w14:textId="77777777" w:rsidR="00380C19" w:rsidRPr="00A60F25" w:rsidRDefault="00380C19" w:rsidP="00B762A7">
      <w:pPr>
        <w:pStyle w:val="Footer"/>
        <w:jc w:val="both"/>
        <w:rPr>
          <w:noProof w:val="0"/>
        </w:rPr>
      </w:pPr>
    </w:p>
    <w:p w14:paraId="3997F049" w14:textId="60992A27" w:rsidR="00A32164" w:rsidRPr="000A64D8" w:rsidRDefault="00A32164" w:rsidP="00800D04">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B0094">
        <w:rPr>
          <w:rFonts w:ascii="Arial" w:hAnsi="Arial"/>
          <w:sz w:val="24"/>
        </w:rPr>
        <w:t>9.3</w:t>
      </w:r>
      <w:r w:rsidR="00D356F7">
        <w:rPr>
          <w:rFonts w:ascii="Arial" w:hAnsi="Arial"/>
          <w:sz w:val="24"/>
        </w:rPr>
        <w:t>.1.2</w:t>
      </w:r>
    </w:p>
    <w:p w14:paraId="14E9FD35" w14:textId="77777777" w:rsidR="00A32164" w:rsidRPr="000A64D8" w:rsidRDefault="00A32164" w:rsidP="00B762A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5DFF3B2"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A6F0D">
        <w:rPr>
          <w:rFonts w:ascii="Arial" w:hAnsi="Arial"/>
          <w:sz w:val="22"/>
        </w:rPr>
        <w:t xml:space="preserve">Wideband and CA Operation </w:t>
      </w:r>
      <w:r w:rsidR="00693800">
        <w:rPr>
          <w:rFonts w:ascii="Arial" w:hAnsi="Arial"/>
          <w:sz w:val="24"/>
        </w:rPr>
        <w:t>for NR</w:t>
      </w:r>
    </w:p>
    <w:p w14:paraId="7477C2F3" w14:textId="1419BA4D"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00194B82">
        <w:rPr>
          <w:rFonts w:ascii="Arial" w:hAnsi="Arial"/>
          <w:sz w:val="24"/>
        </w:rPr>
        <w:t>Approval</w:t>
      </w:r>
    </w:p>
    <w:p w14:paraId="317EE72E" w14:textId="77777777" w:rsidR="008817D4" w:rsidRPr="008817D4" w:rsidRDefault="008817D4"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0E883478" w14:textId="335FEBF3" w:rsidR="00BA6F0D" w:rsidRPr="00BA6F0D" w:rsidRDefault="001E6E93" w:rsidP="0079497A">
      <w:pPr>
        <w:jc w:val="both"/>
        <w:rPr>
          <w:rFonts w:eastAsia="ＭＳ 明朝"/>
          <w:lang w:val="en-US" w:eastAsia="ja-JP"/>
        </w:rPr>
      </w:pPr>
      <w:r>
        <w:rPr>
          <w:rFonts w:eastAsia="ＭＳ 明朝"/>
          <w:lang w:val="en-US" w:eastAsia="ja-JP"/>
        </w:rPr>
        <w:t>Wideband and CA operation has been extensively discussed in the past few meetings. In RAN4#84</w:t>
      </w:r>
      <w:r w:rsidR="00AE7104">
        <w:rPr>
          <w:rFonts w:eastAsia="ＭＳ 明朝"/>
          <w:lang w:val="en-US" w:eastAsia="ja-JP"/>
        </w:rPr>
        <w:t>Bis,</w:t>
      </w:r>
      <w:r>
        <w:rPr>
          <w:rFonts w:eastAsia="ＭＳ 明朝"/>
          <w:lang w:val="en-US" w:eastAsia="ja-JP"/>
        </w:rPr>
        <w:t xml:space="preserve"> a WF with several clarifications on the scope of Rel.15 was agreed [1]. In the WF there are some </w:t>
      </w:r>
      <w:r w:rsidR="00AE7104">
        <w:rPr>
          <w:rFonts w:eastAsia="ＭＳ 明朝"/>
          <w:lang w:val="en-US" w:eastAsia="ja-JP"/>
        </w:rPr>
        <w:t>open issues, we provide our view on these issues in this paper. We also touch on some other aspects related to bandwidth parts.</w:t>
      </w:r>
    </w:p>
    <w:p w14:paraId="2A6A26E9" w14:textId="2AF721BE" w:rsidR="00062E6F" w:rsidRDefault="007C61DA"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37CA4A86" w14:textId="469560F9" w:rsidR="00A60F25" w:rsidRDefault="00BB191A" w:rsidP="00BB191A">
      <w:pPr>
        <w:pStyle w:val="Heading2"/>
        <w:rPr>
          <w:lang w:val="en-US" w:eastAsia="ja-JP"/>
        </w:rPr>
      </w:pPr>
      <w:r>
        <w:rPr>
          <w:lang w:val="en-US" w:eastAsia="ja-JP"/>
        </w:rPr>
        <w:t xml:space="preserve">2.1 </w:t>
      </w:r>
      <w:r w:rsidR="0010723D">
        <w:rPr>
          <w:rFonts w:hint="eastAsia"/>
          <w:lang w:val="en-US" w:eastAsia="ja-JP"/>
        </w:rPr>
        <w:t>Non-contiguous BWPs</w:t>
      </w:r>
    </w:p>
    <w:p w14:paraId="180A57B6" w14:textId="6B047B01" w:rsidR="00AE7104" w:rsidRDefault="00AE7104" w:rsidP="005B25F1">
      <w:pPr>
        <w:jc w:val="both"/>
        <w:rPr>
          <w:rFonts w:eastAsia="ＭＳ 明朝"/>
          <w:lang w:val="en-US" w:eastAsia="ja-JP"/>
        </w:rPr>
      </w:pPr>
      <w:r>
        <w:rPr>
          <w:rFonts w:eastAsia="ＭＳ 明朝"/>
          <w:lang w:val="en-US" w:eastAsia="ja-JP"/>
        </w:rPr>
        <w:t xml:space="preserve">In the </w:t>
      </w:r>
      <w:r w:rsidR="00A60F25">
        <w:rPr>
          <w:rFonts w:eastAsia="ＭＳ 明朝" w:hint="eastAsia"/>
          <w:lang w:val="en-US" w:eastAsia="ja-JP"/>
        </w:rPr>
        <w:t>W</w:t>
      </w:r>
      <w:r w:rsidR="00A60F25">
        <w:rPr>
          <w:rFonts w:eastAsia="ＭＳ 明朝"/>
          <w:lang w:val="en-US" w:eastAsia="ja-JP"/>
        </w:rPr>
        <w:t>F agreed</w:t>
      </w:r>
      <w:r>
        <w:rPr>
          <w:rFonts w:eastAsia="ＭＳ 明朝"/>
          <w:lang w:val="en-US" w:eastAsia="ja-JP"/>
        </w:rPr>
        <w:t xml:space="preserve"> in RAN4#84Bis [1], the scenario with non contiguous </w:t>
      </w:r>
      <w:r w:rsidR="00A60F25">
        <w:rPr>
          <w:rFonts w:eastAsia="ＭＳ 明朝"/>
          <w:lang w:val="en-US" w:eastAsia="ja-JP"/>
        </w:rPr>
        <w:t>BWPs</w:t>
      </w:r>
      <w:r>
        <w:rPr>
          <w:rFonts w:eastAsia="ＭＳ 明朝"/>
          <w:lang w:val="en-US" w:eastAsia="ja-JP"/>
        </w:rPr>
        <w:t xml:space="preserve"> in the frequency domain</w:t>
      </w:r>
      <w:r w:rsidR="00A60F25">
        <w:rPr>
          <w:rFonts w:eastAsia="ＭＳ 明朝"/>
          <w:lang w:val="en-US" w:eastAsia="ja-JP"/>
        </w:rPr>
        <w:t xml:space="preserve"> </w:t>
      </w:r>
      <w:r>
        <w:rPr>
          <w:rFonts w:eastAsia="ＭＳ 明朝"/>
          <w:lang w:val="en-US" w:eastAsia="ja-JP"/>
        </w:rPr>
        <w:t xml:space="preserve">that are contained within CCs aggregated in </w:t>
      </w:r>
      <w:r w:rsidR="00A60F25">
        <w:rPr>
          <w:rFonts w:eastAsia="ＭＳ 明朝"/>
          <w:lang w:val="en-US" w:eastAsia="ja-JP"/>
        </w:rPr>
        <w:t xml:space="preserve">intra-band contiguous CA </w:t>
      </w:r>
      <w:r>
        <w:rPr>
          <w:rFonts w:eastAsia="ＭＳ 明朝"/>
          <w:lang w:val="en-US" w:eastAsia="ja-JP"/>
        </w:rPr>
        <w:t xml:space="preserve">was left FFS. This is reproduced in Figure 1 for convenience (reproduced from [1]). </w:t>
      </w:r>
    </w:p>
    <w:p w14:paraId="25EFC04A" w14:textId="7770CEC4" w:rsidR="00AE7104" w:rsidRDefault="0010723D" w:rsidP="005B25F1">
      <w:pPr>
        <w:jc w:val="both"/>
      </w:pPr>
      <w:r>
        <w:object w:dxaOrig="6775" w:dyaOrig="2807" w14:anchorId="0E16C491">
          <v:shape id="_x0000_i1026" type="#_x0000_t75" style="width:454.5pt;height:188.5pt" o:ole="">
            <v:imagedata r:id="rId13" o:title=""/>
          </v:shape>
          <o:OLEObject Type="Embed" ProgID="Visio.Drawing.11" ShapeID="_x0000_i1026" DrawAspect="Content" ObjectID="_1572497158" r:id="rId14"/>
        </w:object>
      </w:r>
    </w:p>
    <w:p w14:paraId="3DB91F61" w14:textId="246A5C1A" w:rsidR="0010723D" w:rsidRDefault="0010723D" w:rsidP="005B25F1">
      <w:pPr>
        <w:jc w:val="both"/>
        <w:rPr>
          <w:rFonts w:eastAsia="ＭＳ 明朝"/>
          <w:lang w:val="en-US" w:eastAsia="ja-JP"/>
        </w:rPr>
      </w:pPr>
      <w:r>
        <w:t>Figure 1. Different BWP configurations in Rel.15</w:t>
      </w:r>
    </w:p>
    <w:p w14:paraId="11DD86B5" w14:textId="3CAAACFD" w:rsidR="0010723D" w:rsidRDefault="0010723D" w:rsidP="005B25F1">
      <w:pPr>
        <w:jc w:val="both"/>
        <w:rPr>
          <w:rFonts w:eastAsia="ＭＳ 明朝"/>
          <w:lang w:val="en-US" w:eastAsia="ja-JP"/>
        </w:rPr>
      </w:pPr>
      <w:r>
        <w:rPr>
          <w:rFonts w:eastAsia="ＭＳ 明朝" w:hint="eastAsia"/>
          <w:lang w:val="en-US" w:eastAsia="ja-JP"/>
        </w:rPr>
        <w:t xml:space="preserve">In our understanding, the case marked </w:t>
      </w:r>
      <w:r>
        <w:rPr>
          <w:rFonts w:eastAsia="ＭＳ 明朝"/>
          <w:lang w:val="en-US" w:eastAsia="ja-JP"/>
        </w:rPr>
        <w:t>as not supported should be supported in Rel.15 as it falls under the generic RAN1 agreement that there is only one active BWP in each CC. We would like to point out that from a system operation point of view, this case is the same as a UE configured with BWPs that span each entire CC(as UE3 in the figure) which is being scheduled just in these subbands. This case is different compared to a non-contiguous CA deployment because the signals in the gap between BWPs are coming from the same gNB and there should not be any RF issues in handling them because the UE supports intra-band CA of CC1 and CC2.</w:t>
      </w:r>
    </w:p>
    <w:p w14:paraId="7ABB3D6C" w14:textId="45B6F908" w:rsidR="0010723D" w:rsidRPr="00BD5A05" w:rsidRDefault="0010723D" w:rsidP="005B25F1">
      <w:pPr>
        <w:jc w:val="both"/>
        <w:rPr>
          <w:rFonts w:eastAsia="ＭＳ 明朝"/>
          <w:b/>
          <w:lang w:val="en-US" w:eastAsia="ja-JP"/>
        </w:rPr>
      </w:pPr>
      <w:r w:rsidRPr="00BD5A05">
        <w:rPr>
          <w:rFonts w:eastAsia="ＭＳ 明朝"/>
          <w:b/>
          <w:lang w:val="en-US" w:eastAsia="ja-JP"/>
        </w:rPr>
        <w:t>Proposal 1. Non-contiguous BWPs should be supported in Rel. 15 if they are parts of an intra-band contiguous CA combination.</w:t>
      </w:r>
    </w:p>
    <w:p w14:paraId="55C5AB91" w14:textId="4A34682C" w:rsidR="00A60F25" w:rsidRDefault="00BB191A" w:rsidP="00BB191A">
      <w:pPr>
        <w:pStyle w:val="Heading2"/>
        <w:rPr>
          <w:lang w:val="en-US" w:eastAsia="ja-JP"/>
        </w:rPr>
      </w:pPr>
      <w:r>
        <w:rPr>
          <w:lang w:val="en-US" w:eastAsia="ja-JP"/>
        </w:rPr>
        <w:lastRenderedPageBreak/>
        <w:t xml:space="preserve">2.2 </w:t>
      </w:r>
      <w:r w:rsidR="00A60F25">
        <w:rPr>
          <w:rFonts w:hint="eastAsia"/>
          <w:lang w:val="en-US" w:eastAsia="ja-JP"/>
        </w:rPr>
        <w:t>S</w:t>
      </w:r>
      <w:r w:rsidR="00A60F25">
        <w:rPr>
          <w:lang w:val="en-US" w:eastAsia="ja-JP"/>
        </w:rPr>
        <w:t xml:space="preserve">pectral utilization </w:t>
      </w:r>
    </w:p>
    <w:p w14:paraId="759089E5" w14:textId="67B381E7" w:rsidR="00A60F25" w:rsidRDefault="0010723D" w:rsidP="005B25F1">
      <w:pPr>
        <w:jc w:val="both"/>
        <w:rPr>
          <w:rFonts w:eastAsia="ＭＳ 明朝"/>
          <w:lang w:val="en-US" w:eastAsia="ja-JP"/>
        </w:rPr>
      </w:pPr>
      <w:r>
        <w:rPr>
          <w:rFonts w:eastAsia="ＭＳ 明朝"/>
          <w:lang w:val="en-US" w:eastAsia="ja-JP"/>
        </w:rPr>
        <w:t xml:space="preserve">Spectral utilization with intra-band contiguous CA and wideband operation has been discussed in previous papers [2]. In [1] two options for support of intra-band contiguous CA with 0 guardband </w:t>
      </w:r>
      <w:r w:rsidR="00B12099">
        <w:rPr>
          <w:rFonts w:eastAsia="ＭＳ 明朝"/>
          <w:lang w:val="en-US" w:eastAsia="ja-JP"/>
        </w:rPr>
        <w:t xml:space="preserve">are presented. The 2 options are reproduced below for convenience. </w:t>
      </w:r>
    </w:p>
    <w:p w14:paraId="384A6036" w14:textId="6F46C54F" w:rsidR="00F518BD" w:rsidRDefault="00B12099" w:rsidP="005B25F1">
      <w:pPr>
        <w:jc w:val="both"/>
        <w:rPr>
          <w:rFonts w:eastAsia="ＭＳ 明朝"/>
          <w:lang w:val="en-US" w:eastAsia="ja-JP"/>
        </w:rPr>
      </w:pPr>
      <w:r>
        <w:object w:dxaOrig="5101" w:dyaOrig="1962" w14:anchorId="3C8256C0">
          <v:shape id="_x0000_i1027" type="#_x0000_t75" style="width:255pt;height:98pt" o:ole="">
            <v:imagedata r:id="rId15" o:title=""/>
          </v:shape>
          <o:OLEObject Type="Embed" ProgID="Visio.Drawing.11" ShapeID="_x0000_i1027" DrawAspect="Content" ObjectID="_1572497159" r:id="rId16"/>
        </w:object>
      </w:r>
    </w:p>
    <w:p w14:paraId="4E9BC70A" w14:textId="2645E058" w:rsidR="00F518BD" w:rsidRDefault="00B12099" w:rsidP="005B25F1">
      <w:pPr>
        <w:jc w:val="both"/>
        <w:rPr>
          <w:rFonts w:eastAsia="ＭＳ 明朝"/>
          <w:lang w:val="en-US" w:eastAsia="ja-JP"/>
        </w:rPr>
      </w:pPr>
      <w:r>
        <w:rPr>
          <w:rFonts w:eastAsia="ＭＳ 明朝" w:hint="eastAsia"/>
          <w:lang w:val="en-US" w:eastAsia="ja-JP"/>
        </w:rPr>
        <w:t xml:space="preserve">Figure 2. Spectral utilization with intra-band </w:t>
      </w:r>
      <w:r>
        <w:rPr>
          <w:rFonts w:eastAsia="ＭＳ 明朝"/>
          <w:lang w:val="en-US" w:eastAsia="ja-JP"/>
        </w:rPr>
        <w:t>contiguous</w:t>
      </w:r>
      <w:r>
        <w:rPr>
          <w:rFonts w:eastAsia="ＭＳ 明朝" w:hint="eastAsia"/>
          <w:lang w:val="en-US" w:eastAsia="ja-JP"/>
        </w:rPr>
        <w:t xml:space="preserve"> </w:t>
      </w:r>
      <w:r>
        <w:rPr>
          <w:rFonts w:eastAsia="ＭＳ 明朝"/>
          <w:lang w:val="en-US" w:eastAsia="ja-JP"/>
        </w:rPr>
        <w:t>CA</w:t>
      </w:r>
    </w:p>
    <w:p w14:paraId="61BC4564" w14:textId="48122F21" w:rsidR="00B12099" w:rsidRDefault="00B12099" w:rsidP="005B25F1">
      <w:pPr>
        <w:jc w:val="both"/>
        <w:rPr>
          <w:rFonts w:eastAsia="ＭＳ 明朝"/>
          <w:lang w:val="en-US" w:eastAsia="ja-JP"/>
        </w:rPr>
      </w:pPr>
      <w:r>
        <w:rPr>
          <w:rFonts w:eastAsia="ＭＳ 明朝"/>
          <w:lang w:val="en-US" w:eastAsia="ja-JP"/>
        </w:rPr>
        <w:t xml:space="preserve">Support of option 2 would allow for optimal spectral utilization and implementation should be straightforward if the aggregated bandwidth is supported with a single RF chain. Hence, we propose that both options are supported and option 2 is a separate UE capability. </w:t>
      </w:r>
    </w:p>
    <w:p w14:paraId="7CA6EAD0" w14:textId="3214209B" w:rsidR="00B12099" w:rsidRPr="00BD5A05" w:rsidRDefault="00B12099" w:rsidP="005B25F1">
      <w:pPr>
        <w:jc w:val="both"/>
        <w:rPr>
          <w:rFonts w:eastAsia="ＭＳ 明朝"/>
          <w:b/>
          <w:lang w:val="en-US" w:eastAsia="ja-JP"/>
        </w:rPr>
      </w:pPr>
      <w:r w:rsidRPr="00BD5A05">
        <w:rPr>
          <w:rFonts w:eastAsia="ＭＳ 明朝"/>
          <w:b/>
          <w:lang w:val="en-US" w:eastAsia="ja-JP"/>
        </w:rPr>
        <w:t>Proposal 2: Support both options with option 1 being mandatory(default) and option 2 being a UE capability</w:t>
      </w:r>
      <w:r w:rsidR="00BD5A05">
        <w:rPr>
          <w:rFonts w:eastAsia="ＭＳ 明朝"/>
          <w:b/>
          <w:lang w:val="en-US" w:eastAsia="ja-JP"/>
        </w:rPr>
        <w:t>.</w:t>
      </w:r>
    </w:p>
    <w:p w14:paraId="3D64FA26" w14:textId="77777777" w:rsidR="00F51540" w:rsidRPr="00B12099" w:rsidRDefault="00677B70" w:rsidP="00B12099">
      <w:pPr>
        <w:numPr>
          <w:ilvl w:val="1"/>
          <w:numId w:val="21"/>
        </w:numPr>
        <w:jc w:val="both"/>
        <w:rPr>
          <w:rFonts w:eastAsia="ＭＳ 明朝"/>
          <w:lang w:val="en-US" w:eastAsia="ja-JP"/>
        </w:rPr>
      </w:pPr>
      <w:r w:rsidRPr="00B12099">
        <w:rPr>
          <w:rFonts w:eastAsia="ＭＳ 明朝"/>
          <w:lang w:val="en-US" w:eastAsia="ja-JP"/>
        </w:rPr>
        <w:t>Option1: Spectral utilization based on individual CCs (UE CC1 and UE CC2)</w:t>
      </w:r>
    </w:p>
    <w:p w14:paraId="65DD6283" w14:textId="77777777" w:rsidR="00F51540" w:rsidRPr="00B12099" w:rsidRDefault="00677B70" w:rsidP="00B12099">
      <w:pPr>
        <w:numPr>
          <w:ilvl w:val="2"/>
          <w:numId w:val="21"/>
        </w:numPr>
        <w:jc w:val="both"/>
        <w:rPr>
          <w:rFonts w:eastAsia="ＭＳ 明朝"/>
          <w:lang w:val="en-US" w:eastAsia="ja-JP"/>
        </w:rPr>
      </w:pPr>
      <w:r w:rsidRPr="00B12099">
        <w:rPr>
          <w:rFonts w:eastAsia="ＭＳ 明朝"/>
          <w:lang w:val="en-US" w:eastAsia="ja-JP"/>
        </w:rPr>
        <w:t>E.g. for 50MHz sub6, SU is 65RBs, for 100MHz SU is 135, UE configured with 2x50MHz in 100MHz channel is using 130RBs</w:t>
      </w:r>
    </w:p>
    <w:p w14:paraId="79192C34" w14:textId="77777777" w:rsidR="00F51540" w:rsidRPr="00B12099" w:rsidRDefault="00677B70" w:rsidP="00B12099">
      <w:pPr>
        <w:numPr>
          <w:ilvl w:val="1"/>
          <w:numId w:val="21"/>
        </w:numPr>
        <w:jc w:val="both"/>
        <w:rPr>
          <w:rFonts w:eastAsia="ＭＳ 明朝"/>
          <w:lang w:val="en-US" w:eastAsia="ja-JP"/>
        </w:rPr>
      </w:pPr>
      <w:r w:rsidRPr="00B12099">
        <w:rPr>
          <w:rFonts w:eastAsia="ＭＳ 明朝"/>
          <w:lang w:val="en-US" w:eastAsia="ja-JP"/>
        </w:rPr>
        <w:t>Option2: Spectral utilization based on the wider channel bandwidth</w:t>
      </w:r>
    </w:p>
    <w:p w14:paraId="55C1C751" w14:textId="77777777" w:rsidR="00F51540" w:rsidRPr="00B12099" w:rsidRDefault="00677B70" w:rsidP="00B12099">
      <w:pPr>
        <w:numPr>
          <w:ilvl w:val="2"/>
          <w:numId w:val="21"/>
        </w:numPr>
        <w:jc w:val="both"/>
        <w:rPr>
          <w:rFonts w:eastAsia="ＭＳ 明朝"/>
          <w:lang w:val="en-US" w:eastAsia="ja-JP"/>
        </w:rPr>
      </w:pPr>
      <w:r w:rsidRPr="00B12099">
        <w:rPr>
          <w:rFonts w:eastAsia="ＭＳ 明朝"/>
          <w:lang w:val="en-US" w:eastAsia="ja-JP"/>
        </w:rPr>
        <w:t>E.g. for 50MHz sub6, SU is 65RBs, for 100MHz SU is 135, UE configured with 2x50MHz in 100MHz channel is using all 135RBs</w:t>
      </w:r>
    </w:p>
    <w:p w14:paraId="2396D7EF" w14:textId="3EA301CD" w:rsidR="00B12099" w:rsidRDefault="00B12099" w:rsidP="005B25F1">
      <w:pPr>
        <w:jc w:val="both"/>
        <w:rPr>
          <w:rFonts w:eastAsia="ＭＳ 明朝"/>
          <w:lang w:val="en-US" w:eastAsia="ja-JP"/>
        </w:rPr>
      </w:pPr>
      <w:r>
        <w:rPr>
          <w:rFonts w:eastAsia="ＭＳ 明朝" w:hint="eastAsia"/>
          <w:lang w:val="en-US" w:eastAsia="ja-JP"/>
        </w:rPr>
        <w:t xml:space="preserve">In order to enable support of option 2 in the specifications, RAN1 and RAN2 should account for this in the design by increasing the number of RBs that can be scheduled and introducing the necessary signaling. </w:t>
      </w:r>
      <w:r>
        <w:rPr>
          <w:rFonts w:eastAsia="ＭＳ 明朝"/>
          <w:lang w:val="en-US" w:eastAsia="ja-JP"/>
        </w:rPr>
        <w:t>An LS to RAN1/2 with the above agreement is needed.</w:t>
      </w:r>
    </w:p>
    <w:p w14:paraId="0E88E1AE" w14:textId="3AF226E1" w:rsidR="00B12099" w:rsidRPr="00BD5A05" w:rsidRDefault="00B12099" w:rsidP="005B25F1">
      <w:pPr>
        <w:jc w:val="both"/>
        <w:rPr>
          <w:rFonts w:eastAsia="ＭＳ 明朝"/>
          <w:b/>
          <w:lang w:val="en-US" w:eastAsia="ja-JP"/>
        </w:rPr>
      </w:pPr>
      <w:r w:rsidRPr="00BD5A05">
        <w:rPr>
          <w:rFonts w:eastAsia="ＭＳ 明朝"/>
          <w:b/>
          <w:lang w:val="en-US" w:eastAsia="ja-JP"/>
        </w:rPr>
        <w:t xml:space="preserve">Proposal 3. Send an LS to RAN1/2 to ask RAN1/2 to define the necessary procedures/signaling to enable option 2 above. </w:t>
      </w:r>
    </w:p>
    <w:p w14:paraId="4A881AED" w14:textId="2DA6CDDD" w:rsidR="00D34C60" w:rsidRDefault="00BB191A" w:rsidP="00BB191A">
      <w:pPr>
        <w:pStyle w:val="Heading2"/>
        <w:rPr>
          <w:lang w:val="en-US" w:eastAsia="ja-JP"/>
        </w:rPr>
      </w:pPr>
      <w:r>
        <w:rPr>
          <w:lang w:val="en-US" w:eastAsia="ja-JP"/>
        </w:rPr>
        <w:t xml:space="preserve">2.3 </w:t>
      </w:r>
      <w:r w:rsidR="00F518BD">
        <w:rPr>
          <w:rFonts w:hint="eastAsia"/>
          <w:lang w:val="en-US" w:eastAsia="ja-JP"/>
        </w:rPr>
        <w:t>B</w:t>
      </w:r>
      <w:r w:rsidR="00F518BD">
        <w:rPr>
          <w:lang w:val="en-US" w:eastAsia="ja-JP"/>
        </w:rPr>
        <w:t>WP bandwi</w:t>
      </w:r>
      <w:r>
        <w:rPr>
          <w:lang w:val="en-US" w:eastAsia="ja-JP"/>
        </w:rPr>
        <w:t>d</w:t>
      </w:r>
      <w:r w:rsidR="00F518BD">
        <w:rPr>
          <w:lang w:val="en-US" w:eastAsia="ja-JP"/>
        </w:rPr>
        <w:t>ths</w:t>
      </w:r>
    </w:p>
    <w:p w14:paraId="70F2C014" w14:textId="77777777" w:rsidR="00BB191A" w:rsidRDefault="00F518BD" w:rsidP="005B25F1">
      <w:pPr>
        <w:jc w:val="both"/>
        <w:rPr>
          <w:rFonts w:eastAsia="ＭＳ 明朝"/>
          <w:lang w:val="en-US" w:eastAsia="ja-JP"/>
        </w:rPr>
      </w:pPr>
      <w:r>
        <w:rPr>
          <w:rFonts w:eastAsia="ＭＳ 明朝"/>
          <w:lang w:val="en-US" w:eastAsia="ja-JP"/>
        </w:rPr>
        <w:t xml:space="preserve">RAN1 agreed </w:t>
      </w:r>
      <w:r w:rsidR="00BB191A">
        <w:rPr>
          <w:rFonts w:eastAsia="ＭＳ 明朝"/>
          <w:lang w:val="en-US" w:eastAsia="ja-JP"/>
        </w:rPr>
        <w:t xml:space="preserve">in the previous meeting </w:t>
      </w:r>
      <w:r>
        <w:rPr>
          <w:rFonts w:eastAsia="ＭＳ 明朝"/>
          <w:lang w:val="en-US" w:eastAsia="ja-JP"/>
        </w:rPr>
        <w:t xml:space="preserve">to </w:t>
      </w:r>
      <w:r w:rsidR="00BB191A">
        <w:rPr>
          <w:rFonts w:eastAsia="ＭＳ 明朝"/>
          <w:lang w:val="en-US" w:eastAsia="ja-JP"/>
        </w:rPr>
        <w:t xml:space="preserve">introduce </w:t>
      </w:r>
      <w:r>
        <w:rPr>
          <w:rFonts w:eastAsia="ＭＳ 明朝"/>
          <w:lang w:val="en-US" w:eastAsia="ja-JP"/>
        </w:rPr>
        <w:t>RB level granularity</w:t>
      </w:r>
      <w:r w:rsidR="00BB191A">
        <w:rPr>
          <w:rFonts w:eastAsia="ＭＳ 明朝"/>
          <w:lang w:val="en-US" w:eastAsia="ja-JP"/>
        </w:rPr>
        <w:t xml:space="preserve"> for BWP configuration.</w:t>
      </w:r>
      <w:r>
        <w:rPr>
          <w:rFonts w:eastAsia="ＭＳ 明朝"/>
          <w:lang w:val="en-US" w:eastAsia="ja-JP"/>
        </w:rPr>
        <w:t xml:space="preserve"> </w:t>
      </w:r>
      <w:r w:rsidR="00BB191A">
        <w:rPr>
          <w:rFonts w:eastAsia="ＭＳ 明朝"/>
          <w:lang w:val="en-US" w:eastAsia="ja-JP"/>
        </w:rPr>
        <w:t>F</w:t>
      </w:r>
      <w:r>
        <w:rPr>
          <w:rFonts w:eastAsia="ＭＳ 明朝"/>
          <w:lang w:val="en-US" w:eastAsia="ja-JP"/>
        </w:rPr>
        <w:t xml:space="preserve">rom a RAN4 </w:t>
      </w:r>
      <w:r w:rsidR="00BB191A">
        <w:rPr>
          <w:rFonts w:eastAsia="ＭＳ 明朝"/>
          <w:lang w:val="en-US" w:eastAsia="ja-JP"/>
        </w:rPr>
        <w:t xml:space="preserve">point of view, this agreement has the potential to further complicate the requirement definition and introduce a lot of additional testing(testing all possible BWPs is impossible). To simplify the work, RAN4 should limit the requirement definition to </w:t>
      </w:r>
      <w:r>
        <w:rPr>
          <w:rFonts w:eastAsia="ＭＳ 明朝"/>
          <w:lang w:val="en-US" w:eastAsia="ja-JP"/>
        </w:rPr>
        <w:t xml:space="preserve"> </w:t>
      </w:r>
      <w:r w:rsidR="00BB191A">
        <w:rPr>
          <w:rFonts w:eastAsia="ＭＳ 明朝"/>
          <w:lang w:val="en-US" w:eastAsia="ja-JP"/>
        </w:rPr>
        <w:t>BWPs that have bandwidths equal to the one of the channel bandwidths defined for that band</w:t>
      </w:r>
      <w:r>
        <w:rPr>
          <w:rFonts w:eastAsia="ＭＳ 明朝"/>
          <w:lang w:val="en-US" w:eastAsia="ja-JP"/>
        </w:rPr>
        <w:t>.</w:t>
      </w:r>
    </w:p>
    <w:p w14:paraId="1F1B3FA6" w14:textId="1031E458" w:rsidR="00F518BD" w:rsidRPr="00BB191A" w:rsidRDefault="00BB191A" w:rsidP="005B25F1">
      <w:pPr>
        <w:jc w:val="both"/>
        <w:rPr>
          <w:rFonts w:eastAsia="ＭＳ 明朝"/>
          <w:b/>
          <w:lang w:val="en-US" w:eastAsia="ja-JP"/>
        </w:rPr>
      </w:pPr>
      <w:r w:rsidRPr="00BB191A">
        <w:rPr>
          <w:rFonts w:eastAsia="ＭＳ 明朝"/>
          <w:b/>
          <w:lang w:val="en-US" w:eastAsia="ja-JP"/>
        </w:rPr>
        <w:t>Proposal 4. RAN4 requirement definition should limit BWP bandwidth to one from the set of channel bandwidths defined for the specific band.</w:t>
      </w:r>
      <w:r w:rsidR="00F518BD" w:rsidRPr="00BB191A">
        <w:rPr>
          <w:rFonts w:eastAsia="ＭＳ 明朝"/>
          <w:b/>
          <w:lang w:val="en-US" w:eastAsia="ja-JP"/>
        </w:rPr>
        <w:t xml:space="preserve"> </w:t>
      </w:r>
    </w:p>
    <w:p w14:paraId="2275CC85" w14:textId="15CDFAE0" w:rsidR="00FA518B" w:rsidRPr="00BB191A" w:rsidRDefault="00BB191A" w:rsidP="005B25F1">
      <w:pPr>
        <w:jc w:val="both"/>
        <w:rPr>
          <w:rFonts w:eastAsia="ＭＳ 明朝"/>
          <w:b/>
          <w:lang w:val="en-US" w:eastAsia="ja-JP"/>
        </w:rPr>
      </w:pPr>
      <w:r>
        <w:rPr>
          <w:rFonts w:eastAsia="ＭＳ 明朝" w:hint="eastAsia"/>
          <w:lang w:val="en-US" w:eastAsia="ja-JP"/>
        </w:rPr>
        <w:t xml:space="preserve">We would like to point out </w:t>
      </w:r>
      <w:r>
        <w:rPr>
          <w:rFonts w:eastAsia="ＭＳ 明朝"/>
          <w:lang w:val="en-US" w:eastAsia="ja-JP"/>
        </w:rPr>
        <w:t>that the one of the main reasons for the introduction of the BWP concept was to optimize power consumption. UEs will be designed to handle different channel bandwidths in an efficient way, however, it is very difficult to optimize the design with 1RB granularity. Hence, even allowing RB level granularity for BWP configuration will not bring any power consumption benefits beyond constraining BWP bandwidths to the set of defined channel bandwdiths.</w:t>
      </w:r>
    </w:p>
    <w:p w14:paraId="269EC661" w14:textId="77777777" w:rsidR="008B4B2B" w:rsidRDefault="00724C22"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68775E8B" w14:textId="2610538D" w:rsidR="002C729B" w:rsidRDefault="005B25F1" w:rsidP="002C729B">
      <w:pPr>
        <w:jc w:val="both"/>
        <w:rPr>
          <w:rFonts w:eastAsia="ＭＳ 明朝"/>
          <w:lang w:val="en-US" w:eastAsia="ja-JP"/>
        </w:rPr>
      </w:pPr>
      <w:r>
        <w:rPr>
          <w:rFonts w:eastAsia="ＭＳ 明朝" w:hint="eastAsia"/>
          <w:lang w:val="en-US" w:eastAsia="ja-JP"/>
        </w:rPr>
        <w:t xml:space="preserve">In this paper we </w:t>
      </w:r>
      <w:r w:rsidR="0032565D">
        <w:rPr>
          <w:rFonts w:eastAsia="ＭＳ 明朝"/>
          <w:lang w:val="en-US" w:eastAsia="ja-JP"/>
        </w:rPr>
        <w:t>d</w:t>
      </w:r>
      <w:r w:rsidR="00EC3E1D">
        <w:rPr>
          <w:rFonts w:eastAsia="ＭＳ 明朝"/>
          <w:lang w:val="en-US" w:eastAsia="ja-JP"/>
        </w:rPr>
        <w:t xml:space="preserve">iscussed a few </w:t>
      </w:r>
      <w:r w:rsidR="00B35F36">
        <w:rPr>
          <w:rFonts w:eastAsia="ＭＳ 明朝"/>
          <w:lang w:val="en-US" w:eastAsia="ja-JP"/>
        </w:rPr>
        <w:t xml:space="preserve">open </w:t>
      </w:r>
      <w:r w:rsidR="00EC3E1D">
        <w:rPr>
          <w:rFonts w:eastAsia="ＭＳ 明朝"/>
          <w:lang w:val="en-US" w:eastAsia="ja-JP"/>
        </w:rPr>
        <w:t xml:space="preserve">issues related to </w:t>
      </w:r>
      <w:r w:rsidR="0032565D">
        <w:rPr>
          <w:rFonts w:eastAsia="ＭＳ 明朝"/>
          <w:lang w:val="en-US" w:eastAsia="ja-JP"/>
        </w:rPr>
        <w:t xml:space="preserve">operation with BWPs or intra-band CA within a wider channel. </w:t>
      </w:r>
      <w:r w:rsidR="00B35F36">
        <w:rPr>
          <w:rFonts w:eastAsia="ＭＳ 明朝"/>
          <w:lang w:val="en-US" w:eastAsia="ja-JP"/>
        </w:rPr>
        <w:t>The following proposals were made:</w:t>
      </w:r>
    </w:p>
    <w:p w14:paraId="688289C3" w14:textId="77777777" w:rsidR="00BD5A05" w:rsidRPr="00BD5A05" w:rsidRDefault="00BD5A05" w:rsidP="00BD5A05">
      <w:pPr>
        <w:jc w:val="both"/>
        <w:rPr>
          <w:rFonts w:eastAsia="ＭＳ 明朝"/>
          <w:b/>
          <w:lang w:val="en-US" w:eastAsia="ja-JP"/>
        </w:rPr>
      </w:pPr>
      <w:r w:rsidRPr="00BD5A05">
        <w:rPr>
          <w:rFonts w:eastAsia="ＭＳ 明朝"/>
          <w:b/>
          <w:lang w:val="en-US" w:eastAsia="ja-JP"/>
        </w:rPr>
        <w:lastRenderedPageBreak/>
        <w:t>Proposal 1. Non-contiguous BWPs should be supported in Rel. 15 if they are parts of an intra-band contiguous CA combination.</w:t>
      </w:r>
    </w:p>
    <w:p w14:paraId="5035EB22" w14:textId="7EFC1380" w:rsidR="00BB191A" w:rsidRPr="00BD5A05" w:rsidRDefault="00BD5A05" w:rsidP="002C729B">
      <w:pPr>
        <w:jc w:val="both"/>
        <w:rPr>
          <w:rFonts w:eastAsia="ＭＳ 明朝"/>
          <w:lang w:val="en-US" w:eastAsia="ja-JP"/>
        </w:rPr>
      </w:pPr>
      <w:r w:rsidRPr="00BD5A05">
        <w:rPr>
          <w:rFonts w:eastAsia="ＭＳ 明朝"/>
          <w:b/>
          <w:lang w:val="en-US" w:eastAsia="ja-JP"/>
        </w:rPr>
        <w:t>Proposal 2: Support both options with option 1 being mandatory(default) and option 2 being a UE capability</w:t>
      </w:r>
      <w:r>
        <w:rPr>
          <w:rFonts w:eastAsia="ＭＳ 明朝"/>
          <w:b/>
          <w:lang w:val="en-US" w:eastAsia="ja-JP"/>
        </w:rPr>
        <w:t>.</w:t>
      </w:r>
    </w:p>
    <w:p w14:paraId="7CB7773B" w14:textId="77777777" w:rsidR="00BD5A05" w:rsidRPr="00B12099" w:rsidRDefault="00BD5A05" w:rsidP="00BD5A05">
      <w:pPr>
        <w:numPr>
          <w:ilvl w:val="1"/>
          <w:numId w:val="21"/>
        </w:numPr>
        <w:jc w:val="both"/>
        <w:rPr>
          <w:rFonts w:eastAsia="ＭＳ 明朝"/>
          <w:lang w:val="en-US" w:eastAsia="ja-JP"/>
        </w:rPr>
      </w:pPr>
      <w:r w:rsidRPr="00B12099">
        <w:rPr>
          <w:rFonts w:eastAsia="ＭＳ 明朝"/>
          <w:lang w:val="en-US" w:eastAsia="ja-JP"/>
        </w:rPr>
        <w:t>Option1: Spectral utilization based on individual CCs (UE CC1 and UE CC2)</w:t>
      </w:r>
    </w:p>
    <w:p w14:paraId="2565FDCF" w14:textId="77777777" w:rsidR="00BD5A05" w:rsidRPr="00B12099" w:rsidRDefault="00BD5A05" w:rsidP="00BD5A05">
      <w:pPr>
        <w:numPr>
          <w:ilvl w:val="2"/>
          <w:numId w:val="21"/>
        </w:numPr>
        <w:jc w:val="both"/>
        <w:rPr>
          <w:rFonts w:eastAsia="ＭＳ 明朝"/>
          <w:lang w:val="en-US" w:eastAsia="ja-JP"/>
        </w:rPr>
      </w:pPr>
      <w:r w:rsidRPr="00B12099">
        <w:rPr>
          <w:rFonts w:eastAsia="ＭＳ 明朝"/>
          <w:lang w:val="en-US" w:eastAsia="ja-JP"/>
        </w:rPr>
        <w:t>E.g. for 50MHz sub6, SU is 65RBs, for 100MHz SU is 135, UE configured with 2x50MHz in 100MHz channel is using 130RBs</w:t>
      </w:r>
    </w:p>
    <w:p w14:paraId="54C6ACEA" w14:textId="77777777" w:rsidR="00BD5A05" w:rsidRPr="00B12099" w:rsidRDefault="00BD5A05" w:rsidP="00BD5A05">
      <w:pPr>
        <w:numPr>
          <w:ilvl w:val="1"/>
          <w:numId w:val="21"/>
        </w:numPr>
        <w:jc w:val="both"/>
        <w:rPr>
          <w:rFonts w:eastAsia="ＭＳ 明朝"/>
          <w:lang w:val="en-US" w:eastAsia="ja-JP"/>
        </w:rPr>
      </w:pPr>
      <w:r w:rsidRPr="00B12099">
        <w:rPr>
          <w:rFonts w:eastAsia="ＭＳ 明朝"/>
          <w:lang w:val="en-US" w:eastAsia="ja-JP"/>
        </w:rPr>
        <w:t>Option2: Spectral utilization based on the wider channel bandwidth</w:t>
      </w:r>
    </w:p>
    <w:p w14:paraId="64E4681E" w14:textId="77777777" w:rsidR="00BD5A05" w:rsidRPr="00B12099" w:rsidRDefault="00BD5A05" w:rsidP="00BD5A05">
      <w:pPr>
        <w:numPr>
          <w:ilvl w:val="2"/>
          <w:numId w:val="21"/>
        </w:numPr>
        <w:jc w:val="both"/>
        <w:rPr>
          <w:rFonts w:eastAsia="ＭＳ 明朝"/>
          <w:lang w:val="en-US" w:eastAsia="ja-JP"/>
        </w:rPr>
      </w:pPr>
      <w:r w:rsidRPr="00B12099">
        <w:rPr>
          <w:rFonts w:eastAsia="ＭＳ 明朝"/>
          <w:lang w:val="en-US" w:eastAsia="ja-JP"/>
        </w:rPr>
        <w:t>E.g. for 50MHz sub6, SU is 65RBs, for 100MHz SU is 135, UE configured with 2x50MHz in 100MHz channel is using all 135RBs</w:t>
      </w:r>
    </w:p>
    <w:p w14:paraId="25AB89B8" w14:textId="305A8F08" w:rsidR="0032565D" w:rsidRDefault="00BD5A05" w:rsidP="0032565D">
      <w:pPr>
        <w:jc w:val="both"/>
        <w:rPr>
          <w:rFonts w:eastAsia="ＭＳ 明朝"/>
          <w:b/>
          <w:lang w:val="en-US" w:eastAsia="ja-JP"/>
        </w:rPr>
      </w:pPr>
      <w:r w:rsidRPr="00BD5A05">
        <w:rPr>
          <w:rFonts w:eastAsia="ＭＳ 明朝"/>
          <w:b/>
          <w:lang w:val="en-US" w:eastAsia="ja-JP"/>
        </w:rPr>
        <w:t>Proposal 3. Send an LS to RAN1/2 to ask RAN1/2 to define the necessary procedures/signaling to enable option 2 above.</w:t>
      </w:r>
    </w:p>
    <w:p w14:paraId="1D2DF99B" w14:textId="62B555C8" w:rsidR="00BD5A05" w:rsidRPr="00BD5A05" w:rsidRDefault="00BD5A05" w:rsidP="0032565D">
      <w:pPr>
        <w:jc w:val="both"/>
        <w:rPr>
          <w:rFonts w:eastAsia="ＭＳ 明朝"/>
          <w:b/>
          <w:lang w:val="en-US" w:eastAsia="ja-JP"/>
        </w:rPr>
      </w:pPr>
      <w:r w:rsidRPr="00BB191A">
        <w:rPr>
          <w:rFonts w:eastAsia="ＭＳ 明朝"/>
          <w:b/>
          <w:lang w:val="en-US" w:eastAsia="ja-JP"/>
        </w:rPr>
        <w:t>Proposal 4. RAN4 requirement definition should limit BWP bandwidth to one from the set of channel bandwidths defined for the specific band.</w:t>
      </w:r>
    </w:p>
    <w:p w14:paraId="649C4881" w14:textId="77777777" w:rsidR="004D327B" w:rsidRPr="00801A43" w:rsidRDefault="00C633CC" w:rsidP="00B762A7">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1B172953" w14:textId="07E61F00" w:rsidR="00FB0094" w:rsidRPr="00FB0094" w:rsidRDefault="00FB0094" w:rsidP="00D356F7">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rPr>
          <w:rFonts w:eastAsia="ＭＳ 明朝" w:hint="eastAsia"/>
          <w:lang w:eastAsia="ja-JP"/>
        </w:rPr>
        <w:t>R4-1</w:t>
      </w:r>
      <w:r w:rsidR="00A60F25">
        <w:rPr>
          <w:rFonts w:eastAsia="ＭＳ 明朝"/>
          <w:lang w:eastAsia="ja-JP"/>
        </w:rPr>
        <w:t>711819</w:t>
      </w:r>
      <w:r>
        <w:rPr>
          <w:rFonts w:eastAsia="ＭＳ 明朝" w:hint="eastAsia"/>
          <w:lang w:eastAsia="ja-JP"/>
        </w:rPr>
        <w:t xml:space="preserve">, </w:t>
      </w:r>
      <w:r>
        <w:rPr>
          <w:rFonts w:eastAsia="ＭＳ 明朝"/>
          <w:lang w:eastAsia="ja-JP"/>
        </w:rPr>
        <w:t>“</w:t>
      </w:r>
      <w:r w:rsidR="00A60F25" w:rsidRPr="00A60F25">
        <w:rPr>
          <w:rFonts w:eastAsia="ＭＳ 明朝"/>
          <w:lang w:val="de-DE" w:eastAsia="ja-JP"/>
        </w:rPr>
        <w:t>WF on wideband operation</w:t>
      </w:r>
      <w:r>
        <w:rPr>
          <w:rFonts w:eastAsia="ＭＳ 明朝"/>
          <w:lang w:val="de-DE" w:eastAsia="ja-JP"/>
        </w:rPr>
        <w:t xml:space="preserve">“, </w:t>
      </w:r>
      <w:r w:rsidR="00A60F25">
        <w:rPr>
          <w:rFonts w:eastAsia="ＭＳ 明朝"/>
          <w:lang w:val="de-DE" w:eastAsia="ja-JP"/>
        </w:rPr>
        <w:t xml:space="preserve">Intel Corporation, </w:t>
      </w:r>
      <w:r>
        <w:rPr>
          <w:rFonts w:eastAsia="ＭＳ 明朝"/>
          <w:lang w:val="de-DE" w:eastAsia="ja-JP"/>
        </w:rPr>
        <w:t xml:space="preserve">LG Electronics </w:t>
      </w:r>
    </w:p>
    <w:p w14:paraId="1E48BC87" w14:textId="001844C1" w:rsidR="00D356F7" w:rsidRPr="00AD5814" w:rsidRDefault="00D356F7" w:rsidP="00D356F7">
      <w:pPr>
        <w:numPr>
          <w:ilvl w:val="0"/>
          <w:numId w:val="10"/>
        </w:numPr>
        <w:overflowPunct w:val="0"/>
        <w:autoSpaceDE w:val="0"/>
        <w:autoSpaceDN w:val="0"/>
        <w:adjustRightInd w:val="0"/>
        <w:jc w:val="both"/>
        <w:textAlignment w:val="baseline"/>
      </w:pPr>
      <w:r>
        <w:rPr>
          <w:rFonts w:eastAsia="ＭＳ 明朝" w:hint="eastAsia"/>
          <w:lang w:eastAsia="ja-JP"/>
        </w:rPr>
        <w:t>R4-17</w:t>
      </w:r>
      <w:r w:rsidR="00A60F25">
        <w:rPr>
          <w:rFonts w:eastAsia="ＭＳ 明朝"/>
          <w:lang w:eastAsia="ja-JP"/>
        </w:rPr>
        <w:t>10173</w:t>
      </w:r>
      <w:r>
        <w:rPr>
          <w:rFonts w:eastAsia="ＭＳ 明朝" w:hint="eastAsia"/>
          <w:lang w:eastAsia="ja-JP"/>
        </w:rPr>
        <w:t xml:space="preserve">, </w:t>
      </w:r>
      <w:r>
        <w:rPr>
          <w:rFonts w:eastAsia="ＭＳ 明朝"/>
          <w:lang w:eastAsia="ja-JP"/>
        </w:rPr>
        <w:t>“</w:t>
      </w:r>
      <w:r w:rsidRPr="00D356F7">
        <w:rPr>
          <w:rFonts w:eastAsia="ＭＳ 明朝"/>
          <w:lang w:eastAsia="ja-JP"/>
        </w:rPr>
        <w:t>Wideband and CA Operation for NR</w:t>
      </w:r>
      <w:r>
        <w:rPr>
          <w:rFonts w:eastAsia="ＭＳ 明朝"/>
          <w:lang w:eastAsia="ja-JP"/>
        </w:rPr>
        <w:t>”</w:t>
      </w:r>
      <w:r w:rsidR="00AD5814">
        <w:rPr>
          <w:rFonts w:eastAsia="ＭＳ 明朝"/>
          <w:lang w:eastAsia="ja-JP"/>
        </w:rPr>
        <w:t>, Qualcomm Incorporated</w:t>
      </w:r>
      <w:bookmarkEnd w:id="0"/>
      <w:bookmarkEnd w:id="5"/>
      <w:bookmarkEnd w:id="6"/>
      <w:bookmarkEnd w:id="7"/>
      <w:bookmarkEnd w:id="8"/>
      <w:bookmarkEnd w:id="9"/>
      <w:bookmarkEnd w:id="10"/>
      <w:bookmarkEnd w:id="11"/>
    </w:p>
    <w:sectPr w:rsidR="00D356F7" w:rsidRPr="00AD5814" w:rsidSect="00A36F33">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20FA5" w14:textId="77777777" w:rsidR="00C66E2F" w:rsidRDefault="00C66E2F">
      <w:r>
        <w:separator/>
      </w:r>
    </w:p>
  </w:endnote>
  <w:endnote w:type="continuationSeparator" w:id="0">
    <w:p w14:paraId="7FC9DD80" w14:textId="77777777" w:rsidR="00C66E2F" w:rsidRDefault="00C6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modern"/>
    <w:pitch w:val="fixed"/>
    <w:sig w:usb0="00000000"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06B0C682" w:rsidR="00B56BAE" w:rsidRDefault="00B56BAE">
        <w:pPr>
          <w:pStyle w:val="Footer"/>
        </w:pPr>
        <w:r>
          <w:rPr>
            <w:noProof w:val="0"/>
          </w:rPr>
          <w:fldChar w:fldCharType="begin"/>
        </w:r>
        <w:r>
          <w:instrText xml:space="preserve"> PAGE   \* MERGEFORMAT </w:instrText>
        </w:r>
        <w:r>
          <w:rPr>
            <w:noProof w:val="0"/>
          </w:rPr>
          <w:fldChar w:fldCharType="separate"/>
        </w:r>
        <w:r w:rsidR="007C01E5">
          <w:t>1</w:t>
        </w:r>
        <w:r>
          <w:fldChar w:fldCharType="end"/>
        </w:r>
      </w:p>
    </w:sdtContent>
  </w:sdt>
  <w:p w14:paraId="1DE43AF8" w14:textId="4D47B3D2" w:rsidR="00B56BAE" w:rsidRDefault="00B5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B8C23" w14:textId="77777777" w:rsidR="00C66E2F" w:rsidRDefault="00C66E2F">
      <w:r>
        <w:separator/>
      </w:r>
    </w:p>
  </w:footnote>
  <w:footnote w:type="continuationSeparator" w:id="0">
    <w:p w14:paraId="245C01C5" w14:textId="77777777" w:rsidR="00C66E2F" w:rsidRDefault="00C66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16.5pt;height:16.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EA0141"/>
    <w:multiLevelType w:val="hybridMultilevel"/>
    <w:tmpl w:val="7A0EDCCC"/>
    <w:lvl w:ilvl="0" w:tplc="42F07A64">
      <w:start w:val="1"/>
      <w:numFmt w:val="bullet"/>
      <w:lvlText w:val="•"/>
      <w:lvlJc w:val="left"/>
      <w:pPr>
        <w:tabs>
          <w:tab w:val="num" w:pos="720"/>
        </w:tabs>
        <w:ind w:left="720" w:hanging="360"/>
      </w:pPr>
      <w:rPr>
        <w:rFonts w:ascii="Arial" w:hAnsi="Arial" w:hint="default"/>
      </w:rPr>
    </w:lvl>
    <w:lvl w:ilvl="1" w:tplc="E70665D8">
      <w:start w:val="1"/>
      <w:numFmt w:val="bullet"/>
      <w:lvlText w:val="•"/>
      <w:lvlJc w:val="left"/>
      <w:pPr>
        <w:tabs>
          <w:tab w:val="num" w:pos="1440"/>
        </w:tabs>
        <w:ind w:left="1440" w:hanging="360"/>
      </w:pPr>
      <w:rPr>
        <w:rFonts w:ascii="Arial" w:hAnsi="Arial" w:hint="default"/>
      </w:rPr>
    </w:lvl>
    <w:lvl w:ilvl="2" w:tplc="A9465F54">
      <w:numFmt w:val="bullet"/>
      <w:lvlText w:val="•"/>
      <w:lvlJc w:val="left"/>
      <w:pPr>
        <w:tabs>
          <w:tab w:val="num" w:pos="2160"/>
        </w:tabs>
        <w:ind w:left="2160" w:hanging="360"/>
      </w:pPr>
      <w:rPr>
        <w:rFonts w:ascii="Arial" w:hAnsi="Arial" w:hint="default"/>
      </w:rPr>
    </w:lvl>
    <w:lvl w:ilvl="3" w:tplc="B88EC1AC" w:tentative="1">
      <w:start w:val="1"/>
      <w:numFmt w:val="bullet"/>
      <w:lvlText w:val="•"/>
      <w:lvlJc w:val="left"/>
      <w:pPr>
        <w:tabs>
          <w:tab w:val="num" w:pos="2880"/>
        </w:tabs>
        <w:ind w:left="2880" w:hanging="360"/>
      </w:pPr>
      <w:rPr>
        <w:rFonts w:ascii="Arial" w:hAnsi="Arial" w:hint="default"/>
      </w:rPr>
    </w:lvl>
    <w:lvl w:ilvl="4" w:tplc="5BE86C3C" w:tentative="1">
      <w:start w:val="1"/>
      <w:numFmt w:val="bullet"/>
      <w:lvlText w:val="•"/>
      <w:lvlJc w:val="left"/>
      <w:pPr>
        <w:tabs>
          <w:tab w:val="num" w:pos="3600"/>
        </w:tabs>
        <w:ind w:left="3600" w:hanging="360"/>
      </w:pPr>
      <w:rPr>
        <w:rFonts w:ascii="Arial" w:hAnsi="Arial" w:hint="default"/>
      </w:rPr>
    </w:lvl>
    <w:lvl w:ilvl="5" w:tplc="DC6E266E" w:tentative="1">
      <w:start w:val="1"/>
      <w:numFmt w:val="bullet"/>
      <w:lvlText w:val="•"/>
      <w:lvlJc w:val="left"/>
      <w:pPr>
        <w:tabs>
          <w:tab w:val="num" w:pos="4320"/>
        </w:tabs>
        <w:ind w:left="4320" w:hanging="360"/>
      </w:pPr>
      <w:rPr>
        <w:rFonts w:ascii="Arial" w:hAnsi="Arial" w:hint="default"/>
      </w:rPr>
    </w:lvl>
    <w:lvl w:ilvl="6" w:tplc="BAFE44D8" w:tentative="1">
      <w:start w:val="1"/>
      <w:numFmt w:val="bullet"/>
      <w:lvlText w:val="•"/>
      <w:lvlJc w:val="left"/>
      <w:pPr>
        <w:tabs>
          <w:tab w:val="num" w:pos="5040"/>
        </w:tabs>
        <w:ind w:left="5040" w:hanging="360"/>
      </w:pPr>
      <w:rPr>
        <w:rFonts w:ascii="Arial" w:hAnsi="Arial" w:hint="default"/>
      </w:rPr>
    </w:lvl>
    <w:lvl w:ilvl="7" w:tplc="6E2AD15A" w:tentative="1">
      <w:start w:val="1"/>
      <w:numFmt w:val="bullet"/>
      <w:lvlText w:val="•"/>
      <w:lvlJc w:val="left"/>
      <w:pPr>
        <w:tabs>
          <w:tab w:val="num" w:pos="5760"/>
        </w:tabs>
        <w:ind w:left="5760" w:hanging="360"/>
      </w:pPr>
      <w:rPr>
        <w:rFonts w:ascii="Arial" w:hAnsi="Arial" w:hint="default"/>
      </w:rPr>
    </w:lvl>
    <w:lvl w:ilvl="8" w:tplc="0748AB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063E7D"/>
    <w:multiLevelType w:val="hybridMultilevel"/>
    <w:tmpl w:val="EC3C6AB2"/>
    <w:lvl w:ilvl="0" w:tplc="CF429B90">
      <w:start w:val="1"/>
      <w:numFmt w:val="bullet"/>
      <w:lvlText w:val=""/>
      <w:lvlJc w:val="left"/>
      <w:pPr>
        <w:tabs>
          <w:tab w:val="num" w:pos="720"/>
        </w:tabs>
        <w:ind w:left="720" w:hanging="360"/>
      </w:pPr>
      <w:rPr>
        <w:rFonts w:ascii="Symbol" w:hAnsi="Symbol" w:hint="default"/>
      </w:rPr>
    </w:lvl>
    <w:lvl w:ilvl="1" w:tplc="7D8857B4">
      <w:numFmt w:val="bullet"/>
      <w:lvlText w:val="−"/>
      <w:lvlJc w:val="left"/>
      <w:pPr>
        <w:tabs>
          <w:tab w:val="num" w:pos="1440"/>
        </w:tabs>
        <w:ind w:left="1440" w:hanging="360"/>
      </w:pPr>
      <w:rPr>
        <w:rFonts w:ascii="Calibre Regular" w:hAnsi="Calibre Regular" w:hint="default"/>
      </w:rPr>
    </w:lvl>
    <w:lvl w:ilvl="2" w:tplc="2C063B94">
      <w:numFmt w:val="bullet"/>
      <w:lvlText w:val="−"/>
      <w:lvlJc w:val="left"/>
      <w:pPr>
        <w:tabs>
          <w:tab w:val="num" w:pos="2160"/>
        </w:tabs>
        <w:ind w:left="2160" w:hanging="360"/>
      </w:pPr>
      <w:rPr>
        <w:rFonts w:ascii="Calibre Regular" w:hAnsi="Calibre Regular" w:hint="default"/>
      </w:rPr>
    </w:lvl>
    <w:lvl w:ilvl="3" w:tplc="F8B4AE46" w:tentative="1">
      <w:start w:val="1"/>
      <w:numFmt w:val="bullet"/>
      <w:lvlText w:val=""/>
      <w:lvlJc w:val="left"/>
      <w:pPr>
        <w:tabs>
          <w:tab w:val="num" w:pos="2880"/>
        </w:tabs>
        <w:ind w:left="2880" w:hanging="360"/>
      </w:pPr>
      <w:rPr>
        <w:rFonts w:ascii="Symbol" w:hAnsi="Symbol" w:hint="default"/>
      </w:rPr>
    </w:lvl>
    <w:lvl w:ilvl="4" w:tplc="3A7E7474" w:tentative="1">
      <w:start w:val="1"/>
      <w:numFmt w:val="bullet"/>
      <w:lvlText w:val=""/>
      <w:lvlJc w:val="left"/>
      <w:pPr>
        <w:tabs>
          <w:tab w:val="num" w:pos="3600"/>
        </w:tabs>
        <w:ind w:left="3600" w:hanging="360"/>
      </w:pPr>
      <w:rPr>
        <w:rFonts w:ascii="Symbol" w:hAnsi="Symbol" w:hint="default"/>
      </w:rPr>
    </w:lvl>
    <w:lvl w:ilvl="5" w:tplc="04CA295E" w:tentative="1">
      <w:start w:val="1"/>
      <w:numFmt w:val="bullet"/>
      <w:lvlText w:val=""/>
      <w:lvlJc w:val="left"/>
      <w:pPr>
        <w:tabs>
          <w:tab w:val="num" w:pos="4320"/>
        </w:tabs>
        <w:ind w:left="4320" w:hanging="360"/>
      </w:pPr>
      <w:rPr>
        <w:rFonts w:ascii="Symbol" w:hAnsi="Symbol" w:hint="default"/>
      </w:rPr>
    </w:lvl>
    <w:lvl w:ilvl="6" w:tplc="7B86402E" w:tentative="1">
      <w:start w:val="1"/>
      <w:numFmt w:val="bullet"/>
      <w:lvlText w:val=""/>
      <w:lvlJc w:val="left"/>
      <w:pPr>
        <w:tabs>
          <w:tab w:val="num" w:pos="5040"/>
        </w:tabs>
        <w:ind w:left="5040" w:hanging="360"/>
      </w:pPr>
      <w:rPr>
        <w:rFonts w:ascii="Symbol" w:hAnsi="Symbol" w:hint="default"/>
      </w:rPr>
    </w:lvl>
    <w:lvl w:ilvl="7" w:tplc="ADC85882" w:tentative="1">
      <w:start w:val="1"/>
      <w:numFmt w:val="bullet"/>
      <w:lvlText w:val=""/>
      <w:lvlJc w:val="left"/>
      <w:pPr>
        <w:tabs>
          <w:tab w:val="num" w:pos="5760"/>
        </w:tabs>
        <w:ind w:left="5760" w:hanging="360"/>
      </w:pPr>
      <w:rPr>
        <w:rFonts w:ascii="Symbol" w:hAnsi="Symbol" w:hint="default"/>
      </w:rPr>
    </w:lvl>
    <w:lvl w:ilvl="8" w:tplc="D76E4E9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9457B0"/>
    <w:multiLevelType w:val="hybridMultilevel"/>
    <w:tmpl w:val="8C36639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033F4E"/>
    <w:multiLevelType w:val="hybridMultilevel"/>
    <w:tmpl w:val="BE5C4B16"/>
    <w:lvl w:ilvl="0" w:tplc="DF0C5624">
      <w:start w:val="1"/>
      <w:numFmt w:val="bullet"/>
      <w:lvlText w:val=""/>
      <w:lvlJc w:val="left"/>
      <w:pPr>
        <w:tabs>
          <w:tab w:val="num" w:pos="720"/>
        </w:tabs>
        <w:ind w:left="720" w:hanging="360"/>
      </w:pPr>
      <w:rPr>
        <w:rFonts w:ascii="Symbol" w:hAnsi="Symbol" w:hint="default"/>
      </w:rPr>
    </w:lvl>
    <w:lvl w:ilvl="1" w:tplc="18FE4732">
      <w:numFmt w:val="bullet"/>
      <w:lvlText w:val="−"/>
      <w:lvlJc w:val="left"/>
      <w:pPr>
        <w:tabs>
          <w:tab w:val="num" w:pos="1440"/>
        </w:tabs>
        <w:ind w:left="1440" w:hanging="360"/>
      </w:pPr>
      <w:rPr>
        <w:rFonts w:ascii="Calibre Regular" w:hAnsi="Calibre Regular" w:hint="default"/>
      </w:rPr>
    </w:lvl>
    <w:lvl w:ilvl="2" w:tplc="CF6C0638" w:tentative="1">
      <w:start w:val="1"/>
      <w:numFmt w:val="bullet"/>
      <w:lvlText w:val=""/>
      <w:lvlJc w:val="left"/>
      <w:pPr>
        <w:tabs>
          <w:tab w:val="num" w:pos="2160"/>
        </w:tabs>
        <w:ind w:left="2160" w:hanging="360"/>
      </w:pPr>
      <w:rPr>
        <w:rFonts w:ascii="Symbol" w:hAnsi="Symbol" w:hint="default"/>
      </w:rPr>
    </w:lvl>
    <w:lvl w:ilvl="3" w:tplc="D62C035E" w:tentative="1">
      <w:start w:val="1"/>
      <w:numFmt w:val="bullet"/>
      <w:lvlText w:val=""/>
      <w:lvlJc w:val="left"/>
      <w:pPr>
        <w:tabs>
          <w:tab w:val="num" w:pos="2880"/>
        </w:tabs>
        <w:ind w:left="2880" w:hanging="360"/>
      </w:pPr>
      <w:rPr>
        <w:rFonts w:ascii="Symbol" w:hAnsi="Symbol" w:hint="default"/>
      </w:rPr>
    </w:lvl>
    <w:lvl w:ilvl="4" w:tplc="A4E68338" w:tentative="1">
      <w:start w:val="1"/>
      <w:numFmt w:val="bullet"/>
      <w:lvlText w:val=""/>
      <w:lvlJc w:val="left"/>
      <w:pPr>
        <w:tabs>
          <w:tab w:val="num" w:pos="3600"/>
        </w:tabs>
        <w:ind w:left="3600" w:hanging="360"/>
      </w:pPr>
      <w:rPr>
        <w:rFonts w:ascii="Symbol" w:hAnsi="Symbol" w:hint="default"/>
      </w:rPr>
    </w:lvl>
    <w:lvl w:ilvl="5" w:tplc="98F45A88" w:tentative="1">
      <w:start w:val="1"/>
      <w:numFmt w:val="bullet"/>
      <w:lvlText w:val=""/>
      <w:lvlJc w:val="left"/>
      <w:pPr>
        <w:tabs>
          <w:tab w:val="num" w:pos="4320"/>
        </w:tabs>
        <w:ind w:left="4320" w:hanging="360"/>
      </w:pPr>
      <w:rPr>
        <w:rFonts w:ascii="Symbol" w:hAnsi="Symbol" w:hint="default"/>
      </w:rPr>
    </w:lvl>
    <w:lvl w:ilvl="6" w:tplc="933AC020" w:tentative="1">
      <w:start w:val="1"/>
      <w:numFmt w:val="bullet"/>
      <w:lvlText w:val=""/>
      <w:lvlJc w:val="left"/>
      <w:pPr>
        <w:tabs>
          <w:tab w:val="num" w:pos="5040"/>
        </w:tabs>
        <w:ind w:left="5040" w:hanging="360"/>
      </w:pPr>
      <w:rPr>
        <w:rFonts w:ascii="Symbol" w:hAnsi="Symbol" w:hint="default"/>
      </w:rPr>
    </w:lvl>
    <w:lvl w:ilvl="7" w:tplc="2FA07E84" w:tentative="1">
      <w:start w:val="1"/>
      <w:numFmt w:val="bullet"/>
      <w:lvlText w:val=""/>
      <w:lvlJc w:val="left"/>
      <w:pPr>
        <w:tabs>
          <w:tab w:val="num" w:pos="5760"/>
        </w:tabs>
        <w:ind w:left="5760" w:hanging="360"/>
      </w:pPr>
      <w:rPr>
        <w:rFonts w:ascii="Symbol" w:hAnsi="Symbol" w:hint="default"/>
      </w:rPr>
    </w:lvl>
    <w:lvl w:ilvl="8" w:tplc="29EEEB5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736F2CD4"/>
    <w:multiLevelType w:val="hybridMultilevel"/>
    <w:tmpl w:val="FBFA3666"/>
    <w:lvl w:ilvl="0" w:tplc="6C7E89B8">
      <w:start w:val="1"/>
      <w:numFmt w:val="bullet"/>
      <w:lvlText w:val=""/>
      <w:lvlJc w:val="left"/>
      <w:pPr>
        <w:tabs>
          <w:tab w:val="num" w:pos="720"/>
        </w:tabs>
        <w:ind w:left="720" w:hanging="360"/>
      </w:pPr>
      <w:rPr>
        <w:rFonts w:ascii="Symbol" w:hAnsi="Symbol" w:hint="default"/>
      </w:rPr>
    </w:lvl>
    <w:lvl w:ilvl="1" w:tplc="FACE6B98">
      <w:numFmt w:val="bullet"/>
      <w:lvlText w:val="−"/>
      <w:lvlJc w:val="left"/>
      <w:pPr>
        <w:tabs>
          <w:tab w:val="num" w:pos="1440"/>
        </w:tabs>
        <w:ind w:left="1440" w:hanging="360"/>
      </w:pPr>
      <w:rPr>
        <w:rFonts w:ascii="Calibre Regular" w:hAnsi="Calibre Regular" w:hint="default"/>
      </w:rPr>
    </w:lvl>
    <w:lvl w:ilvl="2" w:tplc="1E4A6144">
      <w:numFmt w:val="bullet"/>
      <w:lvlText w:val="−"/>
      <w:lvlJc w:val="left"/>
      <w:pPr>
        <w:tabs>
          <w:tab w:val="num" w:pos="2160"/>
        </w:tabs>
        <w:ind w:left="2160" w:hanging="360"/>
      </w:pPr>
      <w:rPr>
        <w:rFonts w:ascii="Calibre Regular" w:hAnsi="Calibre Regular" w:hint="default"/>
      </w:rPr>
    </w:lvl>
    <w:lvl w:ilvl="3" w:tplc="050600D0">
      <w:numFmt w:val="bullet"/>
      <w:lvlText w:val="−"/>
      <w:lvlJc w:val="left"/>
      <w:pPr>
        <w:tabs>
          <w:tab w:val="num" w:pos="2880"/>
        </w:tabs>
        <w:ind w:left="2880" w:hanging="360"/>
      </w:pPr>
      <w:rPr>
        <w:rFonts w:ascii="Calibre Regular" w:hAnsi="Calibre Regular" w:hint="default"/>
      </w:rPr>
    </w:lvl>
    <w:lvl w:ilvl="4" w:tplc="9296FF8E" w:tentative="1">
      <w:start w:val="1"/>
      <w:numFmt w:val="bullet"/>
      <w:lvlText w:val=""/>
      <w:lvlJc w:val="left"/>
      <w:pPr>
        <w:tabs>
          <w:tab w:val="num" w:pos="3600"/>
        </w:tabs>
        <w:ind w:left="3600" w:hanging="360"/>
      </w:pPr>
      <w:rPr>
        <w:rFonts w:ascii="Symbol" w:hAnsi="Symbol" w:hint="default"/>
      </w:rPr>
    </w:lvl>
    <w:lvl w:ilvl="5" w:tplc="915AC004" w:tentative="1">
      <w:start w:val="1"/>
      <w:numFmt w:val="bullet"/>
      <w:lvlText w:val=""/>
      <w:lvlJc w:val="left"/>
      <w:pPr>
        <w:tabs>
          <w:tab w:val="num" w:pos="4320"/>
        </w:tabs>
        <w:ind w:left="4320" w:hanging="360"/>
      </w:pPr>
      <w:rPr>
        <w:rFonts w:ascii="Symbol" w:hAnsi="Symbol" w:hint="default"/>
      </w:rPr>
    </w:lvl>
    <w:lvl w:ilvl="6" w:tplc="F8A80C24" w:tentative="1">
      <w:start w:val="1"/>
      <w:numFmt w:val="bullet"/>
      <w:lvlText w:val=""/>
      <w:lvlJc w:val="left"/>
      <w:pPr>
        <w:tabs>
          <w:tab w:val="num" w:pos="5040"/>
        </w:tabs>
        <w:ind w:left="5040" w:hanging="360"/>
      </w:pPr>
      <w:rPr>
        <w:rFonts w:ascii="Symbol" w:hAnsi="Symbol" w:hint="default"/>
      </w:rPr>
    </w:lvl>
    <w:lvl w:ilvl="7" w:tplc="03845910" w:tentative="1">
      <w:start w:val="1"/>
      <w:numFmt w:val="bullet"/>
      <w:lvlText w:val=""/>
      <w:lvlJc w:val="left"/>
      <w:pPr>
        <w:tabs>
          <w:tab w:val="num" w:pos="5760"/>
        </w:tabs>
        <w:ind w:left="5760" w:hanging="360"/>
      </w:pPr>
      <w:rPr>
        <w:rFonts w:ascii="Symbol" w:hAnsi="Symbol" w:hint="default"/>
      </w:rPr>
    </w:lvl>
    <w:lvl w:ilvl="8" w:tplc="3C947C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7"/>
  </w:num>
  <w:num w:numId="6">
    <w:abstractNumId w:val="2"/>
  </w:num>
  <w:num w:numId="7">
    <w:abstractNumId w:val="6"/>
  </w:num>
  <w:num w:numId="8">
    <w:abstractNumId w:val="13"/>
  </w:num>
  <w:num w:numId="9">
    <w:abstractNumId w:val="14"/>
  </w:num>
  <w:num w:numId="10">
    <w:abstractNumId w:val="10"/>
  </w:num>
  <w:num w:numId="11">
    <w:abstractNumId w:val="9"/>
  </w:num>
  <w:num w:numId="12">
    <w:abstractNumId w:val="8"/>
  </w:num>
  <w:num w:numId="13">
    <w:abstractNumId w:val="16"/>
  </w:num>
  <w:num w:numId="14">
    <w:abstractNumId w:val="15"/>
  </w:num>
  <w:num w:numId="15">
    <w:abstractNumId w:val="19"/>
  </w:num>
  <w:num w:numId="16">
    <w:abstractNumId w:val="5"/>
  </w:num>
  <w:num w:numId="17">
    <w:abstractNumId w:val="18"/>
  </w:num>
  <w:num w:numId="18">
    <w:abstractNumId w:val="12"/>
  </w:num>
  <w:num w:numId="19">
    <w:abstractNumId w:val="7"/>
  </w:num>
  <w:num w:numId="20">
    <w:abstractNumId w:val="11"/>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9B9"/>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500"/>
    <w:rsid w:val="00083842"/>
    <w:rsid w:val="000843D9"/>
    <w:rsid w:val="00084895"/>
    <w:rsid w:val="00084F0C"/>
    <w:rsid w:val="00085DF3"/>
    <w:rsid w:val="00086B96"/>
    <w:rsid w:val="000873B9"/>
    <w:rsid w:val="000908DE"/>
    <w:rsid w:val="00091874"/>
    <w:rsid w:val="00091D20"/>
    <w:rsid w:val="00092077"/>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23D"/>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44E6"/>
    <w:rsid w:val="00194B82"/>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545"/>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6E93"/>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4F9"/>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3BDE"/>
    <w:rsid w:val="00244332"/>
    <w:rsid w:val="00244B5C"/>
    <w:rsid w:val="00244DC7"/>
    <w:rsid w:val="00245B23"/>
    <w:rsid w:val="00245B97"/>
    <w:rsid w:val="002464DB"/>
    <w:rsid w:val="0024664A"/>
    <w:rsid w:val="002467C7"/>
    <w:rsid w:val="00246DE8"/>
    <w:rsid w:val="00246F33"/>
    <w:rsid w:val="0025022A"/>
    <w:rsid w:val="00250854"/>
    <w:rsid w:val="00251402"/>
    <w:rsid w:val="0025144D"/>
    <w:rsid w:val="0025228F"/>
    <w:rsid w:val="002528D2"/>
    <w:rsid w:val="002530BE"/>
    <w:rsid w:val="00253EB4"/>
    <w:rsid w:val="00253FB2"/>
    <w:rsid w:val="002545E1"/>
    <w:rsid w:val="00254C15"/>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3A4F"/>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353"/>
    <w:rsid w:val="002B7766"/>
    <w:rsid w:val="002C0977"/>
    <w:rsid w:val="002C197A"/>
    <w:rsid w:val="002C2414"/>
    <w:rsid w:val="002C24E5"/>
    <w:rsid w:val="002C287C"/>
    <w:rsid w:val="002C28CD"/>
    <w:rsid w:val="002C2C81"/>
    <w:rsid w:val="002C3479"/>
    <w:rsid w:val="002C3F9C"/>
    <w:rsid w:val="002C4BB7"/>
    <w:rsid w:val="002C5758"/>
    <w:rsid w:val="002C591E"/>
    <w:rsid w:val="002C5AD8"/>
    <w:rsid w:val="002C5BCD"/>
    <w:rsid w:val="002C61E1"/>
    <w:rsid w:val="002C63B6"/>
    <w:rsid w:val="002C6820"/>
    <w:rsid w:val="002C7216"/>
    <w:rsid w:val="002C729B"/>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3542"/>
    <w:rsid w:val="002F4309"/>
    <w:rsid w:val="002F55B2"/>
    <w:rsid w:val="002F56DE"/>
    <w:rsid w:val="002F57B6"/>
    <w:rsid w:val="002F595F"/>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65D"/>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51C"/>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0A4"/>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7AB"/>
    <w:rsid w:val="003B5800"/>
    <w:rsid w:val="003B5A4E"/>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B7A"/>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A04"/>
    <w:rsid w:val="00410C01"/>
    <w:rsid w:val="0041193B"/>
    <w:rsid w:val="004122AC"/>
    <w:rsid w:val="004131D9"/>
    <w:rsid w:val="0041390E"/>
    <w:rsid w:val="00414BB3"/>
    <w:rsid w:val="00415963"/>
    <w:rsid w:val="0041669D"/>
    <w:rsid w:val="00416961"/>
    <w:rsid w:val="00416AC5"/>
    <w:rsid w:val="004201F7"/>
    <w:rsid w:val="004217FF"/>
    <w:rsid w:val="00421E1E"/>
    <w:rsid w:val="00421EAB"/>
    <w:rsid w:val="0042641A"/>
    <w:rsid w:val="00426620"/>
    <w:rsid w:val="0042735E"/>
    <w:rsid w:val="00427BCC"/>
    <w:rsid w:val="00430D05"/>
    <w:rsid w:val="004318BE"/>
    <w:rsid w:val="00431C7B"/>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2C27"/>
    <w:rsid w:val="00444983"/>
    <w:rsid w:val="00444F8C"/>
    <w:rsid w:val="004453C9"/>
    <w:rsid w:val="00445A1C"/>
    <w:rsid w:val="0044674B"/>
    <w:rsid w:val="00446771"/>
    <w:rsid w:val="0044680A"/>
    <w:rsid w:val="00446AD9"/>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463"/>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44"/>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CC7"/>
    <w:rsid w:val="00597F12"/>
    <w:rsid w:val="005A0195"/>
    <w:rsid w:val="005A2C0F"/>
    <w:rsid w:val="005A2C83"/>
    <w:rsid w:val="005A2C9F"/>
    <w:rsid w:val="005A34F6"/>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6923"/>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92C"/>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57B77"/>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77B70"/>
    <w:rsid w:val="00680DBF"/>
    <w:rsid w:val="00681497"/>
    <w:rsid w:val="0068159B"/>
    <w:rsid w:val="00681942"/>
    <w:rsid w:val="00681A7D"/>
    <w:rsid w:val="00683590"/>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714"/>
    <w:rsid w:val="006A31B6"/>
    <w:rsid w:val="006A443D"/>
    <w:rsid w:val="006A4792"/>
    <w:rsid w:val="006A4BC4"/>
    <w:rsid w:val="006A6086"/>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EE6"/>
    <w:rsid w:val="006C1F44"/>
    <w:rsid w:val="006C21A2"/>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F14B7"/>
    <w:rsid w:val="006F1D76"/>
    <w:rsid w:val="006F204A"/>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2E4"/>
    <w:rsid w:val="0074377F"/>
    <w:rsid w:val="0074435C"/>
    <w:rsid w:val="00744523"/>
    <w:rsid w:val="00744C6D"/>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6138E"/>
    <w:rsid w:val="00761500"/>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276"/>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48D"/>
    <w:rsid w:val="0079497A"/>
    <w:rsid w:val="00795E88"/>
    <w:rsid w:val="0079609B"/>
    <w:rsid w:val="00796155"/>
    <w:rsid w:val="00796522"/>
    <w:rsid w:val="00796A59"/>
    <w:rsid w:val="00796B95"/>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1E5"/>
    <w:rsid w:val="007C05A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0D04"/>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1BE"/>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4AA0"/>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6722"/>
    <w:rsid w:val="008B6908"/>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4C5B"/>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C6D3C"/>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2AC5"/>
    <w:rsid w:val="009E3BC9"/>
    <w:rsid w:val="009E40F2"/>
    <w:rsid w:val="009E5207"/>
    <w:rsid w:val="009E65A1"/>
    <w:rsid w:val="009E66F7"/>
    <w:rsid w:val="009E6BC6"/>
    <w:rsid w:val="009E6DC2"/>
    <w:rsid w:val="009E7377"/>
    <w:rsid w:val="009E79AF"/>
    <w:rsid w:val="009F1929"/>
    <w:rsid w:val="009F256E"/>
    <w:rsid w:val="009F3A04"/>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6038"/>
    <w:rsid w:val="00A36A62"/>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0F25"/>
    <w:rsid w:val="00A61D78"/>
    <w:rsid w:val="00A62712"/>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5814"/>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104"/>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099"/>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940"/>
    <w:rsid w:val="00B33CA3"/>
    <w:rsid w:val="00B347E8"/>
    <w:rsid w:val="00B34A43"/>
    <w:rsid w:val="00B34E59"/>
    <w:rsid w:val="00B34FB1"/>
    <w:rsid w:val="00B35CC0"/>
    <w:rsid w:val="00B35F36"/>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74"/>
    <w:rsid w:val="00B614F8"/>
    <w:rsid w:val="00B617DB"/>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879A7"/>
    <w:rsid w:val="00B90FD9"/>
    <w:rsid w:val="00B90FDC"/>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A56"/>
    <w:rsid w:val="00BA4E07"/>
    <w:rsid w:val="00BA4FB5"/>
    <w:rsid w:val="00BA6D64"/>
    <w:rsid w:val="00BA6F0D"/>
    <w:rsid w:val="00BA74B8"/>
    <w:rsid w:val="00BA7518"/>
    <w:rsid w:val="00BB191A"/>
    <w:rsid w:val="00BB1DFA"/>
    <w:rsid w:val="00BB2D42"/>
    <w:rsid w:val="00BB3825"/>
    <w:rsid w:val="00BB399B"/>
    <w:rsid w:val="00BB4CBA"/>
    <w:rsid w:val="00BB4D55"/>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8D4"/>
    <w:rsid w:val="00BC6937"/>
    <w:rsid w:val="00BC6961"/>
    <w:rsid w:val="00BC6A13"/>
    <w:rsid w:val="00BC6C4E"/>
    <w:rsid w:val="00BC7343"/>
    <w:rsid w:val="00BC7455"/>
    <w:rsid w:val="00BD0E0B"/>
    <w:rsid w:val="00BD1669"/>
    <w:rsid w:val="00BD23C4"/>
    <w:rsid w:val="00BD279D"/>
    <w:rsid w:val="00BD2888"/>
    <w:rsid w:val="00BD36FB"/>
    <w:rsid w:val="00BD47F5"/>
    <w:rsid w:val="00BD5A05"/>
    <w:rsid w:val="00BD5AE8"/>
    <w:rsid w:val="00BD5E3C"/>
    <w:rsid w:val="00BD64F8"/>
    <w:rsid w:val="00BE0FD3"/>
    <w:rsid w:val="00BE12B5"/>
    <w:rsid w:val="00BE1367"/>
    <w:rsid w:val="00BE13C1"/>
    <w:rsid w:val="00BE1993"/>
    <w:rsid w:val="00BE2DAB"/>
    <w:rsid w:val="00BE3BE3"/>
    <w:rsid w:val="00BE4185"/>
    <w:rsid w:val="00BE41C9"/>
    <w:rsid w:val="00BE4CB3"/>
    <w:rsid w:val="00BE50CD"/>
    <w:rsid w:val="00BE51F2"/>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50CE"/>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617"/>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3CBD"/>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6E2F"/>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3AC6"/>
    <w:rsid w:val="00C8480D"/>
    <w:rsid w:val="00C84DC4"/>
    <w:rsid w:val="00C854A8"/>
    <w:rsid w:val="00C85755"/>
    <w:rsid w:val="00C85959"/>
    <w:rsid w:val="00C860CA"/>
    <w:rsid w:val="00C86789"/>
    <w:rsid w:val="00C86957"/>
    <w:rsid w:val="00C86B6B"/>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8AF"/>
    <w:rsid w:val="00D0592B"/>
    <w:rsid w:val="00D05F2A"/>
    <w:rsid w:val="00D10969"/>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4C60"/>
    <w:rsid w:val="00D35675"/>
    <w:rsid w:val="00D356F7"/>
    <w:rsid w:val="00D36AE5"/>
    <w:rsid w:val="00D36BF4"/>
    <w:rsid w:val="00D36DC4"/>
    <w:rsid w:val="00D37153"/>
    <w:rsid w:val="00D372C8"/>
    <w:rsid w:val="00D377E1"/>
    <w:rsid w:val="00D40292"/>
    <w:rsid w:val="00D4069E"/>
    <w:rsid w:val="00D40C3D"/>
    <w:rsid w:val="00D41368"/>
    <w:rsid w:val="00D413F6"/>
    <w:rsid w:val="00D414D6"/>
    <w:rsid w:val="00D41622"/>
    <w:rsid w:val="00D434B8"/>
    <w:rsid w:val="00D44893"/>
    <w:rsid w:val="00D44952"/>
    <w:rsid w:val="00D45097"/>
    <w:rsid w:val="00D47B5E"/>
    <w:rsid w:val="00D500FB"/>
    <w:rsid w:val="00D504D2"/>
    <w:rsid w:val="00D507C5"/>
    <w:rsid w:val="00D50E90"/>
    <w:rsid w:val="00D51DA3"/>
    <w:rsid w:val="00D5234E"/>
    <w:rsid w:val="00D52DEF"/>
    <w:rsid w:val="00D5491B"/>
    <w:rsid w:val="00D55157"/>
    <w:rsid w:val="00D5516B"/>
    <w:rsid w:val="00D55FF2"/>
    <w:rsid w:val="00D56017"/>
    <w:rsid w:val="00D575BD"/>
    <w:rsid w:val="00D57B7C"/>
    <w:rsid w:val="00D60117"/>
    <w:rsid w:val="00D60DA5"/>
    <w:rsid w:val="00D61CFF"/>
    <w:rsid w:val="00D61DC2"/>
    <w:rsid w:val="00D61E64"/>
    <w:rsid w:val="00D62FE6"/>
    <w:rsid w:val="00D6360C"/>
    <w:rsid w:val="00D63847"/>
    <w:rsid w:val="00D6435F"/>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11E4"/>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7A6"/>
    <w:rsid w:val="00E24D7C"/>
    <w:rsid w:val="00E25691"/>
    <w:rsid w:val="00E261C5"/>
    <w:rsid w:val="00E26A69"/>
    <w:rsid w:val="00E27387"/>
    <w:rsid w:val="00E27FE3"/>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159"/>
    <w:rsid w:val="00E54B20"/>
    <w:rsid w:val="00E54D81"/>
    <w:rsid w:val="00E55AA7"/>
    <w:rsid w:val="00E574B5"/>
    <w:rsid w:val="00E57526"/>
    <w:rsid w:val="00E57FDC"/>
    <w:rsid w:val="00E60DA9"/>
    <w:rsid w:val="00E61597"/>
    <w:rsid w:val="00E61854"/>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64F1"/>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3E1D"/>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1540"/>
    <w:rsid w:val="00F518BD"/>
    <w:rsid w:val="00F52D75"/>
    <w:rsid w:val="00F5374E"/>
    <w:rsid w:val="00F53831"/>
    <w:rsid w:val="00F538FE"/>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3383"/>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3CD0"/>
    <w:rsid w:val="00FA4654"/>
    <w:rsid w:val="00FA518B"/>
    <w:rsid w:val="00FA5242"/>
    <w:rsid w:val="00FA56C3"/>
    <w:rsid w:val="00FA5FA8"/>
    <w:rsid w:val="00FA62B3"/>
    <w:rsid w:val="00FA65A1"/>
    <w:rsid w:val="00FA69E5"/>
    <w:rsid w:val="00FA7DC8"/>
    <w:rsid w:val="00FB0094"/>
    <w:rsid w:val="00FB034B"/>
    <w:rsid w:val="00FB075F"/>
    <w:rsid w:val="00FB084E"/>
    <w:rsid w:val="00FB0EC4"/>
    <w:rsid w:val="00FB11EF"/>
    <w:rsid w:val="00FB1BB8"/>
    <w:rsid w:val="00FB1D85"/>
    <w:rsid w:val="00FB1E52"/>
    <w:rsid w:val="00FB2853"/>
    <w:rsid w:val="00FB3049"/>
    <w:rsid w:val="00FB30DB"/>
    <w:rsid w:val="00FB3128"/>
    <w:rsid w:val="00FB3177"/>
    <w:rsid w:val="00FB3C64"/>
    <w:rsid w:val="00FB3D40"/>
    <w:rsid w:val="00FB3FF4"/>
    <w:rsid w:val="00FB455E"/>
    <w:rsid w:val="00FB4E84"/>
    <w:rsid w:val="00FB575F"/>
    <w:rsid w:val="00FB659A"/>
    <w:rsid w:val="00FB71AD"/>
    <w:rsid w:val="00FB7F73"/>
    <w:rsid w:val="00FC078D"/>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51797747">
      <w:bodyDiv w:val="1"/>
      <w:marLeft w:val="0"/>
      <w:marRight w:val="0"/>
      <w:marTop w:val="0"/>
      <w:marBottom w:val="0"/>
      <w:divBdr>
        <w:top w:val="none" w:sz="0" w:space="0" w:color="auto"/>
        <w:left w:val="none" w:sz="0" w:space="0" w:color="auto"/>
        <w:bottom w:val="none" w:sz="0" w:space="0" w:color="auto"/>
        <w:right w:val="none" w:sz="0" w:space="0" w:color="auto"/>
      </w:divBdr>
      <w:divsChild>
        <w:div w:id="135875411">
          <w:marLeft w:val="547"/>
          <w:marRight w:val="0"/>
          <w:marTop w:val="96"/>
          <w:marBottom w:val="0"/>
          <w:divBdr>
            <w:top w:val="none" w:sz="0" w:space="0" w:color="auto"/>
            <w:left w:val="none" w:sz="0" w:space="0" w:color="auto"/>
            <w:bottom w:val="none" w:sz="0" w:space="0" w:color="auto"/>
            <w:right w:val="none" w:sz="0" w:space="0" w:color="auto"/>
          </w:divBdr>
        </w:div>
        <w:div w:id="2015525946">
          <w:marLeft w:val="1166"/>
          <w:marRight w:val="0"/>
          <w:marTop w:val="86"/>
          <w:marBottom w:val="0"/>
          <w:divBdr>
            <w:top w:val="none" w:sz="0" w:space="0" w:color="auto"/>
            <w:left w:val="none" w:sz="0" w:space="0" w:color="auto"/>
            <w:bottom w:val="none" w:sz="0" w:space="0" w:color="auto"/>
            <w:right w:val="none" w:sz="0" w:space="0" w:color="auto"/>
          </w:divBdr>
        </w:div>
        <w:div w:id="529804294">
          <w:marLeft w:val="1627"/>
          <w:marRight w:val="0"/>
          <w:marTop w:val="77"/>
          <w:marBottom w:val="0"/>
          <w:divBdr>
            <w:top w:val="none" w:sz="0" w:space="0" w:color="auto"/>
            <w:left w:val="none" w:sz="0" w:space="0" w:color="auto"/>
            <w:bottom w:val="none" w:sz="0" w:space="0" w:color="auto"/>
            <w:right w:val="none" w:sz="0" w:space="0" w:color="auto"/>
          </w:divBdr>
        </w:div>
        <w:div w:id="204634744">
          <w:marLeft w:val="2074"/>
          <w:marRight w:val="0"/>
          <w:marTop w:val="67"/>
          <w:marBottom w:val="0"/>
          <w:divBdr>
            <w:top w:val="none" w:sz="0" w:space="0" w:color="auto"/>
            <w:left w:val="none" w:sz="0" w:space="0" w:color="auto"/>
            <w:bottom w:val="none" w:sz="0" w:space="0" w:color="auto"/>
            <w:right w:val="none" w:sz="0" w:space="0" w:color="auto"/>
          </w:divBdr>
        </w:div>
        <w:div w:id="566838043">
          <w:marLeft w:val="2074"/>
          <w:marRight w:val="0"/>
          <w:marTop w:val="67"/>
          <w:marBottom w:val="0"/>
          <w:divBdr>
            <w:top w:val="none" w:sz="0" w:space="0" w:color="auto"/>
            <w:left w:val="none" w:sz="0" w:space="0" w:color="auto"/>
            <w:bottom w:val="none" w:sz="0" w:space="0" w:color="auto"/>
            <w:right w:val="none" w:sz="0" w:space="0" w:color="auto"/>
          </w:divBdr>
        </w:div>
        <w:div w:id="404568933">
          <w:marLeft w:val="1627"/>
          <w:marRight w:val="0"/>
          <w:marTop w:val="77"/>
          <w:marBottom w:val="0"/>
          <w:divBdr>
            <w:top w:val="none" w:sz="0" w:space="0" w:color="auto"/>
            <w:left w:val="none" w:sz="0" w:space="0" w:color="auto"/>
            <w:bottom w:val="none" w:sz="0" w:space="0" w:color="auto"/>
            <w:right w:val="none" w:sz="0" w:space="0" w:color="auto"/>
          </w:divBdr>
        </w:div>
      </w:divsChild>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sChild>
        <w:div w:id="1793669875">
          <w:marLeft w:val="547"/>
          <w:marRight w:val="0"/>
          <w:marTop w:val="96"/>
          <w:marBottom w:val="0"/>
          <w:divBdr>
            <w:top w:val="none" w:sz="0" w:space="0" w:color="auto"/>
            <w:left w:val="none" w:sz="0" w:space="0" w:color="auto"/>
            <w:bottom w:val="none" w:sz="0" w:space="0" w:color="auto"/>
            <w:right w:val="none" w:sz="0" w:space="0" w:color="auto"/>
          </w:divBdr>
        </w:div>
        <w:div w:id="770861573">
          <w:marLeft w:val="1166"/>
          <w:marRight w:val="0"/>
          <w:marTop w:val="86"/>
          <w:marBottom w:val="0"/>
          <w:divBdr>
            <w:top w:val="none" w:sz="0" w:space="0" w:color="auto"/>
            <w:left w:val="none" w:sz="0" w:space="0" w:color="auto"/>
            <w:bottom w:val="none" w:sz="0" w:space="0" w:color="auto"/>
            <w:right w:val="none" w:sz="0" w:space="0" w:color="auto"/>
          </w:divBdr>
        </w:div>
        <w:div w:id="250160161">
          <w:marLeft w:val="1166"/>
          <w:marRight w:val="0"/>
          <w:marTop w:val="86"/>
          <w:marBottom w:val="0"/>
          <w:divBdr>
            <w:top w:val="none" w:sz="0" w:space="0" w:color="auto"/>
            <w:left w:val="none" w:sz="0" w:space="0" w:color="auto"/>
            <w:bottom w:val="none" w:sz="0" w:space="0" w:color="auto"/>
            <w:right w:val="none" w:sz="0" w:space="0" w:color="auto"/>
          </w:divBdr>
        </w:div>
        <w:div w:id="44136421">
          <w:marLeft w:val="547"/>
          <w:marRight w:val="0"/>
          <w:marTop w:val="96"/>
          <w:marBottom w:val="0"/>
          <w:divBdr>
            <w:top w:val="none" w:sz="0" w:space="0" w:color="auto"/>
            <w:left w:val="none" w:sz="0" w:space="0" w:color="auto"/>
            <w:bottom w:val="none" w:sz="0" w:space="0" w:color="auto"/>
            <w:right w:val="none" w:sz="0" w:space="0" w:color="auto"/>
          </w:divBdr>
        </w:div>
        <w:div w:id="1323696396">
          <w:marLeft w:val="1166"/>
          <w:marRight w:val="0"/>
          <w:marTop w:val="86"/>
          <w:marBottom w:val="0"/>
          <w:divBdr>
            <w:top w:val="none" w:sz="0" w:space="0" w:color="auto"/>
            <w:left w:val="none" w:sz="0" w:space="0" w:color="auto"/>
            <w:bottom w:val="none" w:sz="0" w:space="0" w:color="auto"/>
            <w:right w:val="none" w:sz="0" w:space="0" w:color="auto"/>
          </w:divBdr>
        </w:div>
        <w:div w:id="1408382855">
          <w:marLeft w:val="1627"/>
          <w:marRight w:val="0"/>
          <w:marTop w:val="77"/>
          <w:marBottom w:val="0"/>
          <w:divBdr>
            <w:top w:val="none" w:sz="0" w:space="0" w:color="auto"/>
            <w:left w:val="none" w:sz="0" w:space="0" w:color="auto"/>
            <w:bottom w:val="none" w:sz="0" w:space="0" w:color="auto"/>
            <w:right w:val="none" w:sz="0" w:space="0" w:color="auto"/>
          </w:divBdr>
        </w:div>
        <w:div w:id="1431969657">
          <w:marLeft w:val="1166"/>
          <w:marRight w:val="0"/>
          <w:marTop w:val="86"/>
          <w:marBottom w:val="0"/>
          <w:divBdr>
            <w:top w:val="none" w:sz="0" w:space="0" w:color="auto"/>
            <w:left w:val="none" w:sz="0" w:space="0" w:color="auto"/>
            <w:bottom w:val="none" w:sz="0" w:space="0" w:color="auto"/>
            <w:right w:val="none" w:sz="0" w:space="0" w:color="auto"/>
          </w:divBdr>
        </w:div>
        <w:div w:id="931551036">
          <w:marLeft w:val="1627"/>
          <w:marRight w:val="0"/>
          <w:marTop w:val="77"/>
          <w:marBottom w:val="0"/>
          <w:divBdr>
            <w:top w:val="none" w:sz="0" w:space="0" w:color="auto"/>
            <w:left w:val="none" w:sz="0" w:space="0" w:color="auto"/>
            <w:bottom w:val="none" w:sz="0" w:space="0" w:color="auto"/>
            <w:right w:val="none" w:sz="0" w:space="0" w:color="auto"/>
          </w:divBdr>
        </w:div>
        <w:div w:id="1709455890">
          <w:marLeft w:val="1166"/>
          <w:marRight w:val="0"/>
          <w:marTop w:val="86"/>
          <w:marBottom w:val="0"/>
          <w:divBdr>
            <w:top w:val="none" w:sz="0" w:space="0" w:color="auto"/>
            <w:left w:val="none" w:sz="0" w:space="0" w:color="auto"/>
            <w:bottom w:val="none" w:sz="0" w:space="0" w:color="auto"/>
            <w:right w:val="none" w:sz="0" w:space="0" w:color="auto"/>
          </w:divBdr>
        </w:div>
      </w:divsChild>
    </w:div>
    <w:div w:id="1886792949">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0348961">
      <w:bodyDiv w:val="1"/>
      <w:marLeft w:val="0"/>
      <w:marRight w:val="0"/>
      <w:marTop w:val="0"/>
      <w:marBottom w:val="0"/>
      <w:divBdr>
        <w:top w:val="none" w:sz="0" w:space="0" w:color="auto"/>
        <w:left w:val="none" w:sz="0" w:space="0" w:color="auto"/>
        <w:bottom w:val="none" w:sz="0" w:space="0" w:color="auto"/>
        <w:right w:val="none" w:sz="0" w:space="0" w:color="auto"/>
      </w:divBdr>
      <w:divsChild>
        <w:div w:id="1169519995">
          <w:marLeft w:val="1080"/>
          <w:marRight w:val="0"/>
          <w:marTop w:val="100"/>
          <w:marBottom w:val="0"/>
          <w:divBdr>
            <w:top w:val="none" w:sz="0" w:space="0" w:color="auto"/>
            <w:left w:val="none" w:sz="0" w:space="0" w:color="auto"/>
            <w:bottom w:val="none" w:sz="0" w:space="0" w:color="auto"/>
            <w:right w:val="none" w:sz="0" w:space="0" w:color="auto"/>
          </w:divBdr>
        </w:div>
        <w:div w:id="455178215">
          <w:marLeft w:val="1800"/>
          <w:marRight w:val="0"/>
          <w:marTop w:val="100"/>
          <w:marBottom w:val="0"/>
          <w:divBdr>
            <w:top w:val="none" w:sz="0" w:space="0" w:color="auto"/>
            <w:left w:val="none" w:sz="0" w:space="0" w:color="auto"/>
            <w:bottom w:val="none" w:sz="0" w:space="0" w:color="auto"/>
            <w:right w:val="none" w:sz="0" w:space="0" w:color="auto"/>
          </w:divBdr>
        </w:div>
        <w:div w:id="23093164">
          <w:marLeft w:val="1080"/>
          <w:marRight w:val="0"/>
          <w:marTop w:val="100"/>
          <w:marBottom w:val="0"/>
          <w:divBdr>
            <w:top w:val="none" w:sz="0" w:space="0" w:color="auto"/>
            <w:left w:val="none" w:sz="0" w:space="0" w:color="auto"/>
            <w:bottom w:val="none" w:sz="0" w:space="0" w:color="auto"/>
            <w:right w:val="none" w:sz="0" w:space="0" w:color="auto"/>
          </w:divBdr>
        </w:div>
        <w:div w:id="494224405">
          <w:marLeft w:val="1800"/>
          <w:marRight w:val="0"/>
          <w:marTop w:val="100"/>
          <w:marBottom w:val="0"/>
          <w:divBdr>
            <w:top w:val="none" w:sz="0" w:space="0" w:color="auto"/>
            <w:left w:val="none" w:sz="0" w:space="0" w:color="auto"/>
            <w:bottom w:val="none" w:sz="0" w:space="0" w:color="auto"/>
            <w:right w:val="none" w:sz="0" w:space="0" w:color="auto"/>
          </w:divBdr>
        </w:div>
      </w:divsChild>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4.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ED24A2DB-C9C6-462B-BB4A-F3CEE2A99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2009-04-22T01:01:00Z</cp:lastPrinted>
  <dcterms:created xsi:type="dcterms:W3CDTF">2017-11-17T22:53:00Z</dcterms:created>
  <dcterms:modified xsi:type="dcterms:W3CDTF">2017-11-17T22:53:00Z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