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124C968F" w:rsidR="00380C19" w:rsidRPr="00E61854" w:rsidRDefault="00380C19" w:rsidP="00B762A7">
      <w:pPr>
        <w:widowControl w:val="0"/>
        <w:tabs>
          <w:tab w:val="right" w:pos="9639"/>
          <w:tab w:val="right" w:pos="13323"/>
        </w:tabs>
        <w:spacing w:after="0"/>
        <w:jc w:val="both"/>
        <w:rPr>
          <w:rFonts w:ascii="Arial" w:eastAsia="ＭＳ 明朝" w:hAnsi="Arial" w:cs="Arial"/>
          <w:b/>
          <w:noProof/>
          <w:sz w:val="24"/>
          <w:szCs w:val="24"/>
          <w:lang w:val="en-US" w:eastAsia="ja-JP"/>
        </w:rPr>
      </w:pPr>
      <w:bookmarkStart w:id="0" w:name="_Toc193024528"/>
      <w:r>
        <w:rPr>
          <w:rFonts w:ascii="Arial" w:hAnsi="Arial" w:cs="Arial"/>
          <w:b/>
          <w:noProof/>
          <w:sz w:val="24"/>
          <w:szCs w:val="24"/>
          <w:lang w:val="en-US"/>
        </w:rPr>
        <w:t>3GPP TSG-RAN WG4 RAN</w:t>
      </w:r>
      <w:r w:rsidR="0074435C">
        <w:rPr>
          <w:rFonts w:ascii="Arial" w:eastAsia="ＭＳ 明朝" w:hAnsi="Arial" w:cs="Arial" w:hint="eastAsia"/>
          <w:b/>
          <w:noProof/>
          <w:sz w:val="24"/>
          <w:szCs w:val="24"/>
          <w:lang w:val="en-US" w:eastAsia="ja-JP"/>
        </w:rPr>
        <w:t>#</w:t>
      </w:r>
      <w:r w:rsidR="0074435C">
        <w:rPr>
          <w:rFonts w:ascii="Arial" w:eastAsia="ＭＳ 明朝" w:hAnsi="Arial" w:cs="Arial"/>
          <w:b/>
          <w:noProof/>
          <w:sz w:val="24"/>
          <w:szCs w:val="24"/>
          <w:lang w:val="en-US" w:eastAsia="ja-JP"/>
        </w:rPr>
        <w:t>8</w:t>
      </w:r>
      <w:r w:rsidR="00A60F25">
        <w:rPr>
          <w:rFonts w:ascii="Arial" w:eastAsia="ＭＳ 明朝" w:hAnsi="Arial" w:cs="Arial"/>
          <w:b/>
          <w:noProof/>
          <w:sz w:val="24"/>
          <w:szCs w:val="24"/>
          <w:lang w:val="en-US" w:eastAsia="ja-JP"/>
        </w:rPr>
        <w:t>5</w:t>
      </w:r>
      <w:r w:rsidRPr="004B7E17">
        <w:rPr>
          <w:rFonts w:ascii="Arial" w:hAnsi="Arial" w:cs="Arial"/>
          <w:b/>
          <w:noProof/>
          <w:sz w:val="24"/>
          <w:szCs w:val="24"/>
          <w:lang w:val="en-US"/>
        </w:rPr>
        <w:tab/>
        <w:t>R4-1</w:t>
      </w:r>
      <w:r>
        <w:rPr>
          <w:rFonts w:ascii="Arial" w:hAnsi="Arial" w:cs="Arial"/>
          <w:b/>
          <w:noProof/>
          <w:sz w:val="24"/>
          <w:szCs w:val="24"/>
          <w:lang w:val="en-US"/>
        </w:rPr>
        <w:t>7</w:t>
      </w:r>
      <w:r w:rsidR="00E61854">
        <w:rPr>
          <w:rFonts w:ascii="Arial" w:eastAsia="ＭＳ 明朝" w:hAnsi="Arial" w:cs="Arial" w:hint="eastAsia"/>
          <w:b/>
          <w:noProof/>
          <w:sz w:val="24"/>
          <w:szCs w:val="24"/>
          <w:lang w:val="en-US" w:eastAsia="ja-JP"/>
        </w:rPr>
        <w:t>1</w:t>
      </w:r>
      <w:r w:rsidR="007D1F7C">
        <w:rPr>
          <w:rFonts w:ascii="Arial" w:eastAsia="ＭＳ 明朝" w:hAnsi="Arial" w:cs="Arial"/>
          <w:b/>
          <w:noProof/>
          <w:sz w:val="24"/>
          <w:szCs w:val="24"/>
          <w:lang w:val="en-US" w:eastAsia="ja-JP"/>
        </w:rPr>
        <w:t>2181</w:t>
      </w:r>
    </w:p>
    <w:p w14:paraId="2EC43E54" w14:textId="1BC57F0B" w:rsidR="00A32164" w:rsidRDefault="00A60F25" w:rsidP="00B762A7">
      <w:pPr>
        <w:pStyle w:val="Footer"/>
        <w:jc w:val="both"/>
        <w:rPr>
          <w:i w:val="0"/>
          <w:noProof w:val="0"/>
          <w:sz w:val="24"/>
          <w:szCs w:val="24"/>
          <w:lang w:eastAsia="ja-JP"/>
        </w:rPr>
      </w:pPr>
      <w:r>
        <w:rPr>
          <w:rFonts w:eastAsia="SimSun"/>
          <w:i w:val="0"/>
          <w:noProof w:val="0"/>
          <w:sz w:val="24"/>
          <w:szCs w:val="24"/>
          <w:lang w:eastAsia="zh-CN"/>
        </w:rPr>
        <w:t>Reno</w:t>
      </w:r>
      <w:r w:rsidR="00380C19">
        <w:rPr>
          <w:rFonts w:eastAsia="SimSun"/>
          <w:i w:val="0"/>
          <w:noProof w:val="0"/>
          <w:sz w:val="24"/>
          <w:szCs w:val="24"/>
          <w:lang w:eastAsia="zh-CN"/>
        </w:rPr>
        <w:t xml:space="preserve">, </w:t>
      </w:r>
      <w:r>
        <w:rPr>
          <w:rFonts w:eastAsia="SimSun"/>
          <w:i w:val="0"/>
          <w:noProof w:val="0"/>
          <w:sz w:val="24"/>
          <w:szCs w:val="24"/>
          <w:lang w:eastAsia="zh-CN"/>
        </w:rPr>
        <w:t>U.S.A</w:t>
      </w:r>
      <w:r w:rsidR="00380C19">
        <w:rPr>
          <w:i w:val="0"/>
          <w:noProof w:val="0"/>
          <w:sz w:val="24"/>
          <w:szCs w:val="24"/>
          <w:lang w:eastAsia="ja-JP"/>
        </w:rPr>
        <w:t xml:space="preserve">, </w:t>
      </w:r>
      <w:r>
        <w:rPr>
          <w:i w:val="0"/>
          <w:noProof w:val="0"/>
          <w:sz w:val="24"/>
          <w:szCs w:val="24"/>
          <w:lang w:eastAsia="ja-JP"/>
        </w:rPr>
        <w:t>Novem</w:t>
      </w:r>
      <w:r w:rsidR="00FB0094">
        <w:rPr>
          <w:i w:val="0"/>
          <w:noProof w:val="0"/>
          <w:sz w:val="24"/>
          <w:szCs w:val="24"/>
          <w:lang w:eastAsia="ja-JP"/>
        </w:rPr>
        <w:t>ber</w:t>
      </w:r>
      <w:r w:rsidR="00380C19">
        <w:rPr>
          <w:i w:val="0"/>
          <w:noProof w:val="0"/>
          <w:sz w:val="24"/>
          <w:szCs w:val="24"/>
          <w:lang w:eastAsia="ja-JP"/>
        </w:rPr>
        <w:t xml:space="preserve"> </w:t>
      </w:r>
      <w:r>
        <w:rPr>
          <w:i w:val="0"/>
          <w:noProof w:val="0"/>
          <w:sz w:val="24"/>
          <w:szCs w:val="24"/>
          <w:lang w:eastAsia="ja-JP"/>
        </w:rPr>
        <w:t>27</w:t>
      </w:r>
      <w:r w:rsidR="00FB0094" w:rsidRPr="00FB0094">
        <w:rPr>
          <w:i w:val="0"/>
          <w:noProof w:val="0"/>
          <w:sz w:val="24"/>
          <w:szCs w:val="24"/>
          <w:vertAlign w:val="superscript"/>
          <w:lang w:eastAsia="ja-JP"/>
        </w:rPr>
        <w:t>th</w:t>
      </w:r>
      <w:r w:rsidR="00380C19">
        <w:rPr>
          <w:i w:val="0"/>
          <w:noProof w:val="0"/>
          <w:sz w:val="24"/>
          <w:szCs w:val="24"/>
          <w:lang w:eastAsia="ja-JP"/>
        </w:rPr>
        <w:t>-</w:t>
      </w:r>
      <w:r>
        <w:rPr>
          <w:i w:val="0"/>
          <w:noProof w:val="0"/>
          <w:sz w:val="24"/>
          <w:szCs w:val="24"/>
          <w:lang w:eastAsia="ja-JP"/>
        </w:rPr>
        <w:t>December 1</w:t>
      </w:r>
      <w:r w:rsidRPr="00A60F25">
        <w:rPr>
          <w:i w:val="0"/>
          <w:noProof w:val="0"/>
          <w:sz w:val="24"/>
          <w:szCs w:val="24"/>
          <w:vertAlign w:val="superscript"/>
          <w:lang w:eastAsia="ja-JP"/>
        </w:rPr>
        <w:t>st</w:t>
      </w:r>
      <w:r w:rsidR="00380C19" w:rsidRPr="004B7E17">
        <w:rPr>
          <w:i w:val="0"/>
          <w:noProof w:val="0"/>
          <w:sz w:val="24"/>
          <w:szCs w:val="24"/>
          <w:lang w:eastAsia="ja-JP"/>
        </w:rPr>
        <w:t>, 201</w:t>
      </w:r>
      <w:r w:rsidR="00380C19">
        <w:rPr>
          <w:i w:val="0"/>
          <w:noProof w:val="0"/>
          <w:sz w:val="24"/>
          <w:szCs w:val="24"/>
          <w:lang w:eastAsia="ja-JP"/>
        </w:rPr>
        <w:t>7</w:t>
      </w:r>
    </w:p>
    <w:p w14:paraId="7363B36E" w14:textId="77777777" w:rsidR="00380C19" w:rsidRPr="00597238" w:rsidRDefault="00380C19" w:rsidP="00B762A7">
      <w:pPr>
        <w:pStyle w:val="Footer"/>
        <w:jc w:val="both"/>
        <w:rPr>
          <w:noProof w:val="0"/>
        </w:rPr>
      </w:pPr>
    </w:p>
    <w:p w14:paraId="3997F049" w14:textId="0D903412" w:rsidR="00A32164" w:rsidRPr="000A64D8" w:rsidRDefault="00A32164" w:rsidP="00800D04">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B0094">
        <w:rPr>
          <w:rFonts w:ascii="Arial" w:hAnsi="Arial"/>
          <w:sz w:val="24"/>
        </w:rPr>
        <w:t>9.3</w:t>
      </w:r>
      <w:r w:rsidR="00D356F7">
        <w:rPr>
          <w:rFonts w:ascii="Arial" w:hAnsi="Arial"/>
          <w:sz w:val="24"/>
        </w:rPr>
        <w:t>.</w:t>
      </w:r>
      <w:r w:rsidR="007D1F7C">
        <w:rPr>
          <w:rFonts w:ascii="Arial" w:hAnsi="Arial"/>
          <w:sz w:val="24"/>
        </w:rPr>
        <w:t>2</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48653838"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57269">
        <w:rPr>
          <w:rFonts w:ascii="Arial" w:hAnsi="Arial"/>
          <w:sz w:val="22"/>
        </w:rPr>
        <w:t>Synchronization Raster and Frequency Location Signalling in NR</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00194B82">
        <w:rPr>
          <w:rFonts w:ascii="Arial" w:hAnsi="Arial"/>
          <w:sz w:val="24"/>
        </w:rPr>
        <w:t>Approval</w:t>
      </w:r>
    </w:p>
    <w:p w14:paraId="317EE72E" w14:textId="77777777" w:rsidR="008817D4" w:rsidRPr="008817D4" w:rsidRDefault="008817D4" w:rsidP="00B762A7">
      <w:pPr>
        <w:pStyle w:val="Heading1"/>
        <w:overflowPunct w:val="0"/>
        <w:autoSpaceDE w:val="0"/>
        <w:autoSpaceDN w:val="0"/>
        <w:adjustRightInd w:val="0"/>
        <w:ind w:left="1134" w:hanging="1134"/>
        <w:jc w:val="both"/>
        <w:textAlignment w:val="baseline"/>
        <w:rPr>
          <w:rFonts w:eastAsia="SimSun"/>
          <w:sz w:val="36"/>
          <w:lang w:eastAsia="ja-JP"/>
        </w:rPr>
      </w:pPr>
      <w:bookmarkStart w:id="3"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3"/>
    </w:p>
    <w:p w14:paraId="0E883478" w14:textId="6A1C9134" w:rsidR="00BA6F0D" w:rsidRPr="00BA6F0D" w:rsidRDefault="0087783B" w:rsidP="0087783B">
      <w:pPr>
        <w:jc w:val="both"/>
        <w:rPr>
          <w:rFonts w:eastAsia="ＭＳ 明朝"/>
          <w:lang w:val="en-US" w:eastAsia="ja-JP"/>
        </w:rPr>
      </w:pPr>
      <w:r>
        <w:rPr>
          <w:rFonts w:eastAsia="ＭＳ 明朝" w:hint="eastAsia"/>
          <w:lang w:val="en-US" w:eastAsia="ja-JP"/>
        </w:rPr>
        <w:t>R</w:t>
      </w:r>
      <w:r>
        <w:rPr>
          <w:rFonts w:eastAsia="ＭＳ 明朝"/>
          <w:lang w:val="en-US" w:eastAsia="ja-JP"/>
        </w:rPr>
        <w:t>AN4 discussed the definition of the channel raster and synchronization raster in the last few meetings. The channel raster was agreed in [1],[2] and there is a general understand that a synchronization raster will be defined for each band. This synchronization raster will define the frequency positions where the SS block can be deployed. In this paper we discuss this definition and how this could be used for signaling of frequency locations.</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0F1C439A" w14:textId="5D710857" w:rsidR="00C57269" w:rsidRDefault="0087783B" w:rsidP="00912F01">
      <w:pPr>
        <w:jc w:val="both"/>
        <w:rPr>
          <w:rFonts w:eastAsia="ＭＳ 明朝"/>
          <w:lang w:val="en-US" w:eastAsia="ja-JP"/>
        </w:rPr>
      </w:pPr>
      <w:r>
        <w:rPr>
          <w:rFonts w:eastAsia="ＭＳ 明朝" w:hint="eastAsia"/>
          <w:lang w:val="en-US" w:eastAsia="ja-JP"/>
        </w:rPr>
        <w:t>T</w:t>
      </w:r>
      <w:r>
        <w:rPr>
          <w:rFonts w:eastAsia="ＭＳ 明朝"/>
          <w:lang w:val="en-US" w:eastAsia="ja-JP"/>
        </w:rPr>
        <w:t>he channel raster definition was agreed in [1], [2]. Apart from the channel raster, RAN4 will have to define a synchronization raster which will describe the frequency locations in which SS blocks can be placed for initial system acquisition. This synchronization raster will have fixed frequency locations for the SS block in each band and will be hard coded in the specifications.</w:t>
      </w:r>
      <w:r w:rsidR="00912F01">
        <w:rPr>
          <w:rFonts w:eastAsia="ＭＳ 明朝"/>
          <w:lang w:val="en-US" w:eastAsia="ja-JP"/>
        </w:rPr>
        <w:t xml:space="preserve"> For each possible channel frequency position there will be at least one entry in the sync raster that allows the deployment of an SS block to be used within the channel. Hence, for any channel there will be at least one sync raster entry that is subcarrier aligned(on the same subcarrier grid) with the channel. The actual synchronization raster entries are discussed in [</w:t>
      </w:r>
      <w:r w:rsidR="00ED2B03">
        <w:rPr>
          <w:rFonts w:eastAsia="ＭＳ 明朝"/>
          <w:lang w:val="en-US" w:eastAsia="ja-JP"/>
        </w:rPr>
        <w:t>3</w:t>
      </w:r>
      <w:r w:rsidR="00912F01">
        <w:rPr>
          <w:rFonts w:eastAsia="ＭＳ 明朝"/>
          <w:lang w:val="en-US" w:eastAsia="ja-JP"/>
        </w:rPr>
        <w:t>]</w:t>
      </w:r>
    </w:p>
    <w:p w14:paraId="730E0E10" w14:textId="0B5CEE36" w:rsidR="00912F01" w:rsidRPr="00912F01" w:rsidRDefault="00912F01" w:rsidP="00912F01">
      <w:pPr>
        <w:jc w:val="both"/>
        <w:rPr>
          <w:rFonts w:eastAsia="ＭＳ 明朝"/>
          <w:b/>
          <w:lang w:val="en-US" w:eastAsia="ja-JP"/>
        </w:rPr>
      </w:pPr>
      <w:r w:rsidRPr="00912F01">
        <w:rPr>
          <w:rFonts w:eastAsia="ＭＳ 明朝"/>
          <w:b/>
          <w:lang w:val="en-US" w:eastAsia="ja-JP"/>
        </w:rPr>
        <w:t>Observation 1. The synchronization raster will have fixed frequency locations for the SS block in each band and will be hard coded in the specifications.</w:t>
      </w:r>
    </w:p>
    <w:p w14:paraId="46302C7F" w14:textId="77777777" w:rsidR="00106558" w:rsidRPr="00912F01" w:rsidRDefault="00106558" w:rsidP="00106558">
      <w:pPr>
        <w:jc w:val="both"/>
        <w:rPr>
          <w:rFonts w:eastAsia="ＭＳ 明朝"/>
          <w:b/>
          <w:lang w:val="en-US" w:eastAsia="ja-JP"/>
        </w:rPr>
      </w:pPr>
      <w:r w:rsidRPr="00912F01">
        <w:rPr>
          <w:rFonts w:eastAsia="ＭＳ 明朝"/>
          <w:b/>
          <w:lang w:val="en-US" w:eastAsia="ja-JP"/>
        </w:rPr>
        <w:t>Observation 2. For any channel there will be at least one sync raster entry that is subcarrier aligned(on the same subcarrier grid) with the channel.</w:t>
      </w:r>
    </w:p>
    <w:p w14:paraId="4C0F853D" w14:textId="005785AE" w:rsidR="009B1E86" w:rsidRDefault="00912F01" w:rsidP="005B25F1">
      <w:pPr>
        <w:jc w:val="both"/>
        <w:rPr>
          <w:rFonts w:eastAsia="ＭＳ 明朝"/>
          <w:lang w:val="en-US" w:eastAsia="ja-JP"/>
        </w:rPr>
      </w:pPr>
      <w:r>
        <w:rPr>
          <w:rFonts w:eastAsia="ＭＳ 明朝"/>
          <w:lang w:val="en-US" w:eastAsia="ja-JP"/>
        </w:rPr>
        <w:t>It should be noted that the number of s</w:t>
      </w:r>
      <w:r w:rsidR="009B1E86">
        <w:rPr>
          <w:rFonts w:eastAsia="ＭＳ 明朝"/>
          <w:lang w:val="en-US" w:eastAsia="ja-JP"/>
        </w:rPr>
        <w:t xml:space="preserve">ync raster entries will be much less than </w:t>
      </w:r>
      <w:r>
        <w:rPr>
          <w:rFonts w:eastAsia="ＭＳ 明朝"/>
          <w:lang w:val="en-US" w:eastAsia="ja-JP"/>
        </w:rPr>
        <w:t xml:space="preserve">those of the </w:t>
      </w:r>
      <w:r w:rsidR="009B1E86">
        <w:rPr>
          <w:rFonts w:eastAsia="ＭＳ 明朝"/>
          <w:lang w:val="en-US" w:eastAsia="ja-JP"/>
        </w:rPr>
        <w:t xml:space="preserve">channel raster entries, especially for bands with subcarrier based raster. </w:t>
      </w:r>
    </w:p>
    <w:p w14:paraId="4B9FEA37" w14:textId="557BA6BA" w:rsidR="00912F01" w:rsidRDefault="00912F01" w:rsidP="005B25F1">
      <w:pPr>
        <w:jc w:val="both"/>
        <w:rPr>
          <w:rFonts w:eastAsia="ＭＳ 明朝"/>
          <w:lang w:val="en-US" w:eastAsia="ja-JP"/>
        </w:rPr>
      </w:pPr>
      <w:r>
        <w:rPr>
          <w:rFonts w:eastAsia="ＭＳ 明朝" w:hint="eastAsia"/>
          <w:lang w:val="en-US" w:eastAsia="ja-JP"/>
        </w:rPr>
        <w:t>I</w:t>
      </w:r>
      <w:r>
        <w:rPr>
          <w:rFonts w:eastAsia="ＭＳ 明朝"/>
          <w:lang w:val="en-US" w:eastAsia="ja-JP"/>
        </w:rPr>
        <w:t xml:space="preserve">n any RAT there is a need to signal frequency locations to the UE(e.g. EARFCN in LTE) to indicate the location of cells to be configured(e.g. SCells), configure measurement objects, etc. In LTE such signaling was based on EARFCN, however, in NR it might not be straightforward to use the </w:t>
      </w:r>
      <w:r w:rsidR="00ED2B03">
        <w:rPr>
          <w:rFonts w:eastAsia="ＭＳ 明朝"/>
          <w:lang w:val="en-US" w:eastAsia="ja-JP"/>
        </w:rPr>
        <w:t>channel raster entries for this. The number of channel raster entries will be very large and the channel raster does not point to the position of any arbitrary subcarrier in all cases(e.g. in bands with 100kHz raster, the raster can not point to any subcarrier). In order to optimize the sync raster definition, the SS block positions will likely not be on 100kHz multiples in bands using the 100kHz raster [3].</w:t>
      </w:r>
    </w:p>
    <w:p w14:paraId="42EC3FB7" w14:textId="537089B1" w:rsidR="00ED2B03" w:rsidRDefault="009B1E86" w:rsidP="005B25F1">
      <w:pPr>
        <w:jc w:val="both"/>
        <w:rPr>
          <w:rFonts w:eastAsia="ＭＳ 明朝"/>
          <w:lang w:val="en-US" w:eastAsia="ja-JP"/>
        </w:rPr>
      </w:pPr>
      <w:r>
        <w:rPr>
          <w:rFonts w:eastAsia="ＭＳ 明朝"/>
          <w:lang w:val="en-US" w:eastAsia="ja-JP"/>
        </w:rPr>
        <w:t xml:space="preserve">Signaling </w:t>
      </w:r>
      <w:r w:rsidR="00ED2B03">
        <w:rPr>
          <w:rFonts w:eastAsia="ＭＳ 明朝"/>
          <w:lang w:val="en-US" w:eastAsia="ja-JP"/>
        </w:rPr>
        <w:t xml:space="preserve">subcarrier positions relative to the sync raster could be the most straightforward mechanism to address any possible subcarrier position considering observation 2. Consequently, sync raster positions should be uniquely numbered like EARFCN in LTE. Any UE that supports a certain frequency range would understand such signaling so there would be no forward compatibility issues. </w:t>
      </w:r>
    </w:p>
    <w:p w14:paraId="1F5F23B8" w14:textId="7936D80C" w:rsidR="00ED2B03" w:rsidRPr="00106558" w:rsidRDefault="00ED2B03" w:rsidP="005B25F1">
      <w:pPr>
        <w:jc w:val="both"/>
        <w:rPr>
          <w:rFonts w:eastAsia="ＭＳ 明朝"/>
          <w:b/>
          <w:lang w:val="en-US" w:eastAsia="ja-JP"/>
        </w:rPr>
      </w:pPr>
      <w:r w:rsidRPr="00106558">
        <w:rPr>
          <w:rFonts w:eastAsia="ＭＳ 明朝"/>
          <w:b/>
          <w:lang w:val="en-US" w:eastAsia="ja-JP"/>
        </w:rPr>
        <w:t>Proposal 1. Sync raster entries should be assigned unique numbers similar to EARFCN in LTE.</w:t>
      </w:r>
    </w:p>
    <w:p w14:paraId="6EB7DF03" w14:textId="77777777" w:rsidR="00ED2B03" w:rsidRDefault="00ED2B03" w:rsidP="005B25F1">
      <w:pPr>
        <w:jc w:val="both"/>
        <w:rPr>
          <w:rFonts w:eastAsia="ＭＳ 明朝"/>
          <w:lang w:val="en-US" w:eastAsia="ja-JP"/>
        </w:rPr>
      </w:pPr>
      <w:r>
        <w:rPr>
          <w:rFonts w:eastAsia="ＭＳ 明朝" w:hint="eastAsia"/>
          <w:lang w:val="en-US" w:eastAsia="ja-JP"/>
        </w:rPr>
        <w:t>U</w:t>
      </w:r>
      <w:r>
        <w:rPr>
          <w:rFonts w:eastAsia="ＭＳ 明朝"/>
          <w:lang w:val="en-US" w:eastAsia="ja-JP"/>
        </w:rPr>
        <w:t xml:space="preserve">ltimately, the signaling details will be up to RAN2 to decide, however, RAN4 should send an LS to RAN2 informing about the definition of the sync raster and the possibility of using the sync raster entries as reference points for signaling of frequency locations. </w:t>
      </w:r>
    </w:p>
    <w:p w14:paraId="0B6F7886" w14:textId="2A5A73D6" w:rsidR="00ED2B03" w:rsidRDefault="008402C6" w:rsidP="005B25F1">
      <w:pPr>
        <w:jc w:val="both"/>
        <w:rPr>
          <w:rFonts w:eastAsia="ＭＳ 明朝"/>
          <w:lang w:val="en-US" w:eastAsia="ja-JP"/>
        </w:rPr>
      </w:pPr>
      <w:r>
        <w:rPr>
          <w:rFonts w:eastAsia="ＭＳ 明朝"/>
          <w:lang w:val="en-US" w:eastAsia="ja-JP"/>
        </w:rPr>
        <w:t xml:space="preserve">Using sync locations together with an offset in subcarrier(or RB) increments enables the network to signal any parameter related to frequency locations. For example, this could be used to describe the reference point where subcarrier 0 is aligned among numerologies as introduced in [4]. The center location of a SCell or BWP can also be described through this mechanism. </w:t>
      </w:r>
      <w:r w:rsidR="00ED2B03">
        <w:rPr>
          <w:rFonts w:eastAsia="ＭＳ 明朝"/>
          <w:lang w:val="en-US" w:eastAsia="ja-JP"/>
        </w:rPr>
        <w:t xml:space="preserve"> </w:t>
      </w:r>
    </w:p>
    <w:p w14:paraId="480B2DC9" w14:textId="3B371B5D" w:rsidR="00ED2B03" w:rsidRPr="00106558" w:rsidRDefault="00ED2B03" w:rsidP="005B25F1">
      <w:pPr>
        <w:jc w:val="both"/>
        <w:rPr>
          <w:rFonts w:eastAsia="ＭＳ 明朝"/>
          <w:b/>
          <w:lang w:val="en-US" w:eastAsia="ja-JP"/>
        </w:rPr>
      </w:pPr>
      <w:r w:rsidRPr="00106558">
        <w:rPr>
          <w:rFonts w:eastAsia="ＭＳ 明朝"/>
          <w:b/>
          <w:lang w:val="en-US" w:eastAsia="ja-JP"/>
        </w:rPr>
        <w:lastRenderedPageBreak/>
        <w:t>Proposal 2.</w:t>
      </w:r>
      <w:r w:rsidR="00106558" w:rsidRPr="00106558">
        <w:rPr>
          <w:rFonts w:eastAsia="ＭＳ 明朝"/>
          <w:b/>
          <w:lang w:val="en-US" w:eastAsia="ja-JP"/>
        </w:rPr>
        <w:t xml:space="preserve"> Send an LS to RAN2 to inform about the sync raster definition and the fact that this enables the signaling of the position of any subcarrier location within any NR channel.</w:t>
      </w:r>
      <w:r w:rsidRPr="00106558">
        <w:rPr>
          <w:rFonts w:eastAsia="ＭＳ 明朝"/>
          <w:b/>
          <w:lang w:val="en-US" w:eastAsia="ja-JP"/>
        </w:rPr>
        <w:t xml:space="preserve"> </w:t>
      </w:r>
    </w:p>
    <w:p w14:paraId="7DF5299C" w14:textId="53FD9211" w:rsidR="009B1E86" w:rsidRDefault="00106558" w:rsidP="005B25F1">
      <w:pPr>
        <w:jc w:val="both"/>
        <w:rPr>
          <w:rFonts w:eastAsia="ＭＳ 明朝"/>
          <w:lang w:val="en-US" w:eastAsia="ja-JP"/>
        </w:rPr>
      </w:pPr>
      <w:r>
        <w:rPr>
          <w:rFonts w:eastAsia="ＭＳ 明朝" w:hint="eastAsia"/>
          <w:lang w:val="en-US" w:eastAsia="ja-JP"/>
        </w:rPr>
        <w:t>I</w:t>
      </w:r>
      <w:r>
        <w:rPr>
          <w:rFonts w:eastAsia="ＭＳ 明朝"/>
          <w:lang w:val="en-US" w:eastAsia="ja-JP"/>
        </w:rPr>
        <w:t xml:space="preserve">f such signaling mechanism is agreed, it is likely that numbering of the </w:t>
      </w:r>
      <w:r w:rsidR="009B1E86">
        <w:rPr>
          <w:rFonts w:eastAsia="ＭＳ 明朝"/>
          <w:lang w:val="en-US" w:eastAsia="ja-JP"/>
        </w:rPr>
        <w:t>channel raster position</w:t>
      </w:r>
      <w:r>
        <w:rPr>
          <w:rFonts w:eastAsia="ＭＳ 明朝"/>
          <w:lang w:val="en-US" w:eastAsia="ja-JP"/>
        </w:rPr>
        <w:t>s</w:t>
      </w:r>
      <w:r w:rsidR="009B1E86">
        <w:rPr>
          <w:rFonts w:eastAsia="ＭＳ 明朝"/>
          <w:lang w:val="en-US" w:eastAsia="ja-JP"/>
        </w:rPr>
        <w:t xml:space="preserve"> </w:t>
      </w:r>
      <w:r>
        <w:rPr>
          <w:rFonts w:eastAsia="ＭＳ 明朝"/>
          <w:lang w:val="en-US" w:eastAsia="ja-JP"/>
        </w:rPr>
        <w:t>is not needed</w:t>
      </w:r>
      <w:r w:rsidR="009B1E86">
        <w:rPr>
          <w:rFonts w:eastAsia="ＭＳ 明朝"/>
          <w:lang w:val="en-US" w:eastAsia="ja-JP"/>
        </w:rPr>
        <w:t xml:space="preserve"> anymore.</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25AB89B8" w14:textId="5D3B6C4A" w:rsidR="0032565D" w:rsidRDefault="00106558" w:rsidP="0032565D">
      <w:pPr>
        <w:jc w:val="both"/>
        <w:rPr>
          <w:rFonts w:eastAsia="ＭＳ 明朝"/>
          <w:lang w:val="en-US" w:eastAsia="ja-JP"/>
        </w:rPr>
      </w:pPr>
      <w:r>
        <w:rPr>
          <w:rFonts w:eastAsia="ＭＳ 明朝"/>
          <w:lang w:val="en-US" w:eastAsia="ja-JP"/>
        </w:rPr>
        <w:t>In this paper we discuss the high level definition of the NR synchronization raster and how this could be used for signaling of frequency locations. We made the following observations and proposals:</w:t>
      </w:r>
    </w:p>
    <w:p w14:paraId="6DBBAF8A" w14:textId="77777777" w:rsidR="00106558" w:rsidRPr="00912F01" w:rsidRDefault="00106558" w:rsidP="00106558">
      <w:pPr>
        <w:jc w:val="both"/>
        <w:rPr>
          <w:rFonts w:eastAsia="ＭＳ 明朝"/>
          <w:b/>
          <w:lang w:val="en-US" w:eastAsia="ja-JP"/>
        </w:rPr>
      </w:pPr>
      <w:r w:rsidRPr="00912F01">
        <w:rPr>
          <w:rFonts w:eastAsia="ＭＳ 明朝"/>
          <w:b/>
          <w:lang w:val="en-US" w:eastAsia="ja-JP"/>
        </w:rPr>
        <w:t>Observation 1. The synchronization raster will have fixed frequency locations for the SS block in each band and will be hard coded in the specifications.</w:t>
      </w:r>
    </w:p>
    <w:p w14:paraId="4BB63B68" w14:textId="2E584527" w:rsidR="00106558" w:rsidRPr="00106558" w:rsidRDefault="00106558" w:rsidP="0032565D">
      <w:pPr>
        <w:jc w:val="both"/>
        <w:rPr>
          <w:rFonts w:eastAsia="ＭＳ 明朝"/>
          <w:lang w:val="en-US" w:eastAsia="ja-JP"/>
        </w:rPr>
      </w:pPr>
      <w:r w:rsidRPr="00106558">
        <w:rPr>
          <w:rFonts w:eastAsia="ＭＳ 明朝"/>
          <w:b/>
          <w:lang w:val="en-US" w:eastAsia="ja-JP"/>
        </w:rPr>
        <w:t>Proposal 1. Sync raster entries should be assigned unique numbers similar to EARFCN in LTE.</w:t>
      </w:r>
    </w:p>
    <w:p w14:paraId="7978B356" w14:textId="536D755B" w:rsidR="00106558" w:rsidRPr="00106558" w:rsidRDefault="00106558" w:rsidP="0032565D">
      <w:pPr>
        <w:jc w:val="both"/>
        <w:rPr>
          <w:rFonts w:eastAsia="ＭＳ 明朝"/>
          <w:lang w:val="en-US" w:eastAsia="ja-JP"/>
        </w:rPr>
      </w:pPr>
      <w:r w:rsidRPr="00106558">
        <w:rPr>
          <w:rFonts w:eastAsia="ＭＳ 明朝"/>
          <w:b/>
          <w:lang w:val="en-US" w:eastAsia="ja-JP"/>
        </w:rPr>
        <w:t xml:space="preserve">Proposal 2. Send an LS to RAN2 to inform about the sync raster definition and the fact that this enables the signaling of the position of any subcarrier location within any NR channel. </w:t>
      </w:r>
      <w:bookmarkStart w:id="4" w:name="_GoBack"/>
      <w:bookmarkEnd w:id="4"/>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105264A8" w14:textId="77777777" w:rsidR="0087783B" w:rsidRPr="006265D2" w:rsidRDefault="0087783B" w:rsidP="0087783B">
      <w:pPr>
        <w:numPr>
          <w:ilvl w:val="0"/>
          <w:numId w:val="10"/>
        </w:numPr>
        <w:overflowPunct w:val="0"/>
        <w:autoSpaceDE w:val="0"/>
        <w:autoSpaceDN w:val="0"/>
        <w:adjustRightInd w:val="0"/>
        <w:jc w:val="both"/>
        <w:rPr>
          <w:rFonts w:eastAsia="ＭＳ 明朝"/>
          <w:lang w:val="en-US" w:eastAsia="ja-JP"/>
        </w:rPr>
      </w:pPr>
      <w:bookmarkStart w:id="5" w:name="_Ref446333722"/>
      <w:bookmarkStart w:id="6" w:name="_Ref458067121"/>
      <w:bookmarkStart w:id="7" w:name="_Ref458093355"/>
      <w:bookmarkStart w:id="8" w:name="_Ref462751848"/>
      <w:bookmarkStart w:id="9" w:name="_Ref462859211"/>
      <w:bookmarkStart w:id="10" w:name="_Ref465804674"/>
      <w:bookmarkStart w:id="11" w:name="_Ref470435289"/>
      <w:r w:rsidRPr="006265D2">
        <w:rPr>
          <w:rFonts w:eastAsia="ＭＳ 明朝" w:hint="eastAsia"/>
          <w:lang w:eastAsia="ja-JP"/>
        </w:rPr>
        <w:t>R4-1</w:t>
      </w:r>
      <w:r w:rsidRPr="006265D2">
        <w:rPr>
          <w:rFonts w:eastAsia="ＭＳ 明朝"/>
          <w:lang w:eastAsia="ja-JP"/>
        </w:rPr>
        <w:t>708850</w:t>
      </w:r>
      <w:r w:rsidRPr="006265D2">
        <w:rPr>
          <w:rFonts w:eastAsia="ＭＳ 明朝" w:hint="eastAsia"/>
          <w:lang w:eastAsia="ja-JP"/>
        </w:rPr>
        <w:t xml:space="preserve">, </w:t>
      </w:r>
      <w:r w:rsidRPr="006265D2">
        <w:rPr>
          <w:rFonts w:eastAsia="ＭＳ 明朝"/>
          <w:lang w:eastAsia="ja-JP"/>
        </w:rPr>
        <w:t>“WF on Channel Raster for NR</w:t>
      </w:r>
      <w:r w:rsidRPr="006265D2">
        <w:rPr>
          <w:rFonts w:eastAsia="ＭＳ 明朝"/>
          <w:lang w:val="de-DE" w:eastAsia="ja-JP"/>
        </w:rPr>
        <w:t xml:space="preserve">“, </w:t>
      </w:r>
      <w:r w:rsidRPr="006265D2">
        <w:rPr>
          <w:rFonts w:eastAsia="ＭＳ 明朝"/>
          <w:lang w:val="en-US" w:eastAsia="ja-JP"/>
        </w:rPr>
        <w:t>Qualcomm Incorporated et al.</w:t>
      </w:r>
      <w:r w:rsidRPr="006265D2">
        <w:rPr>
          <w:rFonts w:eastAsia="ＭＳ 明朝"/>
          <w:lang w:val="de-DE" w:eastAsia="ja-JP"/>
        </w:rPr>
        <w:t xml:space="preserve"> </w:t>
      </w:r>
    </w:p>
    <w:p w14:paraId="43EC32A2" w14:textId="77777777" w:rsidR="0087783B" w:rsidRPr="00AD5814" w:rsidRDefault="0087783B" w:rsidP="0087783B">
      <w:pPr>
        <w:numPr>
          <w:ilvl w:val="0"/>
          <w:numId w:val="10"/>
        </w:numPr>
        <w:overflowPunct w:val="0"/>
        <w:autoSpaceDE w:val="0"/>
        <w:autoSpaceDN w:val="0"/>
        <w:adjustRightInd w:val="0"/>
        <w:jc w:val="both"/>
        <w:textAlignment w:val="baseline"/>
      </w:pPr>
      <w:r>
        <w:rPr>
          <w:rFonts w:eastAsia="ＭＳ 明朝" w:hint="eastAsia"/>
          <w:lang w:eastAsia="ja-JP"/>
        </w:rPr>
        <w:t>R4-17</w:t>
      </w:r>
      <w:r>
        <w:rPr>
          <w:rFonts w:eastAsia="ＭＳ 明朝"/>
          <w:lang w:eastAsia="ja-JP"/>
        </w:rPr>
        <w:t>11975</w:t>
      </w:r>
      <w:r>
        <w:rPr>
          <w:rFonts w:eastAsia="ＭＳ 明朝" w:hint="eastAsia"/>
          <w:lang w:eastAsia="ja-JP"/>
        </w:rPr>
        <w:t xml:space="preserve">, </w:t>
      </w:r>
      <w:r>
        <w:rPr>
          <w:rFonts w:eastAsia="ＭＳ 明朝"/>
          <w:lang w:eastAsia="ja-JP"/>
        </w:rPr>
        <w:t>“</w:t>
      </w:r>
      <w:r w:rsidRPr="006265D2">
        <w:rPr>
          <w:rFonts w:eastAsia="ＭＳ 明朝"/>
          <w:lang w:eastAsia="ja-JP"/>
        </w:rPr>
        <w:t>WF on Channel Raster for NR</w:t>
      </w:r>
      <w:r>
        <w:rPr>
          <w:rFonts w:eastAsia="ＭＳ 明朝"/>
          <w:lang w:eastAsia="ja-JP"/>
        </w:rPr>
        <w:t>”, Qualcomm Incorporated, Ericsson, Nokia</w:t>
      </w:r>
    </w:p>
    <w:p w14:paraId="38561DC9" w14:textId="31A4D3A7" w:rsidR="0087783B" w:rsidRDefault="008402C6" w:rsidP="00AA6E2E">
      <w:pPr>
        <w:numPr>
          <w:ilvl w:val="0"/>
          <w:numId w:val="10"/>
        </w:numPr>
        <w:overflowPunct w:val="0"/>
        <w:autoSpaceDE w:val="0"/>
        <w:autoSpaceDN w:val="0"/>
        <w:adjustRightInd w:val="0"/>
        <w:jc w:val="both"/>
        <w:rPr>
          <w:rFonts w:eastAsia="ＭＳ 明朝"/>
          <w:lang w:val="en-US" w:eastAsia="ja-JP"/>
        </w:rPr>
      </w:pPr>
      <w:r>
        <w:rPr>
          <w:rFonts w:eastAsia="ＭＳ 明朝" w:hint="eastAsia"/>
          <w:lang w:val="en-US" w:eastAsia="ja-JP"/>
        </w:rPr>
        <w:t>R</w:t>
      </w:r>
      <w:r>
        <w:rPr>
          <w:rFonts w:eastAsia="ＭＳ 明朝"/>
          <w:lang w:val="en-US" w:eastAsia="ja-JP"/>
        </w:rPr>
        <w:t>4-171</w:t>
      </w:r>
      <w:r w:rsidR="001B0B12">
        <w:rPr>
          <w:rFonts w:eastAsia="ＭＳ 明朝"/>
          <w:lang w:val="en-US" w:eastAsia="ja-JP"/>
        </w:rPr>
        <w:t>2184</w:t>
      </w:r>
      <w:r>
        <w:rPr>
          <w:rFonts w:eastAsia="ＭＳ 明朝"/>
          <w:lang w:val="en-US" w:eastAsia="ja-JP"/>
        </w:rPr>
        <w:t>, “Synchronization Raster Entries for NR”, Qualcomm Incorporated</w:t>
      </w:r>
    </w:p>
    <w:p w14:paraId="3ABEB6EB" w14:textId="25F33416" w:rsidR="00106558" w:rsidRPr="0087783B" w:rsidRDefault="00106558" w:rsidP="00106558">
      <w:pPr>
        <w:numPr>
          <w:ilvl w:val="0"/>
          <w:numId w:val="10"/>
        </w:numPr>
        <w:overflowPunct w:val="0"/>
        <w:autoSpaceDE w:val="0"/>
        <w:autoSpaceDN w:val="0"/>
        <w:adjustRightInd w:val="0"/>
        <w:jc w:val="both"/>
        <w:rPr>
          <w:rFonts w:eastAsia="ＭＳ 明朝"/>
          <w:lang w:val="en-US" w:eastAsia="ja-JP"/>
        </w:rPr>
      </w:pPr>
      <w:r>
        <w:rPr>
          <w:rFonts w:eastAsia="ＭＳ 明朝" w:hint="eastAsia"/>
          <w:lang w:val="en-US" w:eastAsia="ja-JP"/>
        </w:rPr>
        <w:t>R</w:t>
      </w:r>
      <w:r>
        <w:rPr>
          <w:rFonts w:eastAsia="ＭＳ 明朝"/>
          <w:lang w:val="en-US" w:eastAsia="ja-JP"/>
        </w:rPr>
        <w:t>4-171</w:t>
      </w:r>
      <w:r w:rsidR="001B0B12">
        <w:rPr>
          <w:rFonts w:eastAsia="ＭＳ 明朝"/>
          <w:lang w:val="en-US" w:eastAsia="ja-JP"/>
        </w:rPr>
        <w:t>2180</w:t>
      </w:r>
      <w:r>
        <w:rPr>
          <w:rFonts w:eastAsia="ＭＳ 明朝"/>
          <w:lang w:val="en-US" w:eastAsia="ja-JP"/>
        </w:rPr>
        <w:t>, “</w:t>
      </w:r>
      <w:r w:rsidRPr="00106558">
        <w:rPr>
          <w:rFonts w:eastAsia="ＭＳ 明朝"/>
          <w:lang w:val="en-US" w:eastAsia="ja-JP"/>
        </w:rPr>
        <w:t>RB Alignment in NR</w:t>
      </w:r>
      <w:r>
        <w:rPr>
          <w:rFonts w:eastAsia="ＭＳ 明朝"/>
          <w:lang w:val="en-US" w:eastAsia="ja-JP"/>
        </w:rPr>
        <w:t>”, Qualcomm Incorporated</w:t>
      </w:r>
      <w:bookmarkEnd w:id="0"/>
      <w:bookmarkEnd w:id="5"/>
      <w:bookmarkEnd w:id="6"/>
      <w:bookmarkEnd w:id="7"/>
      <w:bookmarkEnd w:id="8"/>
      <w:bookmarkEnd w:id="9"/>
      <w:bookmarkEnd w:id="10"/>
      <w:bookmarkEnd w:id="11"/>
    </w:p>
    <w:sectPr w:rsidR="00106558" w:rsidRPr="0087783B"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FF10F" w14:textId="77777777" w:rsidR="00F74F90" w:rsidRDefault="00F74F90">
      <w:r>
        <w:separator/>
      </w:r>
    </w:p>
  </w:endnote>
  <w:endnote w:type="continuationSeparator" w:id="0">
    <w:p w14:paraId="22597AF4" w14:textId="77777777" w:rsidR="00F74F90" w:rsidRDefault="00F74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ＭＳ ゴシック"/>
    <w:panose1 w:val="02020609040205080304"/>
    <w:charset w:val="80"/>
    <w:family w:val="modern"/>
    <w:pitch w:val="fixed"/>
    <w:sig w:usb0="00000000"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7F489E0C" w:rsidR="00ED2B03" w:rsidRDefault="00ED2B03">
        <w:pPr>
          <w:pStyle w:val="Footer"/>
        </w:pPr>
        <w:r>
          <w:rPr>
            <w:noProof w:val="0"/>
          </w:rPr>
          <w:fldChar w:fldCharType="begin"/>
        </w:r>
        <w:r>
          <w:instrText xml:space="preserve"> PAGE   \* MERGEFORMAT </w:instrText>
        </w:r>
        <w:r>
          <w:rPr>
            <w:noProof w:val="0"/>
          </w:rPr>
          <w:fldChar w:fldCharType="separate"/>
        </w:r>
        <w:r w:rsidR="00F347C5">
          <w:t>2</w:t>
        </w:r>
        <w:r>
          <w:fldChar w:fldCharType="end"/>
        </w:r>
      </w:p>
    </w:sdtContent>
  </w:sdt>
  <w:p w14:paraId="1DE43AF8" w14:textId="4D47B3D2" w:rsidR="00ED2B03" w:rsidRDefault="00ED2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9AA0F" w14:textId="77777777" w:rsidR="00F74F90" w:rsidRDefault="00F74F90">
      <w:r>
        <w:separator/>
      </w:r>
    </w:p>
  </w:footnote>
  <w:footnote w:type="continuationSeparator" w:id="0">
    <w:p w14:paraId="38418B1A" w14:textId="77777777" w:rsidR="00F74F90" w:rsidRDefault="00F74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4" type="#_x0000_t75" style="width:16pt;height:1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063E7D"/>
    <w:multiLevelType w:val="hybridMultilevel"/>
    <w:tmpl w:val="EC3C6AB2"/>
    <w:lvl w:ilvl="0" w:tplc="CF429B90">
      <w:start w:val="1"/>
      <w:numFmt w:val="bullet"/>
      <w:lvlText w:val=""/>
      <w:lvlJc w:val="left"/>
      <w:pPr>
        <w:tabs>
          <w:tab w:val="num" w:pos="720"/>
        </w:tabs>
        <w:ind w:left="720" w:hanging="360"/>
      </w:pPr>
      <w:rPr>
        <w:rFonts w:ascii="Symbol" w:hAnsi="Symbol" w:hint="default"/>
      </w:rPr>
    </w:lvl>
    <w:lvl w:ilvl="1" w:tplc="7D8857B4">
      <w:numFmt w:val="bullet"/>
      <w:lvlText w:val="−"/>
      <w:lvlJc w:val="left"/>
      <w:pPr>
        <w:tabs>
          <w:tab w:val="num" w:pos="1440"/>
        </w:tabs>
        <w:ind w:left="1440" w:hanging="360"/>
      </w:pPr>
      <w:rPr>
        <w:rFonts w:ascii="Calibre Regular" w:hAnsi="Calibre Regular" w:hint="default"/>
      </w:rPr>
    </w:lvl>
    <w:lvl w:ilvl="2" w:tplc="2C063B94">
      <w:numFmt w:val="bullet"/>
      <w:lvlText w:val="−"/>
      <w:lvlJc w:val="left"/>
      <w:pPr>
        <w:tabs>
          <w:tab w:val="num" w:pos="2160"/>
        </w:tabs>
        <w:ind w:left="2160" w:hanging="360"/>
      </w:pPr>
      <w:rPr>
        <w:rFonts w:ascii="Calibre Regular" w:hAnsi="Calibre Regular" w:hint="default"/>
      </w:rPr>
    </w:lvl>
    <w:lvl w:ilvl="3" w:tplc="F8B4AE46" w:tentative="1">
      <w:start w:val="1"/>
      <w:numFmt w:val="bullet"/>
      <w:lvlText w:val=""/>
      <w:lvlJc w:val="left"/>
      <w:pPr>
        <w:tabs>
          <w:tab w:val="num" w:pos="2880"/>
        </w:tabs>
        <w:ind w:left="2880" w:hanging="360"/>
      </w:pPr>
      <w:rPr>
        <w:rFonts w:ascii="Symbol" w:hAnsi="Symbol" w:hint="default"/>
      </w:rPr>
    </w:lvl>
    <w:lvl w:ilvl="4" w:tplc="3A7E7474" w:tentative="1">
      <w:start w:val="1"/>
      <w:numFmt w:val="bullet"/>
      <w:lvlText w:val=""/>
      <w:lvlJc w:val="left"/>
      <w:pPr>
        <w:tabs>
          <w:tab w:val="num" w:pos="3600"/>
        </w:tabs>
        <w:ind w:left="3600" w:hanging="360"/>
      </w:pPr>
      <w:rPr>
        <w:rFonts w:ascii="Symbol" w:hAnsi="Symbol" w:hint="default"/>
      </w:rPr>
    </w:lvl>
    <w:lvl w:ilvl="5" w:tplc="04CA295E" w:tentative="1">
      <w:start w:val="1"/>
      <w:numFmt w:val="bullet"/>
      <w:lvlText w:val=""/>
      <w:lvlJc w:val="left"/>
      <w:pPr>
        <w:tabs>
          <w:tab w:val="num" w:pos="4320"/>
        </w:tabs>
        <w:ind w:left="4320" w:hanging="360"/>
      </w:pPr>
      <w:rPr>
        <w:rFonts w:ascii="Symbol" w:hAnsi="Symbol" w:hint="default"/>
      </w:rPr>
    </w:lvl>
    <w:lvl w:ilvl="6" w:tplc="7B86402E" w:tentative="1">
      <w:start w:val="1"/>
      <w:numFmt w:val="bullet"/>
      <w:lvlText w:val=""/>
      <w:lvlJc w:val="left"/>
      <w:pPr>
        <w:tabs>
          <w:tab w:val="num" w:pos="5040"/>
        </w:tabs>
        <w:ind w:left="5040" w:hanging="360"/>
      </w:pPr>
      <w:rPr>
        <w:rFonts w:ascii="Symbol" w:hAnsi="Symbol" w:hint="default"/>
      </w:rPr>
    </w:lvl>
    <w:lvl w:ilvl="7" w:tplc="ADC85882" w:tentative="1">
      <w:start w:val="1"/>
      <w:numFmt w:val="bullet"/>
      <w:lvlText w:val=""/>
      <w:lvlJc w:val="left"/>
      <w:pPr>
        <w:tabs>
          <w:tab w:val="num" w:pos="5760"/>
        </w:tabs>
        <w:ind w:left="5760" w:hanging="360"/>
      </w:pPr>
      <w:rPr>
        <w:rFonts w:ascii="Symbol" w:hAnsi="Symbol" w:hint="default"/>
      </w:rPr>
    </w:lvl>
    <w:lvl w:ilvl="8" w:tplc="D76E4E9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9457B0"/>
    <w:multiLevelType w:val="hybridMultilevel"/>
    <w:tmpl w:val="8C36639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033F4E"/>
    <w:multiLevelType w:val="hybridMultilevel"/>
    <w:tmpl w:val="BE5C4B16"/>
    <w:lvl w:ilvl="0" w:tplc="DF0C5624">
      <w:start w:val="1"/>
      <w:numFmt w:val="bullet"/>
      <w:lvlText w:val=""/>
      <w:lvlJc w:val="left"/>
      <w:pPr>
        <w:tabs>
          <w:tab w:val="num" w:pos="720"/>
        </w:tabs>
        <w:ind w:left="720" w:hanging="360"/>
      </w:pPr>
      <w:rPr>
        <w:rFonts w:ascii="Symbol" w:hAnsi="Symbol" w:hint="default"/>
      </w:rPr>
    </w:lvl>
    <w:lvl w:ilvl="1" w:tplc="18FE4732">
      <w:numFmt w:val="bullet"/>
      <w:lvlText w:val="−"/>
      <w:lvlJc w:val="left"/>
      <w:pPr>
        <w:tabs>
          <w:tab w:val="num" w:pos="1440"/>
        </w:tabs>
        <w:ind w:left="1440" w:hanging="360"/>
      </w:pPr>
      <w:rPr>
        <w:rFonts w:ascii="Calibre Regular" w:hAnsi="Calibre Regular" w:hint="default"/>
      </w:rPr>
    </w:lvl>
    <w:lvl w:ilvl="2" w:tplc="CF6C0638" w:tentative="1">
      <w:start w:val="1"/>
      <w:numFmt w:val="bullet"/>
      <w:lvlText w:val=""/>
      <w:lvlJc w:val="left"/>
      <w:pPr>
        <w:tabs>
          <w:tab w:val="num" w:pos="2160"/>
        </w:tabs>
        <w:ind w:left="2160" w:hanging="360"/>
      </w:pPr>
      <w:rPr>
        <w:rFonts w:ascii="Symbol" w:hAnsi="Symbol" w:hint="default"/>
      </w:rPr>
    </w:lvl>
    <w:lvl w:ilvl="3" w:tplc="D62C035E" w:tentative="1">
      <w:start w:val="1"/>
      <w:numFmt w:val="bullet"/>
      <w:lvlText w:val=""/>
      <w:lvlJc w:val="left"/>
      <w:pPr>
        <w:tabs>
          <w:tab w:val="num" w:pos="2880"/>
        </w:tabs>
        <w:ind w:left="2880" w:hanging="360"/>
      </w:pPr>
      <w:rPr>
        <w:rFonts w:ascii="Symbol" w:hAnsi="Symbol" w:hint="default"/>
      </w:rPr>
    </w:lvl>
    <w:lvl w:ilvl="4" w:tplc="A4E68338" w:tentative="1">
      <w:start w:val="1"/>
      <w:numFmt w:val="bullet"/>
      <w:lvlText w:val=""/>
      <w:lvlJc w:val="left"/>
      <w:pPr>
        <w:tabs>
          <w:tab w:val="num" w:pos="3600"/>
        </w:tabs>
        <w:ind w:left="3600" w:hanging="360"/>
      </w:pPr>
      <w:rPr>
        <w:rFonts w:ascii="Symbol" w:hAnsi="Symbol" w:hint="default"/>
      </w:rPr>
    </w:lvl>
    <w:lvl w:ilvl="5" w:tplc="98F45A88" w:tentative="1">
      <w:start w:val="1"/>
      <w:numFmt w:val="bullet"/>
      <w:lvlText w:val=""/>
      <w:lvlJc w:val="left"/>
      <w:pPr>
        <w:tabs>
          <w:tab w:val="num" w:pos="4320"/>
        </w:tabs>
        <w:ind w:left="4320" w:hanging="360"/>
      </w:pPr>
      <w:rPr>
        <w:rFonts w:ascii="Symbol" w:hAnsi="Symbol" w:hint="default"/>
      </w:rPr>
    </w:lvl>
    <w:lvl w:ilvl="6" w:tplc="933AC020" w:tentative="1">
      <w:start w:val="1"/>
      <w:numFmt w:val="bullet"/>
      <w:lvlText w:val=""/>
      <w:lvlJc w:val="left"/>
      <w:pPr>
        <w:tabs>
          <w:tab w:val="num" w:pos="5040"/>
        </w:tabs>
        <w:ind w:left="5040" w:hanging="360"/>
      </w:pPr>
      <w:rPr>
        <w:rFonts w:ascii="Symbol" w:hAnsi="Symbol" w:hint="default"/>
      </w:rPr>
    </w:lvl>
    <w:lvl w:ilvl="7" w:tplc="2FA07E84" w:tentative="1">
      <w:start w:val="1"/>
      <w:numFmt w:val="bullet"/>
      <w:lvlText w:val=""/>
      <w:lvlJc w:val="left"/>
      <w:pPr>
        <w:tabs>
          <w:tab w:val="num" w:pos="5760"/>
        </w:tabs>
        <w:ind w:left="5760" w:hanging="360"/>
      </w:pPr>
      <w:rPr>
        <w:rFonts w:ascii="Symbol" w:hAnsi="Symbol" w:hint="default"/>
      </w:rPr>
    </w:lvl>
    <w:lvl w:ilvl="8" w:tplc="29EEEB5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36F2CD4"/>
    <w:multiLevelType w:val="hybridMultilevel"/>
    <w:tmpl w:val="FBFA3666"/>
    <w:lvl w:ilvl="0" w:tplc="6C7E89B8">
      <w:start w:val="1"/>
      <w:numFmt w:val="bullet"/>
      <w:lvlText w:val=""/>
      <w:lvlJc w:val="left"/>
      <w:pPr>
        <w:tabs>
          <w:tab w:val="num" w:pos="720"/>
        </w:tabs>
        <w:ind w:left="720" w:hanging="360"/>
      </w:pPr>
      <w:rPr>
        <w:rFonts w:ascii="Symbol" w:hAnsi="Symbol" w:hint="default"/>
      </w:rPr>
    </w:lvl>
    <w:lvl w:ilvl="1" w:tplc="FACE6B98">
      <w:numFmt w:val="bullet"/>
      <w:lvlText w:val="−"/>
      <w:lvlJc w:val="left"/>
      <w:pPr>
        <w:tabs>
          <w:tab w:val="num" w:pos="1440"/>
        </w:tabs>
        <w:ind w:left="1440" w:hanging="360"/>
      </w:pPr>
      <w:rPr>
        <w:rFonts w:ascii="Calibre Regular" w:hAnsi="Calibre Regular" w:hint="default"/>
      </w:rPr>
    </w:lvl>
    <w:lvl w:ilvl="2" w:tplc="1E4A6144">
      <w:numFmt w:val="bullet"/>
      <w:lvlText w:val="−"/>
      <w:lvlJc w:val="left"/>
      <w:pPr>
        <w:tabs>
          <w:tab w:val="num" w:pos="2160"/>
        </w:tabs>
        <w:ind w:left="2160" w:hanging="360"/>
      </w:pPr>
      <w:rPr>
        <w:rFonts w:ascii="Calibre Regular" w:hAnsi="Calibre Regular" w:hint="default"/>
      </w:rPr>
    </w:lvl>
    <w:lvl w:ilvl="3" w:tplc="050600D0">
      <w:numFmt w:val="bullet"/>
      <w:lvlText w:val="−"/>
      <w:lvlJc w:val="left"/>
      <w:pPr>
        <w:tabs>
          <w:tab w:val="num" w:pos="2880"/>
        </w:tabs>
        <w:ind w:left="2880" w:hanging="360"/>
      </w:pPr>
      <w:rPr>
        <w:rFonts w:ascii="Calibre Regular" w:hAnsi="Calibre Regular" w:hint="default"/>
      </w:rPr>
    </w:lvl>
    <w:lvl w:ilvl="4" w:tplc="9296FF8E" w:tentative="1">
      <w:start w:val="1"/>
      <w:numFmt w:val="bullet"/>
      <w:lvlText w:val=""/>
      <w:lvlJc w:val="left"/>
      <w:pPr>
        <w:tabs>
          <w:tab w:val="num" w:pos="3600"/>
        </w:tabs>
        <w:ind w:left="3600" w:hanging="360"/>
      </w:pPr>
      <w:rPr>
        <w:rFonts w:ascii="Symbol" w:hAnsi="Symbol" w:hint="default"/>
      </w:rPr>
    </w:lvl>
    <w:lvl w:ilvl="5" w:tplc="915AC004" w:tentative="1">
      <w:start w:val="1"/>
      <w:numFmt w:val="bullet"/>
      <w:lvlText w:val=""/>
      <w:lvlJc w:val="left"/>
      <w:pPr>
        <w:tabs>
          <w:tab w:val="num" w:pos="4320"/>
        </w:tabs>
        <w:ind w:left="4320" w:hanging="360"/>
      </w:pPr>
      <w:rPr>
        <w:rFonts w:ascii="Symbol" w:hAnsi="Symbol" w:hint="default"/>
      </w:rPr>
    </w:lvl>
    <w:lvl w:ilvl="6" w:tplc="F8A80C24" w:tentative="1">
      <w:start w:val="1"/>
      <w:numFmt w:val="bullet"/>
      <w:lvlText w:val=""/>
      <w:lvlJc w:val="left"/>
      <w:pPr>
        <w:tabs>
          <w:tab w:val="num" w:pos="5040"/>
        </w:tabs>
        <w:ind w:left="5040" w:hanging="360"/>
      </w:pPr>
      <w:rPr>
        <w:rFonts w:ascii="Symbol" w:hAnsi="Symbol" w:hint="default"/>
      </w:rPr>
    </w:lvl>
    <w:lvl w:ilvl="7" w:tplc="03845910" w:tentative="1">
      <w:start w:val="1"/>
      <w:numFmt w:val="bullet"/>
      <w:lvlText w:val=""/>
      <w:lvlJc w:val="left"/>
      <w:pPr>
        <w:tabs>
          <w:tab w:val="num" w:pos="5760"/>
        </w:tabs>
        <w:ind w:left="5760" w:hanging="360"/>
      </w:pPr>
      <w:rPr>
        <w:rFonts w:ascii="Symbol" w:hAnsi="Symbol" w:hint="default"/>
      </w:rPr>
    </w:lvl>
    <w:lvl w:ilvl="8" w:tplc="3C947C5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9"/>
  </w:num>
  <w:num w:numId="4">
    <w:abstractNumId w:val="20"/>
  </w:num>
  <w:num w:numId="5">
    <w:abstractNumId w:val="16"/>
  </w:num>
  <w:num w:numId="6">
    <w:abstractNumId w:val="1"/>
  </w:num>
  <w:num w:numId="7">
    <w:abstractNumId w:val="5"/>
  </w:num>
  <w:num w:numId="8">
    <w:abstractNumId w:val="12"/>
  </w:num>
  <w:num w:numId="9">
    <w:abstractNumId w:val="13"/>
  </w:num>
  <w:num w:numId="10">
    <w:abstractNumId w:val="9"/>
  </w:num>
  <w:num w:numId="11">
    <w:abstractNumId w:val="8"/>
  </w:num>
  <w:num w:numId="12">
    <w:abstractNumId w:val="7"/>
  </w:num>
  <w:num w:numId="13">
    <w:abstractNumId w:val="15"/>
  </w:num>
  <w:num w:numId="14">
    <w:abstractNumId w:val="14"/>
  </w:num>
  <w:num w:numId="15">
    <w:abstractNumId w:val="18"/>
  </w:num>
  <w:num w:numId="16">
    <w:abstractNumId w:val="4"/>
  </w:num>
  <w:num w:numId="17">
    <w:abstractNumId w:val="17"/>
  </w:num>
  <w:num w:numId="18">
    <w:abstractNumId w:val="11"/>
  </w:num>
  <w:num w:numId="19">
    <w:abstractNumId w:val="6"/>
  </w:num>
  <w:num w:numId="2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9B9"/>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500"/>
    <w:rsid w:val="00083842"/>
    <w:rsid w:val="000843D9"/>
    <w:rsid w:val="00084895"/>
    <w:rsid w:val="00084F0C"/>
    <w:rsid w:val="00085DF3"/>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6558"/>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4E6"/>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0B12"/>
    <w:rsid w:val="001B1545"/>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6FC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4F9"/>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3A4F"/>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353"/>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542"/>
    <w:rsid w:val="002F4309"/>
    <w:rsid w:val="002F55B2"/>
    <w:rsid w:val="002F56DE"/>
    <w:rsid w:val="002F57B6"/>
    <w:rsid w:val="002F595F"/>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65D"/>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51C"/>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A4E"/>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B7A"/>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A04"/>
    <w:rsid w:val="00410C01"/>
    <w:rsid w:val="0041193B"/>
    <w:rsid w:val="004122AC"/>
    <w:rsid w:val="004131D9"/>
    <w:rsid w:val="0041390E"/>
    <w:rsid w:val="00414BB3"/>
    <w:rsid w:val="00415963"/>
    <w:rsid w:val="0041669D"/>
    <w:rsid w:val="00416961"/>
    <w:rsid w:val="00416AC5"/>
    <w:rsid w:val="004201F7"/>
    <w:rsid w:val="004217FF"/>
    <w:rsid w:val="00421E1E"/>
    <w:rsid w:val="00421EAB"/>
    <w:rsid w:val="0042641A"/>
    <w:rsid w:val="00426620"/>
    <w:rsid w:val="0042735E"/>
    <w:rsid w:val="00427BCC"/>
    <w:rsid w:val="00430D05"/>
    <w:rsid w:val="004318BE"/>
    <w:rsid w:val="00431C7B"/>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C54"/>
    <w:rsid w:val="00461FA9"/>
    <w:rsid w:val="00463FC2"/>
    <w:rsid w:val="00464463"/>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2AA"/>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15"/>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44"/>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238"/>
    <w:rsid w:val="00597CC7"/>
    <w:rsid w:val="00597F12"/>
    <w:rsid w:val="005A0195"/>
    <w:rsid w:val="005A0923"/>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2F88"/>
    <w:rsid w:val="005D38FB"/>
    <w:rsid w:val="005D4473"/>
    <w:rsid w:val="005D5A2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A96"/>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92C"/>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57B77"/>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714"/>
    <w:rsid w:val="006A31B6"/>
    <w:rsid w:val="006A443D"/>
    <w:rsid w:val="006A4792"/>
    <w:rsid w:val="006A4BC4"/>
    <w:rsid w:val="006A6086"/>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21A2"/>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04A"/>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138E"/>
    <w:rsid w:val="00761500"/>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276"/>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48D"/>
    <w:rsid w:val="0079497A"/>
    <w:rsid w:val="00795E88"/>
    <w:rsid w:val="0079609B"/>
    <w:rsid w:val="00796155"/>
    <w:rsid w:val="00796522"/>
    <w:rsid w:val="00796A59"/>
    <w:rsid w:val="00796B95"/>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5A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1F7C"/>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0D04"/>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1BE"/>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02C6"/>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83B"/>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4C5B"/>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2F01"/>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1E8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C6D3C"/>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1929"/>
    <w:rsid w:val="009F256E"/>
    <w:rsid w:val="009F3A04"/>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0F25"/>
    <w:rsid w:val="00A61D78"/>
    <w:rsid w:val="00A62712"/>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6E2E"/>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5814"/>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940"/>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7DB"/>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879A7"/>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A56"/>
    <w:rsid w:val="00BA4E07"/>
    <w:rsid w:val="00BA4FB5"/>
    <w:rsid w:val="00BA6D64"/>
    <w:rsid w:val="00BA6F0D"/>
    <w:rsid w:val="00BA74B8"/>
    <w:rsid w:val="00BA7518"/>
    <w:rsid w:val="00BB1DFA"/>
    <w:rsid w:val="00BB2D42"/>
    <w:rsid w:val="00BB3825"/>
    <w:rsid w:val="00BB399B"/>
    <w:rsid w:val="00BB4CBA"/>
    <w:rsid w:val="00BB4D55"/>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DAB"/>
    <w:rsid w:val="00BE3BE3"/>
    <w:rsid w:val="00BE4185"/>
    <w:rsid w:val="00BE41C9"/>
    <w:rsid w:val="00BE4CB3"/>
    <w:rsid w:val="00BE50CD"/>
    <w:rsid w:val="00BE51F2"/>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67E"/>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50CE"/>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617"/>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3CBD"/>
    <w:rsid w:val="00C5442E"/>
    <w:rsid w:val="00C54BEB"/>
    <w:rsid w:val="00C5571D"/>
    <w:rsid w:val="00C55D04"/>
    <w:rsid w:val="00C56631"/>
    <w:rsid w:val="00C56A9B"/>
    <w:rsid w:val="00C57269"/>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3AC6"/>
    <w:rsid w:val="00C8480D"/>
    <w:rsid w:val="00C84DC4"/>
    <w:rsid w:val="00C854A8"/>
    <w:rsid w:val="00C85755"/>
    <w:rsid w:val="00C85959"/>
    <w:rsid w:val="00C860CA"/>
    <w:rsid w:val="00C86789"/>
    <w:rsid w:val="00C86957"/>
    <w:rsid w:val="00C86B6B"/>
    <w:rsid w:val="00C86E82"/>
    <w:rsid w:val="00C9112D"/>
    <w:rsid w:val="00C91500"/>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97D16"/>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3D6C"/>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8AF"/>
    <w:rsid w:val="00D0592B"/>
    <w:rsid w:val="00D05F2A"/>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4C60"/>
    <w:rsid w:val="00D35675"/>
    <w:rsid w:val="00D356F7"/>
    <w:rsid w:val="00D36AE5"/>
    <w:rsid w:val="00D36BF4"/>
    <w:rsid w:val="00D36DC4"/>
    <w:rsid w:val="00D37153"/>
    <w:rsid w:val="00D372C8"/>
    <w:rsid w:val="00D377E1"/>
    <w:rsid w:val="00D40292"/>
    <w:rsid w:val="00D4069E"/>
    <w:rsid w:val="00D40C3D"/>
    <w:rsid w:val="00D41368"/>
    <w:rsid w:val="00D413F6"/>
    <w:rsid w:val="00D414D6"/>
    <w:rsid w:val="00D41622"/>
    <w:rsid w:val="00D434B8"/>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CFF"/>
    <w:rsid w:val="00D61DC2"/>
    <w:rsid w:val="00D61E64"/>
    <w:rsid w:val="00D62FE6"/>
    <w:rsid w:val="00D6360C"/>
    <w:rsid w:val="00D63847"/>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9DF"/>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11E4"/>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3669"/>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7A6"/>
    <w:rsid w:val="00E24D7C"/>
    <w:rsid w:val="00E25691"/>
    <w:rsid w:val="00E261C5"/>
    <w:rsid w:val="00E26A69"/>
    <w:rsid w:val="00E27387"/>
    <w:rsid w:val="00E27FE3"/>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AA7"/>
    <w:rsid w:val="00E574B5"/>
    <w:rsid w:val="00E57526"/>
    <w:rsid w:val="00E57FDC"/>
    <w:rsid w:val="00E60DA9"/>
    <w:rsid w:val="00E61597"/>
    <w:rsid w:val="00E61854"/>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64F1"/>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3E1D"/>
    <w:rsid w:val="00EC4167"/>
    <w:rsid w:val="00EC4A02"/>
    <w:rsid w:val="00EC586C"/>
    <w:rsid w:val="00EC7950"/>
    <w:rsid w:val="00EC7C1B"/>
    <w:rsid w:val="00ED00C2"/>
    <w:rsid w:val="00ED05CE"/>
    <w:rsid w:val="00ED17A9"/>
    <w:rsid w:val="00ED17BD"/>
    <w:rsid w:val="00ED18ED"/>
    <w:rsid w:val="00ED2B03"/>
    <w:rsid w:val="00ED3673"/>
    <w:rsid w:val="00ED4EF3"/>
    <w:rsid w:val="00ED58D4"/>
    <w:rsid w:val="00ED5D30"/>
    <w:rsid w:val="00ED5DA6"/>
    <w:rsid w:val="00ED7A2E"/>
    <w:rsid w:val="00EE0162"/>
    <w:rsid w:val="00EE1449"/>
    <w:rsid w:val="00EE19DB"/>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47C5"/>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18BD"/>
    <w:rsid w:val="00F52D75"/>
    <w:rsid w:val="00F5374E"/>
    <w:rsid w:val="00F53831"/>
    <w:rsid w:val="00F538FE"/>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4F90"/>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3383"/>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3CD0"/>
    <w:rsid w:val="00FA4654"/>
    <w:rsid w:val="00FA518B"/>
    <w:rsid w:val="00FA5242"/>
    <w:rsid w:val="00FA56C3"/>
    <w:rsid w:val="00FA5FA8"/>
    <w:rsid w:val="00FA62B3"/>
    <w:rsid w:val="00FA65A1"/>
    <w:rsid w:val="00FA69E5"/>
    <w:rsid w:val="00FA7DC8"/>
    <w:rsid w:val="00FB0094"/>
    <w:rsid w:val="00FB034B"/>
    <w:rsid w:val="00FB075F"/>
    <w:rsid w:val="00FB084E"/>
    <w:rsid w:val="00FB0EC4"/>
    <w:rsid w:val="00FB11EF"/>
    <w:rsid w:val="00FB1BB8"/>
    <w:rsid w:val="00FB1D85"/>
    <w:rsid w:val="00FB1E52"/>
    <w:rsid w:val="00FB2853"/>
    <w:rsid w:val="00FB3049"/>
    <w:rsid w:val="00FB30DB"/>
    <w:rsid w:val="00FB3128"/>
    <w:rsid w:val="00FB3177"/>
    <w:rsid w:val="00FB3C64"/>
    <w:rsid w:val="00FB3D40"/>
    <w:rsid w:val="00FB3FF4"/>
    <w:rsid w:val="00FB455E"/>
    <w:rsid w:val="00FB4E84"/>
    <w:rsid w:val="00FB575F"/>
    <w:rsid w:val="00FB659A"/>
    <w:rsid w:val="00FB71AD"/>
    <w:rsid w:val="00FB7F73"/>
    <w:rsid w:val="00FC078D"/>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51797747">
      <w:bodyDiv w:val="1"/>
      <w:marLeft w:val="0"/>
      <w:marRight w:val="0"/>
      <w:marTop w:val="0"/>
      <w:marBottom w:val="0"/>
      <w:divBdr>
        <w:top w:val="none" w:sz="0" w:space="0" w:color="auto"/>
        <w:left w:val="none" w:sz="0" w:space="0" w:color="auto"/>
        <w:bottom w:val="none" w:sz="0" w:space="0" w:color="auto"/>
        <w:right w:val="none" w:sz="0" w:space="0" w:color="auto"/>
      </w:divBdr>
      <w:divsChild>
        <w:div w:id="135875411">
          <w:marLeft w:val="547"/>
          <w:marRight w:val="0"/>
          <w:marTop w:val="96"/>
          <w:marBottom w:val="0"/>
          <w:divBdr>
            <w:top w:val="none" w:sz="0" w:space="0" w:color="auto"/>
            <w:left w:val="none" w:sz="0" w:space="0" w:color="auto"/>
            <w:bottom w:val="none" w:sz="0" w:space="0" w:color="auto"/>
            <w:right w:val="none" w:sz="0" w:space="0" w:color="auto"/>
          </w:divBdr>
        </w:div>
        <w:div w:id="2015525946">
          <w:marLeft w:val="1166"/>
          <w:marRight w:val="0"/>
          <w:marTop w:val="86"/>
          <w:marBottom w:val="0"/>
          <w:divBdr>
            <w:top w:val="none" w:sz="0" w:space="0" w:color="auto"/>
            <w:left w:val="none" w:sz="0" w:space="0" w:color="auto"/>
            <w:bottom w:val="none" w:sz="0" w:space="0" w:color="auto"/>
            <w:right w:val="none" w:sz="0" w:space="0" w:color="auto"/>
          </w:divBdr>
        </w:div>
        <w:div w:id="529804294">
          <w:marLeft w:val="1627"/>
          <w:marRight w:val="0"/>
          <w:marTop w:val="77"/>
          <w:marBottom w:val="0"/>
          <w:divBdr>
            <w:top w:val="none" w:sz="0" w:space="0" w:color="auto"/>
            <w:left w:val="none" w:sz="0" w:space="0" w:color="auto"/>
            <w:bottom w:val="none" w:sz="0" w:space="0" w:color="auto"/>
            <w:right w:val="none" w:sz="0" w:space="0" w:color="auto"/>
          </w:divBdr>
        </w:div>
        <w:div w:id="204634744">
          <w:marLeft w:val="2074"/>
          <w:marRight w:val="0"/>
          <w:marTop w:val="67"/>
          <w:marBottom w:val="0"/>
          <w:divBdr>
            <w:top w:val="none" w:sz="0" w:space="0" w:color="auto"/>
            <w:left w:val="none" w:sz="0" w:space="0" w:color="auto"/>
            <w:bottom w:val="none" w:sz="0" w:space="0" w:color="auto"/>
            <w:right w:val="none" w:sz="0" w:space="0" w:color="auto"/>
          </w:divBdr>
        </w:div>
        <w:div w:id="566838043">
          <w:marLeft w:val="2074"/>
          <w:marRight w:val="0"/>
          <w:marTop w:val="67"/>
          <w:marBottom w:val="0"/>
          <w:divBdr>
            <w:top w:val="none" w:sz="0" w:space="0" w:color="auto"/>
            <w:left w:val="none" w:sz="0" w:space="0" w:color="auto"/>
            <w:bottom w:val="none" w:sz="0" w:space="0" w:color="auto"/>
            <w:right w:val="none" w:sz="0" w:space="0" w:color="auto"/>
          </w:divBdr>
        </w:div>
        <w:div w:id="404568933">
          <w:marLeft w:val="1627"/>
          <w:marRight w:val="0"/>
          <w:marTop w:val="77"/>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43856004">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884556613">
      <w:bodyDiv w:val="1"/>
      <w:marLeft w:val="0"/>
      <w:marRight w:val="0"/>
      <w:marTop w:val="0"/>
      <w:marBottom w:val="0"/>
      <w:divBdr>
        <w:top w:val="none" w:sz="0" w:space="0" w:color="auto"/>
        <w:left w:val="none" w:sz="0" w:space="0" w:color="auto"/>
        <w:bottom w:val="none" w:sz="0" w:space="0" w:color="auto"/>
        <w:right w:val="none" w:sz="0" w:space="0" w:color="auto"/>
      </w:divBdr>
      <w:divsChild>
        <w:div w:id="1793669875">
          <w:marLeft w:val="547"/>
          <w:marRight w:val="0"/>
          <w:marTop w:val="96"/>
          <w:marBottom w:val="0"/>
          <w:divBdr>
            <w:top w:val="none" w:sz="0" w:space="0" w:color="auto"/>
            <w:left w:val="none" w:sz="0" w:space="0" w:color="auto"/>
            <w:bottom w:val="none" w:sz="0" w:space="0" w:color="auto"/>
            <w:right w:val="none" w:sz="0" w:space="0" w:color="auto"/>
          </w:divBdr>
        </w:div>
        <w:div w:id="770861573">
          <w:marLeft w:val="1166"/>
          <w:marRight w:val="0"/>
          <w:marTop w:val="86"/>
          <w:marBottom w:val="0"/>
          <w:divBdr>
            <w:top w:val="none" w:sz="0" w:space="0" w:color="auto"/>
            <w:left w:val="none" w:sz="0" w:space="0" w:color="auto"/>
            <w:bottom w:val="none" w:sz="0" w:space="0" w:color="auto"/>
            <w:right w:val="none" w:sz="0" w:space="0" w:color="auto"/>
          </w:divBdr>
        </w:div>
        <w:div w:id="250160161">
          <w:marLeft w:val="1166"/>
          <w:marRight w:val="0"/>
          <w:marTop w:val="86"/>
          <w:marBottom w:val="0"/>
          <w:divBdr>
            <w:top w:val="none" w:sz="0" w:space="0" w:color="auto"/>
            <w:left w:val="none" w:sz="0" w:space="0" w:color="auto"/>
            <w:bottom w:val="none" w:sz="0" w:space="0" w:color="auto"/>
            <w:right w:val="none" w:sz="0" w:space="0" w:color="auto"/>
          </w:divBdr>
        </w:div>
        <w:div w:id="44136421">
          <w:marLeft w:val="547"/>
          <w:marRight w:val="0"/>
          <w:marTop w:val="96"/>
          <w:marBottom w:val="0"/>
          <w:divBdr>
            <w:top w:val="none" w:sz="0" w:space="0" w:color="auto"/>
            <w:left w:val="none" w:sz="0" w:space="0" w:color="auto"/>
            <w:bottom w:val="none" w:sz="0" w:space="0" w:color="auto"/>
            <w:right w:val="none" w:sz="0" w:space="0" w:color="auto"/>
          </w:divBdr>
        </w:div>
        <w:div w:id="1323696396">
          <w:marLeft w:val="1166"/>
          <w:marRight w:val="0"/>
          <w:marTop w:val="86"/>
          <w:marBottom w:val="0"/>
          <w:divBdr>
            <w:top w:val="none" w:sz="0" w:space="0" w:color="auto"/>
            <w:left w:val="none" w:sz="0" w:space="0" w:color="auto"/>
            <w:bottom w:val="none" w:sz="0" w:space="0" w:color="auto"/>
            <w:right w:val="none" w:sz="0" w:space="0" w:color="auto"/>
          </w:divBdr>
        </w:div>
        <w:div w:id="1408382855">
          <w:marLeft w:val="1627"/>
          <w:marRight w:val="0"/>
          <w:marTop w:val="77"/>
          <w:marBottom w:val="0"/>
          <w:divBdr>
            <w:top w:val="none" w:sz="0" w:space="0" w:color="auto"/>
            <w:left w:val="none" w:sz="0" w:space="0" w:color="auto"/>
            <w:bottom w:val="none" w:sz="0" w:space="0" w:color="auto"/>
            <w:right w:val="none" w:sz="0" w:space="0" w:color="auto"/>
          </w:divBdr>
        </w:div>
        <w:div w:id="1431969657">
          <w:marLeft w:val="1166"/>
          <w:marRight w:val="0"/>
          <w:marTop w:val="86"/>
          <w:marBottom w:val="0"/>
          <w:divBdr>
            <w:top w:val="none" w:sz="0" w:space="0" w:color="auto"/>
            <w:left w:val="none" w:sz="0" w:space="0" w:color="auto"/>
            <w:bottom w:val="none" w:sz="0" w:space="0" w:color="auto"/>
            <w:right w:val="none" w:sz="0" w:space="0" w:color="auto"/>
          </w:divBdr>
        </w:div>
        <w:div w:id="931551036">
          <w:marLeft w:val="1627"/>
          <w:marRight w:val="0"/>
          <w:marTop w:val="77"/>
          <w:marBottom w:val="0"/>
          <w:divBdr>
            <w:top w:val="none" w:sz="0" w:space="0" w:color="auto"/>
            <w:left w:val="none" w:sz="0" w:space="0" w:color="auto"/>
            <w:bottom w:val="none" w:sz="0" w:space="0" w:color="auto"/>
            <w:right w:val="none" w:sz="0" w:space="0" w:color="auto"/>
          </w:divBdr>
        </w:div>
        <w:div w:id="1709455890">
          <w:marLeft w:val="1166"/>
          <w:marRight w:val="0"/>
          <w:marTop w:val="86"/>
          <w:marBottom w:val="0"/>
          <w:divBdr>
            <w:top w:val="none" w:sz="0" w:space="0" w:color="auto"/>
            <w:left w:val="none" w:sz="0" w:space="0" w:color="auto"/>
            <w:bottom w:val="none" w:sz="0" w:space="0" w:color="auto"/>
            <w:right w:val="none" w:sz="0" w:space="0" w:color="auto"/>
          </w:divBdr>
        </w:div>
      </w:divsChild>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2.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3.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4.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68BA6FBE-50E2-422D-8A72-3FD18092B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748</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2009-04-22T01:01:00Z</cp:lastPrinted>
  <dcterms:created xsi:type="dcterms:W3CDTF">2017-11-17T22:02:00Z</dcterms:created>
  <dcterms:modified xsi:type="dcterms:W3CDTF">2017-11-17T22:02:00Z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