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r>
        <w:rPr>
          <w:rFonts w:ascii="Arial" w:hAnsi="Arial" w:eastAsia="MS Mincho" w:cs="Arial"/>
          <w:b/>
          <w:sz w:val="24"/>
          <w:szCs w:val="24"/>
          <w:lang w:val="en-US"/>
        </w:rPr>
        <w:t>3GPP TSG-RAN WG4 Meeting #84</w:t>
      </w:r>
      <w:r>
        <w:rPr>
          <w:rFonts w:ascii="Arial" w:hAnsi="Arial" w:eastAsia="MS Mincho" w:cs="Arial"/>
          <w:b/>
          <w:sz w:val="24"/>
          <w:szCs w:val="24"/>
          <w:lang w:val="en-US"/>
        </w:rPr>
        <w:tab/>
      </w:r>
      <w:bookmarkStart w:id="0" w:name="_GoBack"/>
      <w:r>
        <w:rPr>
          <w:rFonts w:ascii="Arial" w:hAnsi="Arial" w:eastAsia="MS Mincho" w:cs="Arial"/>
          <w:b/>
          <w:sz w:val="24"/>
          <w:szCs w:val="24"/>
          <w:lang w:val="en-US"/>
        </w:rPr>
        <w:t>R4-</w:t>
      </w:r>
      <w:r>
        <w:rPr>
          <w:rFonts w:hint="eastAsia" w:ascii="Arial" w:hAnsi="Arial" w:cs="Arial"/>
          <w:b/>
          <w:sz w:val="24"/>
          <w:szCs w:val="24"/>
          <w:lang w:val="en-US" w:eastAsia="zh-CN"/>
        </w:rPr>
        <w:t>1708189</w:t>
      </w:r>
      <w:bookmarkEnd w:id="0"/>
    </w:p>
    <w:p>
      <w:pPr>
        <w:tabs>
          <w:tab w:val="right" w:pos="9781"/>
          <w:tab w:val="right" w:pos="13323"/>
        </w:tabs>
        <w:spacing w:after="0"/>
        <w:outlineLvl w:val="0"/>
        <w:rPr>
          <w:rFonts w:ascii="Arial" w:hAnsi="Arial" w:cs="Arial"/>
          <w:b/>
          <w:sz w:val="24"/>
          <w:szCs w:val="24"/>
          <w:lang w:val="en-US" w:eastAsia="zh-CN"/>
        </w:rPr>
      </w:pPr>
      <w:r>
        <w:rPr>
          <w:rFonts w:hint="eastAsia" w:ascii="Arial" w:hAnsi="Arial" w:cs="Arial"/>
          <w:b/>
          <w:sz w:val="24"/>
          <w:szCs w:val="24"/>
          <w:lang w:val="en-US" w:eastAsia="zh-CN"/>
        </w:rPr>
        <w:t>Berlin</w:t>
      </w:r>
      <w:r>
        <w:rPr>
          <w:rFonts w:ascii="Arial" w:hAnsi="Arial" w:cs="Arial"/>
          <w:b/>
          <w:sz w:val="24"/>
          <w:szCs w:val="24"/>
          <w:lang w:val="en-US" w:eastAsia="zh-CN"/>
        </w:rPr>
        <w:t xml:space="preserve">, </w:t>
      </w:r>
      <w:r>
        <w:rPr>
          <w:rFonts w:hint="eastAsia" w:ascii="Arial" w:hAnsi="Arial" w:cs="Arial"/>
          <w:b/>
          <w:sz w:val="24"/>
          <w:szCs w:val="24"/>
          <w:lang w:val="en-US" w:eastAsia="zh-CN"/>
        </w:rPr>
        <w:t>Germany</w:t>
      </w:r>
      <w:r>
        <w:rPr>
          <w:rFonts w:ascii="Arial" w:hAnsi="Arial" w:cs="Arial"/>
          <w:b/>
          <w:sz w:val="24"/>
          <w:szCs w:val="24"/>
          <w:lang w:val="en-US" w:eastAsia="zh-CN"/>
        </w:rPr>
        <w:t xml:space="preserve">, </w:t>
      </w:r>
      <w:r>
        <w:rPr>
          <w:rFonts w:hint="eastAsia" w:ascii="Arial" w:hAnsi="Arial" w:cs="Arial"/>
          <w:b/>
          <w:sz w:val="24"/>
          <w:szCs w:val="24"/>
          <w:lang w:val="en-US" w:eastAsia="zh-CN"/>
        </w:rPr>
        <w:t>21</w:t>
      </w:r>
      <w:r>
        <w:rPr>
          <w:rFonts w:ascii="Arial" w:hAnsi="Arial" w:cs="Arial"/>
          <w:b/>
          <w:sz w:val="24"/>
          <w:szCs w:val="24"/>
          <w:lang w:val="en-US" w:eastAsia="zh-CN"/>
        </w:rPr>
        <w:t xml:space="preserve"> - 2</w:t>
      </w:r>
      <w:r>
        <w:rPr>
          <w:rFonts w:hint="eastAsia" w:ascii="Arial" w:hAnsi="Arial" w:cs="Arial"/>
          <w:b/>
          <w:sz w:val="24"/>
          <w:szCs w:val="24"/>
          <w:lang w:val="en-US" w:eastAsia="zh-CN"/>
        </w:rPr>
        <w:t>5</w:t>
      </w:r>
      <w:r>
        <w:rPr>
          <w:rFonts w:ascii="Arial" w:hAnsi="Arial" w:cs="Arial"/>
          <w:b/>
          <w:sz w:val="24"/>
          <w:szCs w:val="24"/>
          <w:lang w:val="en-US" w:eastAsia="zh-CN"/>
        </w:rPr>
        <w:t xml:space="preserve"> </w:t>
      </w:r>
      <w:r>
        <w:rPr>
          <w:rFonts w:hint="eastAsia" w:ascii="Arial" w:hAnsi="Arial" w:cs="Arial"/>
          <w:b/>
          <w:sz w:val="24"/>
          <w:szCs w:val="24"/>
          <w:lang w:val="en-US" w:eastAsia="zh-CN"/>
        </w:rPr>
        <w:t>August</w:t>
      </w:r>
      <w:r>
        <w:rPr>
          <w:rFonts w:ascii="Arial" w:hAnsi="Arial" w:cs="Arial"/>
          <w:b/>
          <w:sz w:val="24"/>
          <w:szCs w:val="24"/>
          <w:lang w:val="en-US" w:eastAsia="zh-CN"/>
        </w:rPr>
        <w:t xml:space="preserve">, 2017 </w:t>
      </w:r>
    </w:p>
    <w:p>
      <w:pPr>
        <w:tabs>
          <w:tab w:val="right" w:pos="10440"/>
          <w:tab w:val="right" w:pos="13323"/>
        </w:tabs>
        <w:spacing w:afterLines="100"/>
        <w:rPr>
          <w:rFonts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w:t>
      </w:r>
    </w:p>
    <w:p>
      <w:pPr>
        <w:tabs>
          <w:tab w:val="left" w:pos="1985"/>
        </w:tabs>
        <w:jc w:val="both"/>
        <w:rPr>
          <w:rFonts w:ascii="Arial" w:hAnsi="Arial" w:cs="Arial"/>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sz w:val="22"/>
          <w:szCs w:val="22"/>
          <w:lang w:val="en-US" w:eastAsia="zh-CN"/>
        </w:rPr>
        <w:t>TP to</w:t>
      </w:r>
      <w:r>
        <w:rPr>
          <w:rFonts w:ascii="Arial" w:hAnsi="Arial" w:cs="Arial"/>
          <w:sz w:val="22"/>
          <w:szCs w:val="22"/>
        </w:rPr>
        <w:t xml:space="preserve"> EMC requirements </w:t>
      </w:r>
      <w:r>
        <w:rPr>
          <w:rFonts w:hint="eastAsia" w:ascii="Arial" w:hAnsi="Arial" w:cs="Arial"/>
          <w:sz w:val="22"/>
          <w:szCs w:val="22"/>
          <w:lang w:val="en-US" w:eastAsia="zh-CN"/>
        </w:rPr>
        <w:t>of</w:t>
      </w:r>
      <w:r>
        <w:rPr>
          <w:rFonts w:ascii="Arial" w:hAnsi="Arial" w:cs="Arial"/>
          <w:sz w:val="22"/>
          <w:szCs w:val="22"/>
        </w:rPr>
        <w:t xml:space="preserve"> </w:t>
      </w:r>
      <w:r>
        <w:rPr>
          <w:rFonts w:hint="eastAsia" w:ascii="Arial" w:hAnsi="Arial" w:cs="Arial"/>
          <w:sz w:val="22"/>
          <w:szCs w:val="22"/>
          <w:lang w:val="en-US" w:eastAsia="zh-CN"/>
        </w:rPr>
        <w:t>TR 37.843</w:t>
      </w:r>
      <w:r>
        <w:rPr>
          <w:rFonts w:ascii="Arial" w:hAnsi="Arial" w:cs="Arial"/>
          <w:sz w:val="22"/>
          <w:szCs w:val="22"/>
        </w:rPr>
        <w:t xml:space="preserve"> </w:t>
      </w:r>
    </w:p>
    <w:p>
      <w:pPr>
        <w:tabs>
          <w:tab w:val="left" w:pos="1985"/>
        </w:tabs>
        <w:jc w:val="both"/>
        <w:rPr>
          <w:rFonts w:ascii="Arial" w:hAnsi="Arial" w:cs="Arial"/>
          <w:b/>
          <w:color w:val="000000" w:themeColor="text1"/>
          <w:sz w:val="22"/>
          <w:szCs w:val="22"/>
          <w:lang w:eastAsia="zh-CN"/>
        </w:rPr>
      </w:pPr>
      <w:r>
        <w:rPr>
          <w:rFonts w:ascii="Arial" w:hAnsi="Arial" w:cs="Arial"/>
          <w:b/>
          <w:color w:val="000000" w:themeColor="text1"/>
          <w:sz w:val="22"/>
          <w:szCs w:val="22"/>
        </w:rPr>
        <w:t>Agenda Item:</w:t>
      </w:r>
      <w:r>
        <w:rPr>
          <w:rFonts w:ascii="Arial" w:hAnsi="Arial" w:cs="Arial"/>
          <w:b/>
          <w:color w:val="000000" w:themeColor="text1"/>
          <w:sz w:val="22"/>
          <w:szCs w:val="22"/>
        </w:rPr>
        <w:tab/>
      </w:r>
      <w:r>
        <w:rPr>
          <w:rFonts w:ascii="Arial" w:hAnsi="Arial" w:cs="Arial"/>
          <w:color w:val="000000" w:themeColor="text1"/>
          <w:sz w:val="22"/>
          <w:szCs w:val="22"/>
        </w:rPr>
        <w:t>8.28.3.6</w:t>
      </w:r>
      <w:r>
        <w:rPr>
          <w:rFonts w:ascii="Arial" w:hAnsi="Arial" w:cs="Arial"/>
          <w:color w:val="FF0000"/>
          <w:sz w:val="22"/>
          <w:szCs w:val="22"/>
        </w:rPr>
        <w:t xml:space="preserve"> </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color w:val="000000" w:themeColor="text1"/>
          <w:sz w:val="22"/>
          <w:szCs w:val="22"/>
        </w:rPr>
        <w:t>Discussion</w:t>
      </w:r>
    </w:p>
    <w:p>
      <w:pPr>
        <w:pStyle w:val="2"/>
      </w:pPr>
      <w:r>
        <w:t>Introduction</w:t>
      </w:r>
    </w:p>
    <w:p>
      <w:pPr>
        <w:rPr>
          <w:lang w:val="en-US" w:eastAsia="zh-CN"/>
        </w:rPr>
      </w:pPr>
      <w:r>
        <w:rPr>
          <w:rFonts w:hint="eastAsia"/>
          <w:lang w:val="en-US" w:eastAsia="zh-CN"/>
        </w:rPr>
        <w:t xml:space="preserve">The chapter 8 of TR 37.843 V0.3.0 [1] describes some EMC requirements for eAAS BS, especially it provides some idea to radiated spurious emissions for eAAS BS. </w:t>
      </w:r>
    </w:p>
    <w:p>
      <w:pPr>
        <w:rPr>
          <w:color w:val="000000" w:themeColor="text1"/>
        </w:rPr>
      </w:pPr>
      <w:r>
        <w:rPr>
          <w:color w:val="000000" w:themeColor="text1"/>
        </w:rPr>
        <w:t xml:space="preserve">In this contribution we </w:t>
      </w:r>
      <w:r>
        <w:rPr>
          <w:color w:val="000000" w:themeColor="text1"/>
          <w:lang w:val="en-US" w:eastAsia="zh-CN"/>
        </w:rPr>
        <w:t>propose</w:t>
      </w:r>
      <w:r>
        <w:rPr>
          <w:rFonts w:hint="eastAsia"/>
          <w:color w:val="000000" w:themeColor="text1"/>
          <w:lang w:val="en-US" w:eastAsia="zh-CN"/>
        </w:rPr>
        <w:t xml:space="preserve"> to make some correction and </w:t>
      </w:r>
      <w:r>
        <w:rPr>
          <w:color w:val="000000" w:themeColor="text1"/>
          <w:lang w:val="en-US" w:eastAsia="zh-CN"/>
        </w:rPr>
        <w:t>also</w:t>
      </w:r>
      <w:r>
        <w:rPr>
          <w:rFonts w:hint="eastAsia"/>
          <w:color w:val="000000" w:themeColor="text1"/>
          <w:lang w:val="en-US" w:eastAsia="zh-CN"/>
        </w:rPr>
        <w:t xml:space="preserve"> discuss the relation between radiated emission and </w:t>
      </w:r>
      <w:r>
        <w:rPr>
          <w:rFonts w:hint="eastAsia"/>
          <w:lang w:val="en-US" w:eastAsia="zh-CN"/>
        </w:rPr>
        <w:t>radiated spurious emissions</w:t>
      </w:r>
      <w:r>
        <w:rPr>
          <w:color w:val="000000" w:themeColor="text1"/>
        </w:rPr>
        <w:t>.</w:t>
      </w:r>
    </w:p>
    <w:p>
      <w:pPr>
        <w:pStyle w:val="2"/>
        <w:rPr>
          <w:lang w:eastAsia="zh-CN"/>
        </w:rPr>
      </w:pPr>
      <w:r>
        <w:rPr>
          <w:lang w:eastAsia="zh-CN"/>
        </w:rPr>
        <w:t>Discussion</w:t>
      </w:r>
    </w:p>
    <w:p>
      <w:pPr>
        <w:rPr>
          <w:lang w:val="en-US" w:eastAsia="zh-CN"/>
        </w:rPr>
      </w:pPr>
      <w:r>
        <w:rPr>
          <w:rFonts w:hint="eastAsia"/>
          <w:lang w:val="en-US" w:eastAsia="zh-CN"/>
        </w:rPr>
        <w:t xml:space="preserve">The chapter 8.1 of TR 37.843 </w:t>
      </w:r>
      <w:r>
        <w:rPr>
          <w:lang w:val="en-US" w:eastAsia="zh-CN"/>
        </w:rPr>
        <w:t>describes</w:t>
      </w:r>
      <w:r>
        <w:rPr>
          <w:rFonts w:hint="eastAsia"/>
          <w:lang w:val="en-US" w:eastAsia="zh-CN"/>
        </w:rPr>
        <w:t xml:space="preserve"> the difference of antenna interface among traditional BS, AAS BS and eAAS BS. The traditional BS and AAS BS can use the load to replace antenna to test, but the antenna array of eAAS BS is disconnected.</w:t>
      </w:r>
    </w:p>
    <w:p>
      <w:pPr>
        <w:rPr>
          <w:color w:val="000000"/>
          <w:lang w:val="en-US" w:eastAsia="zh-CN"/>
        </w:rPr>
      </w:pPr>
      <w:r>
        <w:rPr>
          <w:rFonts w:hint="eastAsia"/>
          <w:lang w:val="en-US" w:eastAsia="zh-CN"/>
        </w:rPr>
        <w:t xml:space="preserve">The chapter 8.2of TR 37.843 </w:t>
      </w:r>
      <w:r>
        <w:rPr>
          <w:color w:val="000000"/>
          <w:lang w:val="en-US"/>
        </w:rPr>
        <w:t>provides a summary of the existing EMC regulatory requirements</w:t>
      </w:r>
      <w:r>
        <w:rPr>
          <w:rFonts w:hint="eastAsia"/>
          <w:color w:val="000000"/>
          <w:lang w:val="en-US" w:eastAsia="zh-CN"/>
        </w:rPr>
        <w:t xml:space="preserve"> including radiated spurious emission, radiated emission and radiated immunity.</w:t>
      </w:r>
    </w:p>
    <w:p>
      <w:pPr>
        <w:rPr>
          <w:color w:val="000000"/>
          <w:lang w:val="en-US" w:eastAsia="zh-CN"/>
        </w:rPr>
      </w:pPr>
      <w:r>
        <w:rPr>
          <w:rFonts w:hint="eastAsia"/>
          <w:b/>
          <w:bCs/>
          <w:color w:val="000000"/>
          <w:lang w:val="en-US" w:eastAsia="zh-CN"/>
        </w:rPr>
        <w:t>Observation 1:</w:t>
      </w:r>
      <w:r>
        <w:rPr>
          <w:rFonts w:hint="eastAsia"/>
          <w:color w:val="000000"/>
          <w:lang w:val="en-US" w:eastAsia="zh-CN"/>
        </w:rPr>
        <w:t xml:space="preserve"> In this summary table </w:t>
      </w:r>
      <w:r>
        <w:rPr>
          <w:color w:val="000000"/>
          <w:lang w:val="en-US" w:eastAsia="zh-CN"/>
        </w:rPr>
        <w:t xml:space="preserve">ERP is used for </w:t>
      </w:r>
      <w:r>
        <w:rPr>
          <w:rFonts w:hint="eastAsia"/>
          <w:color w:val="000000"/>
          <w:lang w:val="en-US" w:eastAsia="zh-CN"/>
        </w:rPr>
        <w:t xml:space="preserve">the radiated emission requirement instead of field strength defined in the EU EN55032 and FCC Part15 standard. </w:t>
      </w:r>
    </w:p>
    <w:p>
      <w:pPr>
        <w:rPr>
          <w:color w:val="000000"/>
          <w:lang w:val="en-US" w:eastAsia="zh-CN"/>
        </w:rPr>
      </w:pPr>
      <w:r>
        <w:rPr>
          <w:rFonts w:hint="eastAsia"/>
          <w:b/>
          <w:bCs/>
          <w:color w:val="000000"/>
          <w:lang w:val="en-US" w:eastAsia="zh-CN"/>
        </w:rPr>
        <w:t>Proposal 1:</w:t>
      </w:r>
      <w:r>
        <w:rPr>
          <w:rFonts w:hint="eastAsia"/>
          <w:color w:val="000000"/>
          <w:lang w:val="en-US" w:eastAsia="zh-CN"/>
        </w:rPr>
        <w:t xml:space="preserve"> </w:t>
      </w:r>
      <w:r>
        <w:rPr>
          <w:color w:val="000000"/>
          <w:lang w:val="en-US" w:eastAsia="zh-CN"/>
        </w:rPr>
        <w:t>We propose to</w:t>
      </w:r>
      <w:r>
        <w:rPr>
          <w:rFonts w:hint="eastAsia"/>
          <w:color w:val="000000"/>
          <w:lang w:val="en-US" w:eastAsia="zh-CN"/>
        </w:rPr>
        <w:t xml:space="preserve"> revise this table of Chapter 8.2 as below.</w:t>
      </w:r>
    </w:p>
    <w:tbl>
      <w:tblPr>
        <w:tblStyle w:val="5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7"/>
        <w:gridCol w:w="3207"/>
        <w:gridCol w:w="3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07" w:type="dxa"/>
            <w:shd w:val="clear" w:color="auto" w:fill="auto"/>
            <w:vAlign w:val="center"/>
          </w:tcPr>
          <w:p>
            <w:pPr>
              <w:rPr>
                <w:lang w:val="en-US"/>
              </w:rPr>
            </w:pPr>
            <w:r>
              <w:rPr>
                <w:lang w:val="en-US"/>
              </w:rPr>
              <w:t>EMC Radiated Emission Requirements</w:t>
            </w:r>
          </w:p>
        </w:tc>
        <w:tc>
          <w:tcPr>
            <w:tcW w:w="3207" w:type="dxa"/>
            <w:shd w:val="clear" w:color="auto" w:fill="auto"/>
            <w:vAlign w:val="center"/>
          </w:tcPr>
          <w:p>
            <w:pPr>
              <w:numPr>
                <w:ilvl w:val="0"/>
                <w:numId w:val="7"/>
              </w:numPr>
              <w:overflowPunct w:val="0"/>
              <w:autoSpaceDE w:val="0"/>
              <w:autoSpaceDN w:val="0"/>
              <w:adjustRightInd w:val="0"/>
              <w:spacing w:after="120"/>
              <w:ind w:left="334" w:hanging="283"/>
              <w:jc w:val="both"/>
              <w:textAlignment w:val="baseline"/>
              <w:rPr>
                <w:lang w:val="en-US"/>
              </w:rPr>
            </w:pPr>
            <w:r>
              <w:rPr>
                <w:rFonts w:hint="eastAsia"/>
                <w:lang w:val="en-US" w:eastAsia="zh-CN"/>
              </w:rPr>
              <w:t xml:space="preserve">40~47 </w:t>
            </w:r>
            <w:r>
              <w:rPr>
                <w:lang w:val="en-US"/>
              </w:rPr>
              <w:t>dB</w:t>
            </w:r>
            <w:r>
              <w:rPr>
                <w:rFonts w:hint="eastAsia"/>
                <w:lang w:val="en-US" w:eastAsia="zh-CN"/>
              </w:rPr>
              <w:t>(</w:t>
            </w:r>
            <w:r>
              <w:rPr>
                <w:lang w:val="en-US" w:eastAsia="zh-CN"/>
              </w:rPr>
              <w:t>μ</w:t>
            </w:r>
            <w:r>
              <w:rPr>
                <w:rFonts w:hint="eastAsia"/>
                <w:lang w:val="en-US" w:eastAsia="zh-CN"/>
              </w:rPr>
              <w:t>V/m) up to 1GHz</w:t>
            </w:r>
          </w:p>
          <w:p>
            <w:pPr>
              <w:overflowPunct w:val="0"/>
              <w:autoSpaceDE w:val="0"/>
              <w:autoSpaceDN w:val="0"/>
              <w:adjustRightInd w:val="0"/>
              <w:spacing w:after="120"/>
              <w:ind w:firstLine="400" w:firstLineChars="200"/>
              <w:jc w:val="both"/>
              <w:textAlignment w:val="baseline"/>
              <w:rPr>
                <w:lang w:val="en-US"/>
              </w:rPr>
            </w:pPr>
            <w:r>
              <w:rPr>
                <w:rFonts w:hint="eastAsia"/>
                <w:lang w:val="en-US" w:eastAsia="zh-CN"/>
              </w:rPr>
              <w:t xml:space="preserve">70~74 </w:t>
            </w:r>
            <w:r>
              <w:rPr>
                <w:lang w:val="en-US"/>
              </w:rPr>
              <w:t>dB</w:t>
            </w:r>
            <w:r>
              <w:rPr>
                <w:rFonts w:hint="eastAsia"/>
                <w:lang w:val="en-US" w:eastAsia="zh-CN"/>
              </w:rPr>
              <w:t>(</w:t>
            </w:r>
            <w:r>
              <w:rPr>
                <w:lang w:val="en-US" w:eastAsia="zh-CN"/>
              </w:rPr>
              <w:t>μ</w:t>
            </w:r>
            <w:r>
              <w:rPr>
                <w:rFonts w:hint="eastAsia"/>
                <w:lang w:val="en-US" w:eastAsia="zh-CN"/>
              </w:rPr>
              <w:t>V/m) above 1GHz</w:t>
            </w:r>
          </w:p>
          <w:p>
            <w:pPr>
              <w:overflowPunct w:val="0"/>
              <w:autoSpaceDE w:val="0"/>
              <w:autoSpaceDN w:val="0"/>
              <w:adjustRightInd w:val="0"/>
              <w:spacing w:after="120"/>
              <w:ind w:left="51"/>
              <w:jc w:val="both"/>
              <w:textAlignment w:val="baseline"/>
              <w:rPr>
                <w:lang w:val="en-US"/>
              </w:rPr>
            </w:pPr>
            <w:r>
              <w:rPr>
                <w:rFonts w:hint="eastAsia"/>
                <w:color w:val="000000"/>
                <w:lang w:val="en-US" w:eastAsia="zh-CN"/>
              </w:rPr>
              <w:t>field strength</w:t>
            </w:r>
            <w:r>
              <w:rPr>
                <w:lang w:val="en-US"/>
              </w:rPr>
              <w:t xml:space="preserve"> requirement. Not applicable for BS equipment</w:t>
            </w:r>
          </w:p>
          <w:p>
            <w:pPr>
              <w:numPr>
                <w:ilvl w:val="0"/>
                <w:numId w:val="7"/>
              </w:numPr>
              <w:overflowPunct w:val="0"/>
              <w:autoSpaceDE w:val="0"/>
              <w:autoSpaceDN w:val="0"/>
              <w:adjustRightInd w:val="0"/>
              <w:spacing w:after="120"/>
              <w:ind w:left="334" w:hanging="283"/>
              <w:jc w:val="both"/>
              <w:textAlignment w:val="baseline"/>
              <w:rPr>
                <w:lang w:val="en-US"/>
              </w:rPr>
            </w:pPr>
            <w:r>
              <w:rPr>
                <w:lang w:val="en-US"/>
              </w:rPr>
              <w:t>Defined in ETSI EN 55032.</w:t>
            </w:r>
          </w:p>
        </w:tc>
        <w:tc>
          <w:tcPr>
            <w:tcW w:w="3208" w:type="dxa"/>
            <w:shd w:val="clear" w:color="auto" w:fill="auto"/>
            <w:vAlign w:val="center"/>
          </w:tcPr>
          <w:p>
            <w:pPr>
              <w:numPr>
                <w:ilvl w:val="0"/>
                <w:numId w:val="7"/>
              </w:numPr>
              <w:overflowPunct w:val="0"/>
              <w:autoSpaceDE w:val="0"/>
              <w:autoSpaceDN w:val="0"/>
              <w:adjustRightInd w:val="0"/>
              <w:spacing w:after="120"/>
              <w:ind w:left="334" w:hanging="283"/>
              <w:jc w:val="both"/>
              <w:textAlignment w:val="baseline"/>
              <w:rPr>
                <w:lang w:val="en-US"/>
              </w:rPr>
            </w:pPr>
            <w:r>
              <w:rPr>
                <w:rFonts w:hint="eastAsia"/>
                <w:lang w:val="en-US" w:eastAsia="zh-CN"/>
              </w:rPr>
              <w:t xml:space="preserve">100-500 </w:t>
            </w:r>
            <w:r>
              <w:rPr>
                <w:lang w:val="en-US" w:eastAsia="zh-CN"/>
              </w:rPr>
              <w:t>μ</w:t>
            </w:r>
            <w:r>
              <w:rPr>
                <w:rFonts w:hint="eastAsia"/>
                <w:lang w:val="en-US" w:eastAsia="zh-CN"/>
              </w:rPr>
              <w:t>V/m</w:t>
            </w:r>
            <w:r>
              <w:rPr>
                <w:lang w:val="en-US"/>
              </w:rPr>
              <w:t xml:space="preserve"> </w:t>
            </w:r>
            <w:r>
              <w:rPr>
                <w:rFonts w:hint="eastAsia"/>
                <w:lang w:val="en-US" w:eastAsia="zh-CN"/>
              </w:rPr>
              <w:t>up to</w:t>
            </w:r>
            <w:r>
              <w:rPr>
                <w:lang w:val="en-US"/>
              </w:rPr>
              <w:t xml:space="preserve"> 1 GHz</w:t>
            </w:r>
          </w:p>
          <w:p>
            <w:pPr>
              <w:overflowPunct w:val="0"/>
              <w:autoSpaceDE w:val="0"/>
              <w:autoSpaceDN w:val="0"/>
              <w:adjustRightInd w:val="0"/>
              <w:spacing w:after="120"/>
              <w:ind w:firstLine="400" w:firstLineChars="200"/>
              <w:jc w:val="both"/>
              <w:textAlignment w:val="baseline"/>
              <w:rPr>
                <w:lang w:val="en-US"/>
              </w:rPr>
            </w:pPr>
            <w:r>
              <w:rPr>
                <w:rFonts w:hint="eastAsia"/>
                <w:lang w:val="en-US" w:eastAsia="zh-CN"/>
              </w:rPr>
              <w:t xml:space="preserve">70~74 </w:t>
            </w:r>
            <w:r>
              <w:rPr>
                <w:lang w:val="en-US"/>
              </w:rPr>
              <w:t>dB</w:t>
            </w:r>
            <w:r>
              <w:rPr>
                <w:rFonts w:hint="eastAsia"/>
                <w:lang w:val="en-US" w:eastAsia="zh-CN"/>
              </w:rPr>
              <w:t>(</w:t>
            </w:r>
            <w:r>
              <w:rPr>
                <w:lang w:val="en-US" w:eastAsia="zh-CN"/>
              </w:rPr>
              <w:t>μ</w:t>
            </w:r>
            <w:r>
              <w:rPr>
                <w:rFonts w:hint="eastAsia"/>
                <w:lang w:val="en-US" w:eastAsia="zh-CN"/>
              </w:rPr>
              <w:t>V/m) above 1GHz</w:t>
            </w:r>
          </w:p>
          <w:p>
            <w:pPr>
              <w:overflowPunct w:val="0"/>
              <w:autoSpaceDE w:val="0"/>
              <w:autoSpaceDN w:val="0"/>
              <w:adjustRightInd w:val="0"/>
              <w:spacing w:after="120"/>
              <w:ind w:left="51" w:firstLine="400" w:firstLineChars="200"/>
              <w:jc w:val="both"/>
              <w:textAlignment w:val="baseline"/>
              <w:rPr>
                <w:lang w:val="en-US"/>
              </w:rPr>
            </w:pPr>
            <w:r>
              <w:rPr>
                <w:rFonts w:hint="eastAsia"/>
                <w:color w:val="000000"/>
                <w:lang w:val="en-US" w:eastAsia="zh-CN"/>
              </w:rPr>
              <w:t>field strength</w:t>
            </w:r>
            <w:r>
              <w:rPr>
                <w:lang w:val="en-US"/>
              </w:rPr>
              <w:t xml:space="preserve"> requirement. </w:t>
            </w:r>
          </w:p>
          <w:p>
            <w:pPr>
              <w:numPr>
                <w:ilvl w:val="0"/>
                <w:numId w:val="7"/>
              </w:numPr>
              <w:overflowPunct w:val="0"/>
              <w:autoSpaceDE w:val="0"/>
              <w:autoSpaceDN w:val="0"/>
              <w:adjustRightInd w:val="0"/>
              <w:spacing w:after="120"/>
              <w:ind w:left="334" w:hanging="283"/>
              <w:jc w:val="both"/>
              <w:textAlignment w:val="baseline"/>
              <w:rPr>
                <w:lang w:val="en-US"/>
              </w:rPr>
            </w:pPr>
            <w:r>
              <w:rPr>
                <w:lang w:val="en-US"/>
              </w:rPr>
              <w:t>Specified in FCC Part 15, §15.</w:t>
            </w:r>
            <w:r>
              <w:rPr>
                <w:rFonts w:hint="eastAsia"/>
                <w:lang w:val="en-US" w:eastAsia="zh-CN"/>
              </w:rPr>
              <w:t>109</w:t>
            </w:r>
            <w:r>
              <w:rPr>
                <w:lang w:val="en-US"/>
              </w:rPr>
              <w:t>.</w:t>
            </w:r>
          </w:p>
        </w:tc>
      </w:tr>
    </w:tbl>
    <w:p>
      <w:pPr>
        <w:rPr>
          <w:color w:val="000000"/>
          <w:lang w:val="en-US" w:eastAsia="zh-CN"/>
        </w:rPr>
      </w:pPr>
    </w:p>
    <w:p>
      <w:pPr>
        <w:rPr>
          <w:color w:val="000000"/>
          <w:lang w:val="en-US" w:eastAsia="zh-CN"/>
        </w:rPr>
      </w:pPr>
      <w:r>
        <w:rPr>
          <w:rFonts w:hint="eastAsia"/>
          <w:color w:val="000000"/>
          <w:lang w:val="en-US" w:eastAsia="zh-CN"/>
        </w:rPr>
        <w:t>The chapter 8.3 of TR 37.843 describe</w:t>
      </w:r>
      <w:r>
        <w:rPr>
          <w:color w:val="000000"/>
          <w:lang w:val="en-US" w:eastAsia="zh-CN"/>
        </w:rPr>
        <w:t>s</w:t>
      </w:r>
      <w:r>
        <w:rPr>
          <w:rFonts w:hint="eastAsia"/>
          <w:color w:val="000000"/>
          <w:lang w:val="en-US" w:eastAsia="zh-CN"/>
        </w:rPr>
        <w:t xml:space="preserve"> the relation between the field strength of radiated emission  and the power of radiated spurious emission.</w:t>
      </w:r>
    </w:p>
    <w:p>
      <w:pPr>
        <w:rPr>
          <w:szCs w:val="24"/>
        </w:rPr>
      </w:pPr>
      <w:r>
        <w:rPr>
          <w:rFonts w:hint="eastAsia"/>
          <w:b/>
          <w:bCs/>
          <w:color w:val="000000"/>
          <w:lang w:val="en-US" w:eastAsia="zh-CN"/>
        </w:rPr>
        <w:t>Observation 2:</w:t>
      </w:r>
      <w:r>
        <w:rPr>
          <w:rFonts w:hint="eastAsia"/>
          <w:color w:val="000000"/>
          <w:lang w:val="en-US" w:eastAsia="zh-CN"/>
        </w:rPr>
        <w:t xml:space="preserve"> </w:t>
      </w:r>
      <w:r>
        <w:rPr>
          <w:rFonts w:hint="eastAsia"/>
          <w:szCs w:val="24"/>
          <w:lang w:val="en-US" w:eastAsia="zh-CN"/>
        </w:rPr>
        <w:t>T</w:t>
      </w:r>
      <w:r>
        <w:rPr>
          <w:szCs w:val="24"/>
        </w:rPr>
        <w:t xml:space="preserve">he path loss </w:t>
      </w:r>
      <w:r>
        <w:rPr>
          <w:szCs w:val="24"/>
          <w:lang w:val="en-US" w:eastAsia="zh-CN"/>
        </w:rPr>
        <w:t>is</w:t>
      </w:r>
      <w:r>
        <w:rPr>
          <w:rFonts w:hint="eastAsia"/>
          <w:szCs w:val="24"/>
          <w:lang w:val="en-US" w:eastAsia="zh-CN"/>
        </w:rPr>
        <w:t xml:space="preserve"> proportional to the distance and inversely proportional to the wavelength. So the following formula is wrong, but the figure 8.3-1 is correct.</w:t>
      </w:r>
      <w:r>
        <w:rPr>
          <w:szCs w:val="24"/>
          <w:lang w:val="en-US" w:eastAsia="zh-CN"/>
        </w:rPr>
        <w:t xml:space="preserve"> </w:t>
      </w:r>
    </w:p>
    <w:p>
      <w:pPr>
        <w:rPr>
          <w:szCs w:val="24"/>
        </w:rPr>
      </w:pPr>
      <w:r>
        <w:rPr>
          <w:szCs w:val="24"/>
          <w:lang w:val="en-US" w:eastAsia="zh-CN"/>
        </w:rPr>
        <w:drawing>
          <wp:inline distT="0" distB="0" distL="114300" distR="114300">
            <wp:extent cx="1104900" cy="46990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stretch>
                      <a:fillRect/>
                    </a:stretch>
                  </pic:blipFill>
                  <pic:spPr>
                    <a:xfrm>
                      <a:off x="0" y="0"/>
                      <a:ext cx="1104900" cy="469900"/>
                    </a:xfrm>
                    <a:prstGeom prst="rect">
                      <a:avLst/>
                    </a:prstGeom>
                    <a:noFill/>
                    <a:ln w="9525">
                      <a:noFill/>
                    </a:ln>
                  </pic:spPr>
                </pic:pic>
              </a:graphicData>
            </a:graphic>
          </wp:inline>
        </w:drawing>
      </w:r>
    </w:p>
    <w:p>
      <w:pPr>
        <w:rPr>
          <w:color w:val="000000"/>
          <w:lang w:val="en-US" w:eastAsia="zh-CN"/>
        </w:rPr>
      </w:pPr>
      <w:r>
        <w:rPr>
          <w:rFonts w:hint="eastAsia"/>
          <w:b/>
          <w:bCs/>
          <w:color w:val="000000"/>
          <w:lang w:val="en-US" w:eastAsia="zh-CN"/>
        </w:rPr>
        <w:t>Proposal 2:</w:t>
      </w:r>
      <w:r>
        <w:rPr>
          <w:rFonts w:hint="eastAsia"/>
          <w:color w:val="000000"/>
          <w:lang w:val="en-US" w:eastAsia="zh-CN"/>
        </w:rPr>
        <w:t xml:space="preserve"> </w:t>
      </w:r>
      <w:r>
        <w:rPr>
          <w:color w:val="000000"/>
          <w:lang w:val="en-US" w:eastAsia="zh-CN"/>
        </w:rPr>
        <w:t xml:space="preserve">We propose to </w:t>
      </w:r>
      <w:r>
        <w:rPr>
          <w:rFonts w:hint="eastAsia"/>
          <w:color w:val="000000"/>
          <w:lang w:val="en-US" w:eastAsia="zh-CN"/>
        </w:rPr>
        <w:t>revise the path loss formula as below.</w:t>
      </w:r>
    </w:p>
    <w:p>
      <w:pPr>
        <w:rPr>
          <w:color w:val="000000"/>
          <w:lang w:val="en-US" w:eastAsia="zh-CN"/>
        </w:rPr>
      </w:pPr>
      <w:r>
        <w:rPr>
          <w:rFonts w:hint="eastAsia"/>
          <w:position w:val="-28"/>
          <w:lang w:val="en-US" w:eastAsia="zh-CN"/>
        </w:rPr>
        <w:object>
          <v:shape id="_x0000_i1025" o:spt="75" type="#_x0000_t75" style="height:36.85pt;width:84.1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rPr>
          <w:color w:val="000000"/>
          <w:lang w:val="en-US" w:eastAsia="zh-CN"/>
        </w:rPr>
      </w:pPr>
      <w:r>
        <w:rPr>
          <w:rFonts w:hint="eastAsia"/>
          <w:b/>
          <w:bCs/>
          <w:color w:val="000000"/>
          <w:lang w:val="en-US" w:eastAsia="zh-CN"/>
        </w:rPr>
        <w:t>Observation 3:</w:t>
      </w:r>
      <w:r>
        <w:rPr>
          <w:rFonts w:hint="eastAsia"/>
          <w:color w:val="000000"/>
          <w:lang w:val="en-US" w:eastAsia="zh-CN"/>
        </w:rPr>
        <w:t xml:space="preserve"> Chapter 8.3.1 </w:t>
      </w:r>
      <w:r>
        <w:rPr>
          <w:color w:val="000000"/>
          <w:lang w:val="en-US" w:eastAsia="zh-CN"/>
        </w:rPr>
        <w:t>provides</w:t>
      </w:r>
      <w:r>
        <w:rPr>
          <w:rFonts w:hint="eastAsia"/>
          <w:color w:val="000000"/>
          <w:lang w:val="en-US" w:eastAsia="zh-CN"/>
        </w:rPr>
        <w:t xml:space="preserve"> a conversion formula between dBm to V/m which is proportional  to ERP, but in the ITU-R SM329 [2] the same formula use the EIRP. </w:t>
      </w:r>
      <w:r>
        <w:rPr>
          <w:color w:val="000000"/>
          <w:lang w:val="en-US" w:eastAsia="zh-CN"/>
        </w:rPr>
        <w:t xml:space="preserve">There is a constant difference of 2.15 dB between EIRP. and ERP. </w:t>
      </w:r>
    </w:p>
    <w:p>
      <w:pPr>
        <w:rPr>
          <w:color w:val="000000"/>
          <w:lang w:val="en-US" w:eastAsia="zh-CN"/>
        </w:rPr>
      </w:pPr>
      <w:r>
        <w:rPr>
          <w:lang w:val="en-US" w:eastAsia="zh-CN"/>
        </w:rPr>
        <w:drawing>
          <wp:inline distT="0" distB="0" distL="114300" distR="114300">
            <wp:extent cx="1524000" cy="619125"/>
            <wp:effectExtent l="0" t="0" r="0"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cstate="print"/>
                    <a:stretch>
                      <a:fillRect/>
                    </a:stretch>
                  </pic:blipFill>
                  <pic:spPr>
                    <a:xfrm>
                      <a:off x="0" y="0"/>
                      <a:ext cx="1524000" cy="619125"/>
                    </a:xfrm>
                    <a:prstGeom prst="rect">
                      <a:avLst/>
                    </a:prstGeom>
                    <a:noFill/>
                    <a:ln w="9525">
                      <a:noFill/>
                    </a:ln>
                  </pic:spPr>
                </pic:pic>
              </a:graphicData>
            </a:graphic>
          </wp:inline>
        </w:drawing>
      </w:r>
    </w:p>
    <w:p>
      <w:r>
        <w:rPr>
          <w:rFonts w:hint="eastAsia"/>
          <w:color w:val="000000"/>
          <w:lang w:val="en-US" w:eastAsia="zh-CN"/>
        </w:rPr>
        <w:t>The chapter 8.4 of TR 37.843 propose</w:t>
      </w:r>
      <w:r>
        <w:rPr>
          <w:color w:val="000000"/>
          <w:lang w:val="en-US" w:eastAsia="zh-CN"/>
        </w:rPr>
        <w:t>s</w:t>
      </w:r>
      <w:r>
        <w:rPr>
          <w:rFonts w:hint="eastAsia"/>
          <w:color w:val="000000"/>
          <w:lang w:val="en-US" w:eastAsia="zh-CN"/>
        </w:rPr>
        <w:t xml:space="preserve"> </w:t>
      </w:r>
      <w:r>
        <w:rPr>
          <w:color w:val="000000"/>
          <w:lang w:val="en-US" w:eastAsia="zh-CN"/>
        </w:rPr>
        <w:t>to have</w:t>
      </w:r>
      <w:r>
        <w:rPr>
          <w:rFonts w:hint="eastAsia"/>
          <w:color w:val="000000"/>
          <w:lang w:val="en-US" w:eastAsia="zh-CN"/>
        </w:rPr>
        <w:t xml:space="preserve"> a protection for measurement equipment during radiated spurious emission such as using the </w:t>
      </w:r>
      <w:r>
        <w:rPr>
          <w:rFonts w:hint="eastAsia"/>
        </w:rPr>
        <w:t xml:space="preserve">notch or </w:t>
      </w:r>
      <w:r>
        <w:rPr>
          <w:rFonts w:hint="eastAsia"/>
          <w:lang w:val="en-US" w:eastAsia="zh-CN"/>
        </w:rPr>
        <w:t xml:space="preserve">the </w:t>
      </w:r>
      <w:r>
        <w:rPr>
          <w:rFonts w:hint="eastAsia"/>
        </w:rPr>
        <w:t>band stop filter</w:t>
      </w:r>
      <w:r>
        <w:rPr>
          <w:rFonts w:hint="eastAsia"/>
          <w:lang w:val="en-US" w:eastAsia="zh-CN"/>
        </w:rPr>
        <w:t>.</w:t>
      </w:r>
      <w:r>
        <w:rPr>
          <w:lang w:val="en-US" w:eastAsia="zh-CN"/>
        </w:rPr>
        <w:t xml:space="preserve"> </w:t>
      </w:r>
      <w:r>
        <w:rPr>
          <w:color w:val="000000"/>
          <w:lang w:val="en-US" w:eastAsia="zh-CN"/>
        </w:rPr>
        <w:t>It also</w:t>
      </w:r>
      <w:r>
        <w:rPr>
          <w:rFonts w:hint="eastAsia"/>
          <w:color w:val="000000"/>
          <w:lang w:val="en-US" w:eastAsia="zh-CN"/>
        </w:rPr>
        <w:t xml:space="preserve"> explain</w:t>
      </w:r>
      <w:r>
        <w:rPr>
          <w:color w:val="000000"/>
          <w:lang w:val="en-US" w:eastAsia="zh-CN"/>
        </w:rPr>
        <w:t>s</w:t>
      </w:r>
      <w:r>
        <w:rPr>
          <w:rFonts w:hint="eastAsia"/>
          <w:color w:val="000000"/>
          <w:lang w:val="en-US" w:eastAsia="zh-CN"/>
        </w:rPr>
        <w:t xml:space="preserve"> </w:t>
      </w:r>
      <w:r>
        <w:rPr>
          <w:color w:val="000000"/>
          <w:lang w:val="en-US" w:eastAsia="zh-CN"/>
        </w:rPr>
        <w:t xml:space="preserve">why </w:t>
      </w:r>
      <w:r>
        <w:rPr>
          <w:color w:val="000000"/>
        </w:rPr>
        <w:t>RF RSE and EMC RE requirements cannot be differentiated any longer</w:t>
      </w:r>
      <w:r>
        <w:rPr>
          <w:rFonts w:hint="eastAsia"/>
          <w:color w:val="000000"/>
          <w:lang w:val="en-US" w:eastAsia="zh-CN"/>
        </w:rPr>
        <w:t xml:space="preserve"> and </w:t>
      </w:r>
      <w:r>
        <w:rPr>
          <w:color w:val="000000"/>
          <w:lang w:val="en-US" w:eastAsia="zh-CN"/>
        </w:rPr>
        <w:t xml:space="preserve">therefore </w:t>
      </w:r>
      <w:r>
        <w:rPr>
          <w:rFonts w:hint="eastAsia"/>
          <w:color w:val="000000"/>
          <w:lang w:val="en-US" w:eastAsia="zh-CN"/>
        </w:rPr>
        <w:t>propose</w:t>
      </w:r>
      <w:r>
        <w:rPr>
          <w:color w:val="000000"/>
          <w:lang w:val="en-US" w:eastAsia="zh-CN"/>
        </w:rPr>
        <w:t>s</w:t>
      </w:r>
      <w:r>
        <w:rPr>
          <w:rFonts w:hint="eastAsia"/>
          <w:color w:val="000000"/>
          <w:lang w:val="en-US" w:eastAsia="zh-CN"/>
        </w:rPr>
        <w:t xml:space="preserve"> TRP as the combination  requirement for eAAS BS and a calculation formula </w:t>
      </w:r>
      <w:r>
        <w:t>[Total radiated emissions = RF RSE + EMC RE + corr ]</w:t>
      </w:r>
      <w:r>
        <w:rPr>
          <w:rFonts w:hint="eastAsia"/>
          <w:lang w:val="en-US" w:eastAsia="zh-CN"/>
        </w:rPr>
        <w:t>.</w:t>
      </w:r>
    </w:p>
    <w:p>
      <w:pPr>
        <w:rPr>
          <w:color w:val="000000"/>
          <w:lang w:val="en-US" w:eastAsia="zh-CN"/>
        </w:rPr>
      </w:pPr>
      <w:r>
        <w:rPr>
          <w:rFonts w:hint="eastAsia"/>
          <w:b/>
          <w:bCs/>
          <w:color w:val="000000"/>
          <w:lang w:val="en-US" w:eastAsia="zh-CN"/>
        </w:rPr>
        <w:t xml:space="preserve">Observation 4: </w:t>
      </w:r>
      <w:r>
        <w:rPr>
          <w:rFonts w:hint="eastAsia"/>
          <w:color w:val="000000"/>
          <w:lang w:val="en-US" w:eastAsia="zh-CN"/>
        </w:rPr>
        <w:t>ITU-R SM329 [2] has illustrated the simple relation for the idea</w:t>
      </w:r>
      <w:r>
        <w:rPr>
          <w:color w:val="000000"/>
          <w:lang w:val="en-US" w:eastAsia="zh-CN"/>
        </w:rPr>
        <w:t>l</w:t>
      </w:r>
      <w:r>
        <w:rPr>
          <w:rFonts w:hint="eastAsia"/>
          <w:color w:val="000000"/>
          <w:lang w:val="en-US" w:eastAsia="zh-CN"/>
        </w:rPr>
        <w:t xml:space="preserve"> case between field strength and power. The EMC  RE measure</w:t>
      </w:r>
      <w:r>
        <w:rPr>
          <w:color w:val="000000"/>
          <w:lang w:val="en-US" w:eastAsia="zh-CN"/>
        </w:rPr>
        <w:t>s</w:t>
      </w:r>
      <w:r>
        <w:rPr>
          <w:rFonts w:hint="eastAsia"/>
          <w:color w:val="000000"/>
          <w:lang w:val="en-US" w:eastAsia="zh-CN"/>
        </w:rPr>
        <w:t xml:space="preserve"> the actual field strength </w:t>
      </w:r>
      <w:r>
        <w:rPr>
          <w:color w:val="000000"/>
          <w:lang w:val="en-US" w:eastAsia="zh-CN"/>
        </w:rPr>
        <w:t>while</w:t>
      </w:r>
      <w:r>
        <w:rPr>
          <w:rFonts w:hint="eastAsia"/>
          <w:color w:val="000000"/>
          <w:lang w:val="en-US" w:eastAsia="zh-CN"/>
        </w:rPr>
        <w:t xml:space="preserve"> the RF RSE measure</w:t>
      </w:r>
      <w:r>
        <w:rPr>
          <w:color w:val="000000"/>
          <w:lang w:val="en-US" w:eastAsia="zh-CN"/>
        </w:rPr>
        <w:t>s</w:t>
      </w:r>
      <w:r>
        <w:rPr>
          <w:rFonts w:hint="eastAsia"/>
          <w:color w:val="000000"/>
          <w:lang w:val="en-US" w:eastAsia="zh-CN"/>
        </w:rPr>
        <w:t xml:space="preserve"> the actual spurious power. If calculated according to the above formula, it means calculate repeatly in power.</w:t>
      </w:r>
    </w:p>
    <w:p>
      <w:pPr>
        <w:widowControl w:val="0"/>
        <w:spacing w:line="360" w:lineRule="auto"/>
        <w:jc w:val="both"/>
        <w:rPr>
          <w:lang w:val="en-US" w:eastAsia="zh-CN"/>
        </w:rPr>
      </w:pPr>
      <w:r>
        <w:rPr>
          <w:rFonts w:hint="eastAsia"/>
          <w:b/>
          <w:bCs/>
        </w:rPr>
        <w:t xml:space="preserve">Proposal </w:t>
      </w:r>
      <w:r>
        <w:rPr>
          <w:rFonts w:hint="eastAsia"/>
          <w:b/>
          <w:bCs/>
          <w:lang w:val="en-US" w:eastAsia="zh-CN"/>
        </w:rPr>
        <w:t>3</w:t>
      </w:r>
      <w:r>
        <w:rPr>
          <w:rFonts w:hint="eastAsia"/>
          <w:lang w:val="en-US" w:eastAsia="zh-CN"/>
        </w:rPr>
        <w:t>：For eAAS BS TRP could be the metric for RSE. There is  the conversion between RSE and RE. We suggest not considering EMC RE any more and continue to make research for RES TRP methodology.</w:t>
      </w:r>
    </w:p>
    <w:p>
      <w:pPr>
        <w:pStyle w:val="2"/>
        <w:rPr>
          <w:rFonts w:cs="Arial"/>
          <w:lang w:eastAsia="zh-CN"/>
        </w:rPr>
      </w:pPr>
      <w:r>
        <w:rPr>
          <w:rFonts w:cs="Arial"/>
          <w:lang w:eastAsia="zh-CN"/>
        </w:rPr>
        <w:t>Conclusion</w:t>
      </w:r>
    </w:p>
    <w:p>
      <w:pPr>
        <w:rPr>
          <w:color w:val="000000" w:themeColor="text1"/>
        </w:rPr>
      </w:pPr>
      <w:r>
        <w:rPr>
          <w:color w:val="000000" w:themeColor="text1"/>
        </w:rPr>
        <w:t xml:space="preserve">Based on the discussion above, the following observations and proposals were made: </w:t>
      </w:r>
    </w:p>
    <w:p>
      <w:pPr>
        <w:rPr>
          <w:color w:val="000000"/>
          <w:lang w:val="en-US" w:eastAsia="zh-CN"/>
        </w:rPr>
      </w:pPr>
      <w:r>
        <w:rPr>
          <w:rFonts w:hint="eastAsia"/>
          <w:b/>
          <w:bCs/>
          <w:color w:val="000000"/>
          <w:lang w:val="en-US" w:eastAsia="zh-CN"/>
        </w:rPr>
        <w:t>Observation 1:</w:t>
      </w:r>
      <w:r>
        <w:rPr>
          <w:rFonts w:hint="eastAsia"/>
          <w:color w:val="000000"/>
          <w:lang w:val="en-US" w:eastAsia="zh-CN"/>
        </w:rPr>
        <w:t xml:space="preserve"> In this summary table the radiated emission requirement use the ERP instead of field strength defined in the EU EN55032 and FCC Part15 standard. </w:t>
      </w:r>
    </w:p>
    <w:p>
      <w:pPr>
        <w:rPr>
          <w:szCs w:val="24"/>
        </w:rPr>
      </w:pPr>
      <w:r>
        <w:rPr>
          <w:rFonts w:hint="eastAsia"/>
          <w:b/>
          <w:bCs/>
          <w:color w:val="000000"/>
          <w:lang w:val="en-US" w:eastAsia="zh-CN"/>
        </w:rPr>
        <w:t>Observation 2:</w:t>
      </w:r>
      <w:r>
        <w:rPr>
          <w:rFonts w:hint="eastAsia"/>
          <w:color w:val="000000"/>
          <w:lang w:val="en-US" w:eastAsia="zh-CN"/>
        </w:rPr>
        <w:t xml:space="preserve"> </w:t>
      </w:r>
      <w:r>
        <w:rPr>
          <w:rFonts w:hint="eastAsia"/>
          <w:szCs w:val="24"/>
          <w:lang w:val="en-US" w:eastAsia="zh-CN"/>
        </w:rPr>
        <w:t>T</w:t>
      </w:r>
      <w:r>
        <w:rPr>
          <w:szCs w:val="24"/>
        </w:rPr>
        <w:t xml:space="preserve">he path loss </w:t>
      </w:r>
      <w:r>
        <w:rPr>
          <w:rFonts w:hint="eastAsia"/>
          <w:szCs w:val="24"/>
          <w:lang w:val="en-US" w:eastAsia="zh-CN"/>
        </w:rPr>
        <w:t>should be proportional to the distance and inversely  proportional to the wavelength. So the following formula is wrong, but the figure 8.3-1 is correct.</w:t>
      </w:r>
    </w:p>
    <w:p>
      <w:pPr>
        <w:rPr>
          <w:szCs w:val="24"/>
        </w:rPr>
      </w:pPr>
      <w:r>
        <w:rPr>
          <w:szCs w:val="24"/>
          <w:lang w:val="en-US" w:eastAsia="zh-CN"/>
        </w:rPr>
        <w:drawing>
          <wp:inline distT="0" distB="0" distL="114300" distR="114300">
            <wp:extent cx="1104900" cy="46990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cstate="print"/>
                    <a:stretch>
                      <a:fillRect/>
                    </a:stretch>
                  </pic:blipFill>
                  <pic:spPr>
                    <a:xfrm>
                      <a:off x="0" y="0"/>
                      <a:ext cx="1104900" cy="469900"/>
                    </a:xfrm>
                    <a:prstGeom prst="rect">
                      <a:avLst/>
                    </a:prstGeom>
                    <a:noFill/>
                    <a:ln w="9525">
                      <a:noFill/>
                    </a:ln>
                  </pic:spPr>
                </pic:pic>
              </a:graphicData>
            </a:graphic>
          </wp:inline>
        </w:drawing>
      </w:r>
    </w:p>
    <w:p>
      <w:pPr>
        <w:rPr>
          <w:color w:val="000000"/>
          <w:lang w:val="en-US" w:eastAsia="zh-CN"/>
        </w:rPr>
      </w:pPr>
      <w:r>
        <w:rPr>
          <w:rFonts w:hint="eastAsia"/>
          <w:b/>
          <w:bCs/>
          <w:color w:val="000000"/>
          <w:lang w:val="en-US" w:eastAsia="zh-CN"/>
        </w:rPr>
        <w:t>Observation 3:</w:t>
      </w:r>
      <w:r>
        <w:rPr>
          <w:rFonts w:hint="eastAsia"/>
          <w:color w:val="000000"/>
          <w:lang w:val="en-US" w:eastAsia="zh-CN"/>
        </w:rPr>
        <w:t xml:space="preserve"> Chapter 8.3.1 give a conversion formula between dBm to V/m which is proportional  to ERP, but in the ITU-R SM329 [2] the same formula use the EIRP. </w:t>
      </w:r>
      <w:r>
        <w:rPr>
          <w:color w:val="000000"/>
          <w:lang w:val="en-US" w:eastAsia="zh-CN"/>
        </w:rPr>
        <w:t>There is a constant difference of 2.15 dB between e.i.r.p. and e.r.p.</w:t>
      </w:r>
    </w:p>
    <w:p>
      <w:pPr>
        <w:rPr>
          <w:color w:val="000000"/>
          <w:lang w:val="en-US" w:eastAsia="zh-CN"/>
        </w:rPr>
      </w:pPr>
      <w:r>
        <w:rPr>
          <w:lang w:val="en-US" w:eastAsia="zh-CN"/>
        </w:rPr>
        <w:drawing>
          <wp:inline distT="0" distB="0" distL="114300" distR="114300">
            <wp:extent cx="1524000" cy="619125"/>
            <wp:effectExtent l="0" t="0" r="0" b="952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7" cstate="print"/>
                    <a:stretch>
                      <a:fillRect/>
                    </a:stretch>
                  </pic:blipFill>
                  <pic:spPr>
                    <a:xfrm>
                      <a:off x="0" y="0"/>
                      <a:ext cx="1524000" cy="619125"/>
                    </a:xfrm>
                    <a:prstGeom prst="rect">
                      <a:avLst/>
                    </a:prstGeom>
                    <a:noFill/>
                    <a:ln w="9525">
                      <a:noFill/>
                    </a:ln>
                  </pic:spPr>
                </pic:pic>
              </a:graphicData>
            </a:graphic>
          </wp:inline>
        </w:drawing>
      </w:r>
    </w:p>
    <w:p>
      <w:pPr>
        <w:rPr>
          <w:b/>
          <w:lang w:val="en-US" w:eastAsia="zh-CN"/>
        </w:rPr>
      </w:pPr>
    </w:p>
    <w:p>
      <w:pPr>
        <w:rPr>
          <w:color w:val="000000"/>
          <w:lang w:val="en-US" w:eastAsia="zh-CN"/>
        </w:rPr>
      </w:pPr>
      <w:r>
        <w:rPr>
          <w:rFonts w:hint="eastAsia"/>
          <w:b/>
          <w:bCs/>
          <w:color w:val="000000"/>
          <w:lang w:val="en-US" w:eastAsia="zh-CN"/>
        </w:rPr>
        <w:t xml:space="preserve">Observation 4: </w:t>
      </w:r>
      <w:r>
        <w:rPr>
          <w:rFonts w:hint="eastAsia"/>
          <w:color w:val="000000"/>
          <w:lang w:val="en-US" w:eastAsia="zh-CN"/>
        </w:rPr>
        <w:t>ITU-R SM329 [2] has illustrated the simple relation for the idea case between field strength and power. The EMC  RE measure the actual field strength and the RF RSE measure the actual spurious power. If calculated according to the above formula, it means double  the power calculation.</w:t>
      </w:r>
    </w:p>
    <w:p>
      <w:pPr>
        <w:rPr>
          <w:color w:val="000000"/>
          <w:lang w:val="en-US" w:eastAsia="zh-CN"/>
        </w:rPr>
      </w:pPr>
      <w:r>
        <w:rPr>
          <w:rFonts w:hint="eastAsia"/>
          <w:b/>
          <w:bCs/>
          <w:color w:val="000000"/>
          <w:lang w:val="en-US" w:eastAsia="zh-CN"/>
        </w:rPr>
        <w:t>Proposal 1:</w:t>
      </w:r>
      <w:r>
        <w:rPr>
          <w:rFonts w:hint="eastAsia"/>
          <w:color w:val="000000"/>
          <w:lang w:val="en-US" w:eastAsia="zh-CN"/>
        </w:rPr>
        <w:t xml:space="preserve"> It should revise this table of Chapter 8.2 as below.</w:t>
      </w:r>
    </w:p>
    <w:tbl>
      <w:tblPr>
        <w:tblStyle w:val="5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7"/>
        <w:gridCol w:w="3207"/>
        <w:gridCol w:w="3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07" w:type="dxa"/>
            <w:shd w:val="clear" w:color="auto" w:fill="auto"/>
            <w:vAlign w:val="center"/>
          </w:tcPr>
          <w:p>
            <w:pPr>
              <w:rPr>
                <w:lang w:val="en-US"/>
              </w:rPr>
            </w:pPr>
            <w:r>
              <w:rPr>
                <w:lang w:val="en-US"/>
              </w:rPr>
              <w:t>EMC Radiated Emission Requirements</w:t>
            </w:r>
          </w:p>
        </w:tc>
        <w:tc>
          <w:tcPr>
            <w:tcW w:w="3207" w:type="dxa"/>
            <w:shd w:val="clear" w:color="auto" w:fill="auto"/>
            <w:vAlign w:val="center"/>
          </w:tcPr>
          <w:p>
            <w:pPr>
              <w:numPr>
                <w:ilvl w:val="0"/>
                <w:numId w:val="7"/>
              </w:numPr>
              <w:overflowPunct w:val="0"/>
              <w:autoSpaceDE w:val="0"/>
              <w:autoSpaceDN w:val="0"/>
              <w:adjustRightInd w:val="0"/>
              <w:spacing w:after="120"/>
              <w:ind w:left="334" w:hanging="283"/>
              <w:jc w:val="both"/>
              <w:textAlignment w:val="baseline"/>
              <w:rPr>
                <w:lang w:val="en-US"/>
              </w:rPr>
            </w:pPr>
            <w:r>
              <w:rPr>
                <w:rFonts w:hint="eastAsia"/>
                <w:lang w:val="en-US" w:eastAsia="zh-CN"/>
              </w:rPr>
              <w:t xml:space="preserve">40~47 </w:t>
            </w:r>
            <w:r>
              <w:rPr>
                <w:lang w:val="en-US"/>
              </w:rPr>
              <w:t>dB</w:t>
            </w:r>
            <w:r>
              <w:rPr>
                <w:rFonts w:hint="eastAsia"/>
                <w:lang w:val="en-US" w:eastAsia="zh-CN"/>
              </w:rPr>
              <w:t>(</w:t>
            </w:r>
            <w:r>
              <w:rPr>
                <w:lang w:val="en-US" w:eastAsia="zh-CN"/>
              </w:rPr>
              <w:t>μ</w:t>
            </w:r>
            <w:r>
              <w:rPr>
                <w:rFonts w:hint="eastAsia"/>
                <w:lang w:val="en-US" w:eastAsia="zh-CN"/>
              </w:rPr>
              <w:t>V/m) up to 1GHz</w:t>
            </w:r>
          </w:p>
          <w:p>
            <w:pPr>
              <w:overflowPunct w:val="0"/>
              <w:autoSpaceDE w:val="0"/>
              <w:autoSpaceDN w:val="0"/>
              <w:adjustRightInd w:val="0"/>
              <w:spacing w:after="120"/>
              <w:ind w:firstLine="400" w:firstLineChars="200"/>
              <w:jc w:val="both"/>
              <w:textAlignment w:val="baseline"/>
              <w:rPr>
                <w:lang w:val="en-US"/>
              </w:rPr>
            </w:pPr>
            <w:r>
              <w:rPr>
                <w:rFonts w:hint="eastAsia"/>
                <w:lang w:val="en-US" w:eastAsia="zh-CN"/>
              </w:rPr>
              <w:t xml:space="preserve">70~74 </w:t>
            </w:r>
            <w:r>
              <w:rPr>
                <w:lang w:val="en-US"/>
              </w:rPr>
              <w:t>dB</w:t>
            </w:r>
            <w:r>
              <w:rPr>
                <w:rFonts w:hint="eastAsia"/>
                <w:lang w:val="en-US" w:eastAsia="zh-CN"/>
              </w:rPr>
              <w:t>(</w:t>
            </w:r>
            <w:r>
              <w:rPr>
                <w:lang w:val="en-US" w:eastAsia="zh-CN"/>
              </w:rPr>
              <w:t>μ</w:t>
            </w:r>
            <w:r>
              <w:rPr>
                <w:rFonts w:hint="eastAsia"/>
                <w:lang w:val="en-US" w:eastAsia="zh-CN"/>
              </w:rPr>
              <w:t>V/m) above 1GHz</w:t>
            </w:r>
          </w:p>
          <w:p>
            <w:pPr>
              <w:overflowPunct w:val="0"/>
              <w:autoSpaceDE w:val="0"/>
              <w:autoSpaceDN w:val="0"/>
              <w:adjustRightInd w:val="0"/>
              <w:spacing w:after="120"/>
              <w:ind w:left="51"/>
              <w:jc w:val="both"/>
              <w:textAlignment w:val="baseline"/>
              <w:rPr>
                <w:lang w:val="en-US"/>
              </w:rPr>
            </w:pPr>
            <w:r>
              <w:rPr>
                <w:rFonts w:hint="eastAsia"/>
                <w:color w:val="000000"/>
                <w:lang w:val="en-US" w:eastAsia="zh-CN"/>
              </w:rPr>
              <w:t>field strength</w:t>
            </w:r>
            <w:r>
              <w:rPr>
                <w:lang w:val="en-US"/>
              </w:rPr>
              <w:t xml:space="preserve"> requirement. Not applicable for BS equipment</w:t>
            </w:r>
          </w:p>
          <w:p>
            <w:pPr>
              <w:numPr>
                <w:ilvl w:val="0"/>
                <w:numId w:val="7"/>
              </w:numPr>
              <w:overflowPunct w:val="0"/>
              <w:autoSpaceDE w:val="0"/>
              <w:autoSpaceDN w:val="0"/>
              <w:adjustRightInd w:val="0"/>
              <w:spacing w:after="120"/>
              <w:ind w:left="334" w:hanging="283"/>
              <w:jc w:val="both"/>
              <w:textAlignment w:val="baseline"/>
              <w:rPr>
                <w:lang w:val="en-US"/>
              </w:rPr>
            </w:pPr>
            <w:r>
              <w:rPr>
                <w:lang w:val="en-US"/>
              </w:rPr>
              <w:t>Defined in ETSI EN 55032.</w:t>
            </w:r>
          </w:p>
        </w:tc>
        <w:tc>
          <w:tcPr>
            <w:tcW w:w="3208" w:type="dxa"/>
            <w:shd w:val="clear" w:color="auto" w:fill="auto"/>
            <w:vAlign w:val="center"/>
          </w:tcPr>
          <w:p>
            <w:pPr>
              <w:numPr>
                <w:ilvl w:val="0"/>
                <w:numId w:val="7"/>
              </w:numPr>
              <w:overflowPunct w:val="0"/>
              <w:autoSpaceDE w:val="0"/>
              <w:autoSpaceDN w:val="0"/>
              <w:adjustRightInd w:val="0"/>
              <w:spacing w:after="120"/>
              <w:ind w:left="334" w:hanging="283"/>
              <w:jc w:val="both"/>
              <w:textAlignment w:val="baseline"/>
              <w:rPr>
                <w:lang w:val="en-US"/>
              </w:rPr>
            </w:pPr>
            <w:r>
              <w:rPr>
                <w:rFonts w:hint="eastAsia"/>
                <w:lang w:val="en-US" w:eastAsia="zh-CN"/>
              </w:rPr>
              <w:t xml:space="preserve">100-500 </w:t>
            </w:r>
            <w:r>
              <w:rPr>
                <w:lang w:val="en-US" w:eastAsia="zh-CN"/>
              </w:rPr>
              <w:t>μ</w:t>
            </w:r>
            <w:r>
              <w:rPr>
                <w:rFonts w:hint="eastAsia"/>
                <w:lang w:val="en-US" w:eastAsia="zh-CN"/>
              </w:rPr>
              <w:t>V/m</w:t>
            </w:r>
            <w:r>
              <w:rPr>
                <w:lang w:val="en-US"/>
              </w:rPr>
              <w:t xml:space="preserve"> </w:t>
            </w:r>
            <w:r>
              <w:rPr>
                <w:rFonts w:hint="eastAsia"/>
                <w:lang w:val="en-US" w:eastAsia="zh-CN"/>
              </w:rPr>
              <w:t>up to</w:t>
            </w:r>
            <w:r>
              <w:rPr>
                <w:lang w:val="en-US"/>
              </w:rPr>
              <w:t xml:space="preserve"> 1 GHz</w:t>
            </w:r>
          </w:p>
          <w:p>
            <w:pPr>
              <w:overflowPunct w:val="0"/>
              <w:autoSpaceDE w:val="0"/>
              <w:autoSpaceDN w:val="0"/>
              <w:adjustRightInd w:val="0"/>
              <w:spacing w:after="120"/>
              <w:ind w:firstLine="400" w:firstLineChars="200"/>
              <w:jc w:val="both"/>
              <w:textAlignment w:val="baseline"/>
              <w:rPr>
                <w:lang w:val="en-US"/>
              </w:rPr>
            </w:pPr>
            <w:r>
              <w:rPr>
                <w:rFonts w:hint="eastAsia"/>
                <w:lang w:val="en-US" w:eastAsia="zh-CN"/>
              </w:rPr>
              <w:t xml:space="preserve">70~74 </w:t>
            </w:r>
            <w:r>
              <w:rPr>
                <w:lang w:val="en-US"/>
              </w:rPr>
              <w:t>dB</w:t>
            </w:r>
            <w:r>
              <w:rPr>
                <w:rFonts w:hint="eastAsia"/>
                <w:lang w:val="en-US" w:eastAsia="zh-CN"/>
              </w:rPr>
              <w:t>(</w:t>
            </w:r>
            <w:r>
              <w:rPr>
                <w:lang w:val="en-US" w:eastAsia="zh-CN"/>
              </w:rPr>
              <w:t>μ</w:t>
            </w:r>
            <w:r>
              <w:rPr>
                <w:rFonts w:hint="eastAsia"/>
                <w:lang w:val="en-US" w:eastAsia="zh-CN"/>
              </w:rPr>
              <w:t>V/m) above 1GHz</w:t>
            </w:r>
          </w:p>
          <w:p>
            <w:pPr>
              <w:overflowPunct w:val="0"/>
              <w:autoSpaceDE w:val="0"/>
              <w:autoSpaceDN w:val="0"/>
              <w:adjustRightInd w:val="0"/>
              <w:spacing w:after="120"/>
              <w:ind w:left="51" w:firstLine="400" w:firstLineChars="200"/>
              <w:jc w:val="both"/>
              <w:textAlignment w:val="baseline"/>
              <w:rPr>
                <w:lang w:val="en-US"/>
              </w:rPr>
            </w:pPr>
            <w:r>
              <w:rPr>
                <w:rFonts w:hint="eastAsia"/>
                <w:color w:val="000000"/>
                <w:lang w:val="en-US" w:eastAsia="zh-CN"/>
              </w:rPr>
              <w:t>field strength</w:t>
            </w:r>
            <w:r>
              <w:rPr>
                <w:lang w:val="en-US"/>
              </w:rPr>
              <w:t xml:space="preserve"> requirement. </w:t>
            </w:r>
          </w:p>
          <w:p>
            <w:pPr>
              <w:numPr>
                <w:ilvl w:val="0"/>
                <w:numId w:val="7"/>
              </w:numPr>
              <w:overflowPunct w:val="0"/>
              <w:autoSpaceDE w:val="0"/>
              <w:autoSpaceDN w:val="0"/>
              <w:adjustRightInd w:val="0"/>
              <w:spacing w:after="120"/>
              <w:ind w:left="334" w:hanging="283"/>
              <w:jc w:val="both"/>
              <w:textAlignment w:val="baseline"/>
              <w:rPr>
                <w:lang w:val="en-US"/>
              </w:rPr>
            </w:pPr>
            <w:r>
              <w:rPr>
                <w:lang w:val="en-US"/>
              </w:rPr>
              <w:t>Specified in FCC Part 15, §15.</w:t>
            </w:r>
            <w:r>
              <w:rPr>
                <w:rFonts w:hint="eastAsia"/>
                <w:lang w:val="en-US" w:eastAsia="zh-CN"/>
              </w:rPr>
              <w:t>109</w:t>
            </w:r>
            <w:r>
              <w:rPr>
                <w:lang w:val="en-US"/>
              </w:rPr>
              <w:t>.</w:t>
            </w:r>
          </w:p>
        </w:tc>
      </w:tr>
    </w:tbl>
    <w:p>
      <w:pPr>
        <w:rPr>
          <w:b/>
          <w:lang w:val="en-US" w:eastAsia="zh-CN"/>
        </w:rPr>
      </w:pPr>
    </w:p>
    <w:p>
      <w:pPr>
        <w:rPr>
          <w:color w:val="000000"/>
          <w:lang w:val="en-US" w:eastAsia="zh-CN"/>
        </w:rPr>
      </w:pPr>
      <w:r>
        <w:rPr>
          <w:rFonts w:hint="eastAsia"/>
          <w:b/>
          <w:bCs/>
          <w:color w:val="000000"/>
          <w:lang w:val="en-US" w:eastAsia="zh-CN"/>
        </w:rPr>
        <w:t>Proposal 2:</w:t>
      </w:r>
      <w:r>
        <w:rPr>
          <w:rFonts w:hint="eastAsia"/>
          <w:color w:val="000000"/>
          <w:lang w:val="en-US" w:eastAsia="zh-CN"/>
        </w:rPr>
        <w:t xml:space="preserve"> It should revise the path loss formula as below.</w:t>
      </w:r>
    </w:p>
    <w:p>
      <w:pPr>
        <w:rPr>
          <w:color w:val="000000"/>
          <w:lang w:val="en-US" w:eastAsia="zh-CN"/>
        </w:rPr>
      </w:pPr>
      <w:r>
        <w:rPr>
          <w:rFonts w:hint="eastAsia"/>
          <w:position w:val="-28"/>
          <w:lang w:val="en-US" w:eastAsia="zh-CN"/>
        </w:rPr>
        <w:object>
          <v:shape id="_x0000_i1026" o:spt="75" type="#_x0000_t75" style="height:36.85pt;width:84.1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8">
            <o:LockedField>false</o:LockedField>
          </o:OLEObject>
        </w:object>
      </w:r>
    </w:p>
    <w:p>
      <w:pPr>
        <w:widowControl w:val="0"/>
        <w:spacing w:line="360" w:lineRule="auto"/>
        <w:jc w:val="both"/>
        <w:rPr>
          <w:lang w:val="en-US" w:eastAsia="zh-CN"/>
        </w:rPr>
      </w:pPr>
      <w:r>
        <w:rPr>
          <w:rFonts w:hint="eastAsia"/>
          <w:b/>
          <w:bCs/>
        </w:rPr>
        <w:t xml:space="preserve">Proposal </w:t>
      </w:r>
      <w:r>
        <w:rPr>
          <w:rFonts w:hint="eastAsia"/>
          <w:b/>
          <w:bCs/>
          <w:lang w:val="en-US" w:eastAsia="zh-CN"/>
        </w:rPr>
        <w:t>3</w:t>
      </w:r>
      <w:r>
        <w:rPr>
          <w:rFonts w:hint="eastAsia"/>
          <w:lang w:val="en-US" w:eastAsia="zh-CN"/>
        </w:rPr>
        <w:t>：For eAAS BS TRP could be the metric for RSE. There is  the conversion between RSE and RE. We suggest not considering EMC RE any more and continue to make research for RES TRP methodology.</w:t>
      </w:r>
    </w:p>
    <w:p>
      <w:pPr>
        <w:pStyle w:val="2"/>
        <w:numPr>
          <w:ilvl w:val="0"/>
          <w:numId w:val="0"/>
        </w:numPr>
        <w:ind w:left="432" w:hanging="432"/>
        <w:rPr>
          <w:rFonts w:cs="Arial"/>
          <w:lang w:eastAsia="zh-CN"/>
        </w:rPr>
      </w:pPr>
      <w:r>
        <w:rPr>
          <w:rFonts w:cs="Arial"/>
          <w:lang w:eastAsia="zh-CN"/>
        </w:rPr>
        <w:t>References</w:t>
      </w:r>
    </w:p>
    <w:p>
      <w:pPr>
        <w:pStyle w:val="120"/>
        <w:numPr>
          <w:ilvl w:val="0"/>
          <w:numId w:val="8"/>
        </w:numPr>
        <w:rPr>
          <w:lang w:eastAsia="zh-CN"/>
        </w:rPr>
      </w:pPr>
      <w:r>
        <w:rPr>
          <w:rFonts w:hint="eastAsia"/>
          <w:lang w:val="en-US" w:eastAsia="zh-CN"/>
        </w:rPr>
        <w:t>R4-1705637 TR 37.843 V0.3.0 Radio Frequency (RF) requirement background for Active Antenna System (AAS) Base Station (BS) radiated requirements(Release 14)</w:t>
      </w:r>
    </w:p>
    <w:p>
      <w:pPr>
        <w:pStyle w:val="120"/>
        <w:numPr>
          <w:ilvl w:val="0"/>
          <w:numId w:val="8"/>
        </w:numPr>
        <w:rPr>
          <w:lang w:eastAsia="zh-CN"/>
        </w:rPr>
      </w:pPr>
      <w:r>
        <w:rPr>
          <w:rFonts w:hint="eastAsia"/>
          <w:lang w:val="en-US" w:eastAsia="zh-CN"/>
        </w:rPr>
        <w:t>ITU-R SM.329</w:t>
      </w:r>
      <w:r>
        <w:rPr>
          <w:lang w:eastAsia="zh-CN"/>
        </w:rPr>
        <w:tab/>
      </w:r>
      <w:r>
        <w:rPr>
          <w:lang w:val="en-US"/>
        </w:rPr>
        <w:t>Unwanted emissions in the spurious domain</w:t>
      </w:r>
    </w:p>
    <w:p>
      <w:pPr>
        <w:pStyle w:val="120"/>
        <w:numPr>
          <w:ilvl w:val="0"/>
          <w:numId w:val="0"/>
        </w:numPr>
        <w:ind w:left="360"/>
        <w:rPr>
          <w:lang w:eastAsia="zh-CN"/>
        </w:rPr>
      </w:pPr>
    </w:p>
    <w:sectPr>
      <w:footnotePr>
        <w:numRestart w:val="eachSect"/>
      </w:footnotePr>
      <w:pgSz w:w="11907" w:h="16840"/>
      <w:pgMar w:top="794" w:right="794" w:bottom="993" w:left="79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ZapfDingbats">
    <w:altName w:val="Latha"/>
    <w:panose1 w:val="00000000000000000000"/>
    <w:charset w:val="02"/>
    <w:family w:val="decorative"/>
    <w:pitch w:val="default"/>
    <w:sig w:usb0="00000000" w:usb1="00000000" w:usb2="00000000" w:usb3="00000000" w:csb0="8000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61007A87" w:usb1="80000000" w:usb2="00000008" w:usb3="00000000" w:csb0="200101FF" w:csb1="20280000"/>
  </w:font>
  <w:font w:name="MS LineDraw">
    <w:altName w:val="Latha"/>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altName w:val="Calibri"/>
    <w:panose1 w:val="00000000000000000000"/>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0F3C52" w:usb2="00000016" w:usb3="00000000" w:csb0="0004001F" w:csb1="00000000"/>
  </w:font>
  <w:font w:name="Latha">
    <w:panose1 w:val="02000400000000000000"/>
    <w:charset w:val="00"/>
    <w:family w:val="auto"/>
    <w:pitch w:val="default"/>
    <w:sig w:usb0="001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18"/>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106"/>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2">
    <w:nsid w:val="534B328A"/>
    <w:multiLevelType w:val="multilevel"/>
    <w:tmpl w:val="534B328A"/>
    <w:lvl w:ilvl="0" w:tentative="0">
      <w:start w:val="1"/>
      <w:numFmt w:val="decimal"/>
      <w:pStyle w:val="120"/>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9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1134"/>
        </w:tabs>
        <w:ind w:left="-1134" w:hanging="576"/>
      </w:pPr>
      <w:rPr>
        <w:rFonts w:hint="default"/>
        <w:color w:val="000000"/>
        <w:u w:val="none"/>
      </w:rPr>
    </w:lvl>
    <w:lvl w:ilvl="2" w:tentative="0">
      <w:start w:val="1"/>
      <w:numFmt w:val="decimal"/>
      <w:lvlText w:val="%1.%2.%3"/>
      <w:lvlJc w:val="left"/>
      <w:pPr>
        <w:tabs>
          <w:tab w:val="left" w:pos="-848"/>
        </w:tabs>
        <w:ind w:left="-848" w:hanging="720"/>
      </w:pPr>
      <w:rPr>
        <w:rFonts w:hint="default"/>
        <w:u w:val="none"/>
      </w:rPr>
    </w:lvl>
    <w:lvl w:ilvl="3" w:tentative="0">
      <w:start w:val="1"/>
      <w:numFmt w:val="decimal"/>
      <w:lvlText w:val="%1.%2.%3.%4"/>
      <w:lvlJc w:val="left"/>
      <w:pPr>
        <w:tabs>
          <w:tab w:val="left" w:pos="-846"/>
        </w:tabs>
        <w:ind w:left="-846" w:hanging="864"/>
      </w:pPr>
      <w:rPr>
        <w:rFonts w:hint="default"/>
        <w:u w:val="none"/>
      </w:rPr>
    </w:lvl>
    <w:lvl w:ilvl="4" w:tentative="0">
      <w:start w:val="1"/>
      <w:numFmt w:val="decimal"/>
      <w:lvlText w:val="%1.%2.%3.%4.%5"/>
      <w:lvlJc w:val="left"/>
      <w:pPr>
        <w:tabs>
          <w:tab w:val="left" w:pos="-702"/>
        </w:tabs>
        <w:ind w:left="-702" w:hanging="1008"/>
      </w:pPr>
      <w:rPr>
        <w:rFonts w:hint="default"/>
      </w:rPr>
    </w:lvl>
    <w:lvl w:ilvl="5" w:tentative="0">
      <w:start w:val="1"/>
      <w:numFmt w:val="decimal"/>
      <w:lvlText w:val="%1.%2.%3.%4.%5.%6"/>
      <w:lvlJc w:val="left"/>
      <w:pPr>
        <w:tabs>
          <w:tab w:val="left" w:pos="-558"/>
        </w:tabs>
        <w:ind w:left="-558" w:hanging="1152"/>
      </w:pPr>
      <w:rPr>
        <w:rFonts w:hint="default"/>
      </w:rPr>
    </w:lvl>
    <w:lvl w:ilvl="6" w:tentative="0">
      <w:start w:val="1"/>
      <w:numFmt w:val="decimal"/>
      <w:lvlText w:val="%1.%2.%3.%4.%5.%6.%7"/>
      <w:lvlJc w:val="left"/>
      <w:pPr>
        <w:tabs>
          <w:tab w:val="left" w:pos="-414"/>
        </w:tabs>
        <w:ind w:left="-414" w:hanging="1296"/>
      </w:pPr>
      <w:rPr>
        <w:rFonts w:hint="default"/>
      </w:rPr>
    </w:lvl>
    <w:lvl w:ilvl="7" w:tentative="0">
      <w:start w:val="1"/>
      <w:numFmt w:val="decimal"/>
      <w:pStyle w:val="10"/>
      <w:lvlText w:val="%1.%2.%3.%4.%5.%6.%7.%8"/>
      <w:lvlJc w:val="left"/>
      <w:pPr>
        <w:tabs>
          <w:tab w:val="left" w:pos="-270"/>
        </w:tabs>
        <w:ind w:left="-270" w:hanging="1440"/>
      </w:pPr>
      <w:rPr>
        <w:rFonts w:hint="default"/>
      </w:rPr>
    </w:lvl>
    <w:lvl w:ilvl="8" w:tentative="0">
      <w:start w:val="1"/>
      <w:numFmt w:val="decimal"/>
      <w:pStyle w:val="11"/>
      <w:lvlText w:val="%1.%2.%3.%4.%5.%6.%7.%8.%9"/>
      <w:lvlJc w:val="left"/>
      <w:pPr>
        <w:tabs>
          <w:tab w:val="left" w:pos="-126"/>
        </w:tabs>
        <w:ind w:left="-126" w:hanging="1584"/>
      </w:pPr>
      <w:rPr>
        <w:rFonts w:hint="default"/>
      </w:rPr>
    </w:lvl>
  </w:abstractNum>
  <w:abstractNum w:abstractNumId="5">
    <w:nsid w:val="767F2FFE"/>
    <w:multiLevelType w:val="multilevel"/>
    <w:tmpl w:val="767F2FFE"/>
    <w:lvl w:ilvl="0" w:tentative="0">
      <w:start w:val="1"/>
      <w:numFmt w:val="bullet"/>
      <w:lvlText w:val=""/>
      <w:lvlJc w:val="left"/>
      <w:pPr>
        <w:ind w:left="720" w:hanging="360"/>
      </w:pPr>
      <w:rPr>
        <w:rFonts w:hint="default" w:ascii="Wingdings" w:hAnsi="Wingdings"/>
        <w:b/>
        <w:sz w:val="16"/>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6"/>
  </w:num>
  <w:num w:numId="4">
    <w:abstractNumId w:val="1"/>
  </w:num>
  <w:num w:numId="5">
    <w:abstractNumId w:val="0"/>
  </w:num>
  <w:num w:numId="6">
    <w:abstractNumId w:val="2"/>
  </w:num>
  <w:num w:numId="7">
    <w:abstractNumId w:val="5"/>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284"/>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6DA"/>
    <w:rsid w:val="00020AAD"/>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50A"/>
    <w:rsid w:val="00027F36"/>
    <w:rsid w:val="00030779"/>
    <w:rsid w:val="00030890"/>
    <w:rsid w:val="000309F5"/>
    <w:rsid w:val="00030F8E"/>
    <w:rsid w:val="00031B04"/>
    <w:rsid w:val="00032905"/>
    <w:rsid w:val="00032C09"/>
    <w:rsid w:val="00033BAD"/>
    <w:rsid w:val="00033FFE"/>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69"/>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BA8"/>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6D3"/>
    <w:rsid w:val="00096A0F"/>
    <w:rsid w:val="00096F89"/>
    <w:rsid w:val="00097161"/>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321"/>
    <w:rsid w:val="000B7B85"/>
    <w:rsid w:val="000C0940"/>
    <w:rsid w:val="000C0BE5"/>
    <w:rsid w:val="000C0D28"/>
    <w:rsid w:val="000C13A8"/>
    <w:rsid w:val="000C18FB"/>
    <w:rsid w:val="000C2A42"/>
    <w:rsid w:val="000C3110"/>
    <w:rsid w:val="000C39A9"/>
    <w:rsid w:val="000C3A14"/>
    <w:rsid w:val="000C3F38"/>
    <w:rsid w:val="000C3FC8"/>
    <w:rsid w:val="000C505B"/>
    <w:rsid w:val="000C5658"/>
    <w:rsid w:val="000C6598"/>
    <w:rsid w:val="000C6622"/>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087"/>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18"/>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BA6"/>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291"/>
    <w:rsid w:val="00124554"/>
    <w:rsid w:val="00124740"/>
    <w:rsid w:val="00124AB2"/>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BA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47925"/>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842"/>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531"/>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8C5"/>
    <w:rsid w:val="00172A27"/>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9B5"/>
    <w:rsid w:val="00182C96"/>
    <w:rsid w:val="00182CEE"/>
    <w:rsid w:val="00183228"/>
    <w:rsid w:val="001839D0"/>
    <w:rsid w:val="00183A8D"/>
    <w:rsid w:val="00184713"/>
    <w:rsid w:val="001854BE"/>
    <w:rsid w:val="00185884"/>
    <w:rsid w:val="00185AB7"/>
    <w:rsid w:val="00185CDA"/>
    <w:rsid w:val="00185D53"/>
    <w:rsid w:val="00186D6C"/>
    <w:rsid w:val="00186EBE"/>
    <w:rsid w:val="00186EE9"/>
    <w:rsid w:val="0018718F"/>
    <w:rsid w:val="00187520"/>
    <w:rsid w:val="001877A4"/>
    <w:rsid w:val="00187897"/>
    <w:rsid w:val="00190126"/>
    <w:rsid w:val="0019044D"/>
    <w:rsid w:val="00190502"/>
    <w:rsid w:val="00190794"/>
    <w:rsid w:val="00191207"/>
    <w:rsid w:val="001916D8"/>
    <w:rsid w:val="00191935"/>
    <w:rsid w:val="00191C05"/>
    <w:rsid w:val="00191E8B"/>
    <w:rsid w:val="0019216F"/>
    <w:rsid w:val="001924D4"/>
    <w:rsid w:val="001926C7"/>
    <w:rsid w:val="001927E3"/>
    <w:rsid w:val="0019284C"/>
    <w:rsid w:val="00192A90"/>
    <w:rsid w:val="00193206"/>
    <w:rsid w:val="001938BB"/>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2EEE"/>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01D"/>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BF8"/>
    <w:rsid w:val="00202F44"/>
    <w:rsid w:val="00203302"/>
    <w:rsid w:val="0020357E"/>
    <w:rsid w:val="0020394F"/>
    <w:rsid w:val="0020396D"/>
    <w:rsid w:val="00203ACF"/>
    <w:rsid w:val="00203C92"/>
    <w:rsid w:val="0020454B"/>
    <w:rsid w:val="00204B8B"/>
    <w:rsid w:val="002054DA"/>
    <w:rsid w:val="002056C0"/>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92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71A"/>
    <w:rsid w:val="00252D89"/>
    <w:rsid w:val="002536F7"/>
    <w:rsid w:val="00253928"/>
    <w:rsid w:val="00253B5D"/>
    <w:rsid w:val="00253B6C"/>
    <w:rsid w:val="00253BB0"/>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E8B"/>
    <w:rsid w:val="00262FC5"/>
    <w:rsid w:val="0026309C"/>
    <w:rsid w:val="002630D7"/>
    <w:rsid w:val="00263443"/>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006"/>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0D80"/>
    <w:rsid w:val="002912D4"/>
    <w:rsid w:val="00291569"/>
    <w:rsid w:val="00291715"/>
    <w:rsid w:val="00291810"/>
    <w:rsid w:val="00291883"/>
    <w:rsid w:val="00291940"/>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69F8"/>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78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345"/>
    <w:rsid w:val="002E444E"/>
    <w:rsid w:val="002E46B1"/>
    <w:rsid w:val="002E481B"/>
    <w:rsid w:val="002E496C"/>
    <w:rsid w:val="002E49F9"/>
    <w:rsid w:val="002E4BC0"/>
    <w:rsid w:val="002E4D31"/>
    <w:rsid w:val="002E51F9"/>
    <w:rsid w:val="002E56C0"/>
    <w:rsid w:val="002E57A5"/>
    <w:rsid w:val="002E57C9"/>
    <w:rsid w:val="002E5934"/>
    <w:rsid w:val="002E5E5A"/>
    <w:rsid w:val="002E5E85"/>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15F"/>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15"/>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800"/>
    <w:rsid w:val="00326B6E"/>
    <w:rsid w:val="00326D1C"/>
    <w:rsid w:val="0032706F"/>
    <w:rsid w:val="00327189"/>
    <w:rsid w:val="00327274"/>
    <w:rsid w:val="0032781D"/>
    <w:rsid w:val="00330153"/>
    <w:rsid w:val="003305B7"/>
    <w:rsid w:val="00330823"/>
    <w:rsid w:val="00330D29"/>
    <w:rsid w:val="0033109A"/>
    <w:rsid w:val="0033122A"/>
    <w:rsid w:val="0033136C"/>
    <w:rsid w:val="003317B1"/>
    <w:rsid w:val="0033186E"/>
    <w:rsid w:val="0033230A"/>
    <w:rsid w:val="00332753"/>
    <w:rsid w:val="00332CC3"/>
    <w:rsid w:val="00332D9C"/>
    <w:rsid w:val="003331D5"/>
    <w:rsid w:val="003331D9"/>
    <w:rsid w:val="00333302"/>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BB7"/>
    <w:rsid w:val="00341D69"/>
    <w:rsid w:val="00341D71"/>
    <w:rsid w:val="00341DDE"/>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A8F"/>
    <w:rsid w:val="00365CF9"/>
    <w:rsid w:val="00365D1E"/>
    <w:rsid w:val="00365E3F"/>
    <w:rsid w:val="00366B0C"/>
    <w:rsid w:val="00366E72"/>
    <w:rsid w:val="0036730F"/>
    <w:rsid w:val="00367323"/>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AE0"/>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B42"/>
    <w:rsid w:val="003A2EC6"/>
    <w:rsid w:val="003A306A"/>
    <w:rsid w:val="003A33DC"/>
    <w:rsid w:val="003A33EA"/>
    <w:rsid w:val="003A3794"/>
    <w:rsid w:val="003A383B"/>
    <w:rsid w:val="003A3BC6"/>
    <w:rsid w:val="003A4387"/>
    <w:rsid w:val="003A4448"/>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0EC6"/>
    <w:rsid w:val="003C0FFC"/>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514"/>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5D"/>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0E7"/>
    <w:rsid w:val="00422239"/>
    <w:rsid w:val="00422A24"/>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60F"/>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2D50"/>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C44"/>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3D9"/>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025"/>
    <w:rsid w:val="0049035E"/>
    <w:rsid w:val="00490558"/>
    <w:rsid w:val="004906F8"/>
    <w:rsid w:val="00491C54"/>
    <w:rsid w:val="00491D74"/>
    <w:rsid w:val="00491DF1"/>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630"/>
    <w:rsid w:val="004A5C0E"/>
    <w:rsid w:val="004A5CD2"/>
    <w:rsid w:val="004A6456"/>
    <w:rsid w:val="004A678F"/>
    <w:rsid w:val="004A6939"/>
    <w:rsid w:val="004A6B5A"/>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6BA"/>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6A9"/>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3F8"/>
    <w:rsid w:val="0055546C"/>
    <w:rsid w:val="00555C29"/>
    <w:rsid w:val="00555CD1"/>
    <w:rsid w:val="00556392"/>
    <w:rsid w:val="00556945"/>
    <w:rsid w:val="00557715"/>
    <w:rsid w:val="00557C13"/>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3D2B"/>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68A"/>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847"/>
    <w:rsid w:val="005D3B38"/>
    <w:rsid w:val="005D3C52"/>
    <w:rsid w:val="005D3DCE"/>
    <w:rsid w:val="005D3EAB"/>
    <w:rsid w:val="005D3F2D"/>
    <w:rsid w:val="005D48E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1A5"/>
    <w:rsid w:val="005E354D"/>
    <w:rsid w:val="005E36B1"/>
    <w:rsid w:val="005E372F"/>
    <w:rsid w:val="005E3958"/>
    <w:rsid w:val="005E3B85"/>
    <w:rsid w:val="005E4087"/>
    <w:rsid w:val="005E4E14"/>
    <w:rsid w:val="005E5D00"/>
    <w:rsid w:val="005E5D18"/>
    <w:rsid w:val="005E726B"/>
    <w:rsid w:val="005E74D5"/>
    <w:rsid w:val="005E7595"/>
    <w:rsid w:val="005E7C77"/>
    <w:rsid w:val="005F062C"/>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1D7"/>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59F"/>
    <w:rsid w:val="00605D24"/>
    <w:rsid w:val="00605E70"/>
    <w:rsid w:val="00606063"/>
    <w:rsid w:val="006066A0"/>
    <w:rsid w:val="0060678D"/>
    <w:rsid w:val="00606985"/>
    <w:rsid w:val="00606F36"/>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0D2"/>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89"/>
    <w:rsid w:val="00635491"/>
    <w:rsid w:val="00635926"/>
    <w:rsid w:val="00635974"/>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287"/>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6E94"/>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015"/>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560"/>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0DB5"/>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CC2"/>
    <w:rsid w:val="00696FD7"/>
    <w:rsid w:val="0069740A"/>
    <w:rsid w:val="00697444"/>
    <w:rsid w:val="00697F18"/>
    <w:rsid w:val="00697FE5"/>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569"/>
    <w:rsid w:val="006B0649"/>
    <w:rsid w:val="006B06C4"/>
    <w:rsid w:val="006B167D"/>
    <w:rsid w:val="006B1D1A"/>
    <w:rsid w:val="006B2404"/>
    <w:rsid w:val="006B24BD"/>
    <w:rsid w:val="006B2B79"/>
    <w:rsid w:val="006B3457"/>
    <w:rsid w:val="006B355D"/>
    <w:rsid w:val="006B39C1"/>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615"/>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7DD"/>
    <w:rsid w:val="006F4AB9"/>
    <w:rsid w:val="006F4CD9"/>
    <w:rsid w:val="006F5EBB"/>
    <w:rsid w:val="006F616C"/>
    <w:rsid w:val="006F651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25E"/>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365"/>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033"/>
    <w:rsid w:val="00767236"/>
    <w:rsid w:val="0076767C"/>
    <w:rsid w:val="007677F1"/>
    <w:rsid w:val="007677FB"/>
    <w:rsid w:val="00767C8B"/>
    <w:rsid w:val="00770154"/>
    <w:rsid w:val="007702E3"/>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ABB"/>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C07"/>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35BA"/>
    <w:rsid w:val="007C37D5"/>
    <w:rsid w:val="007C37F2"/>
    <w:rsid w:val="007C397F"/>
    <w:rsid w:val="007C39B6"/>
    <w:rsid w:val="007C3A5B"/>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D2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8BD"/>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4F2E"/>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0E"/>
    <w:rsid w:val="00870B40"/>
    <w:rsid w:val="008712A2"/>
    <w:rsid w:val="0087142F"/>
    <w:rsid w:val="00871EB6"/>
    <w:rsid w:val="0087281D"/>
    <w:rsid w:val="0087337B"/>
    <w:rsid w:val="0087360D"/>
    <w:rsid w:val="00873ACE"/>
    <w:rsid w:val="00874042"/>
    <w:rsid w:val="008742DD"/>
    <w:rsid w:val="008744FD"/>
    <w:rsid w:val="00874C00"/>
    <w:rsid w:val="008752AE"/>
    <w:rsid w:val="00875AEF"/>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234"/>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346"/>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7A2"/>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373"/>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5672"/>
    <w:rsid w:val="008D70A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2D"/>
    <w:rsid w:val="008F2D3A"/>
    <w:rsid w:val="008F2D3E"/>
    <w:rsid w:val="008F2F2D"/>
    <w:rsid w:val="008F30DE"/>
    <w:rsid w:val="008F37A5"/>
    <w:rsid w:val="008F388A"/>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D49"/>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685"/>
    <w:rsid w:val="00923ABA"/>
    <w:rsid w:val="00923AEA"/>
    <w:rsid w:val="00923B23"/>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87F"/>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8BF"/>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B"/>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45"/>
    <w:rsid w:val="00983ECB"/>
    <w:rsid w:val="00983FBB"/>
    <w:rsid w:val="00983FD7"/>
    <w:rsid w:val="0098412F"/>
    <w:rsid w:val="009843F5"/>
    <w:rsid w:val="00984516"/>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9A"/>
    <w:rsid w:val="00990E51"/>
    <w:rsid w:val="00991B46"/>
    <w:rsid w:val="00991D8C"/>
    <w:rsid w:val="00991D8D"/>
    <w:rsid w:val="00992242"/>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623"/>
    <w:rsid w:val="009C4972"/>
    <w:rsid w:val="009C4A98"/>
    <w:rsid w:val="009C529B"/>
    <w:rsid w:val="009C53AF"/>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390"/>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5BF"/>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27FC1"/>
    <w:rsid w:val="00A30013"/>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5D"/>
    <w:rsid w:val="00A471B6"/>
    <w:rsid w:val="00A4766C"/>
    <w:rsid w:val="00A47794"/>
    <w:rsid w:val="00A47A9A"/>
    <w:rsid w:val="00A47CD9"/>
    <w:rsid w:val="00A47E70"/>
    <w:rsid w:val="00A50193"/>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3FB"/>
    <w:rsid w:val="00A6461B"/>
    <w:rsid w:val="00A653C4"/>
    <w:rsid w:val="00A65681"/>
    <w:rsid w:val="00A65850"/>
    <w:rsid w:val="00A65B30"/>
    <w:rsid w:val="00A65DB2"/>
    <w:rsid w:val="00A65FB8"/>
    <w:rsid w:val="00A665FD"/>
    <w:rsid w:val="00A66773"/>
    <w:rsid w:val="00A66F33"/>
    <w:rsid w:val="00A676EC"/>
    <w:rsid w:val="00A6782E"/>
    <w:rsid w:val="00A67AA1"/>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A64"/>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024"/>
    <w:rsid w:val="00AE1462"/>
    <w:rsid w:val="00AE1515"/>
    <w:rsid w:val="00AE1E4B"/>
    <w:rsid w:val="00AE1F5D"/>
    <w:rsid w:val="00AE2164"/>
    <w:rsid w:val="00AE2166"/>
    <w:rsid w:val="00AE225C"/>
    <w:rsid w:val="00AE2E05"/>
    <w:rsid w:val="00AE302B"/>
    <w:rsid w:val="00AE34A1"/>
    <w:rsid w:val="00AE37CD"/>
    <w:rsid w:val="00AE3A7E"/>
    <w:rsid w:val="00AE3EF4"/>
    <w:rsid w:val="00AE4115"/>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98A"/>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273"/>
    <w:rsid w:val="00B47303"/>
    <w:rsid w:val="00B4735A"/>
    <w:rsid w:val="00B47C8C"/>
    <w:rsid w:val="00B47DC2"/>
    <w:rsid w:val="00B50131"/>
    <w:rsid w:val="00B50347"/>
    <w:rsid w:val="00B503FF"/>
    <w:rsid w:val="00B50619"/>
    <w:rsid w:val="00B50886"/>
    <w:rsid w:val="00B50A5D"/>
    <w:rsid w:val="00B50E2A"/>
    <w:rsid w:val="00B50F86"/>
    <w:rsid w:val="00B514E7"/>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24B"/>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CB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A20"/>
    <w:rsid w:val="00B86C2F"/>
    <w:rsid w:val="00B87206"/>
    <w:rsid w:val="00B90598"/>
    <w:rsid w:val="00B90AA2"/>
    <w:rsid w:val="00B90D3F"/>
    <w:rsid w:val="00B917A8"/>
    <w:rsid w:val="00B91FAB"/>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6A5"/>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34B"/>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A16"/>
    <w:rsid w:val="00BA5037"/>
    <w:rsid w:val="00BA5719"/>
    <w:rsid w:val="00BA5BB0"/>
    <w:rsid w:val="00BA5C36"/>
    <w:rsid w:val="00BA5DAB"/>
    <w:rsid w:val="00BA6067"/>
    <w:rsid w:val="00BA6105"/>
    <w:rsid w:val="00BA6176"/>
    <w:rsid w:val="00BA6849"/>
    <w:rsid w:val="00BA6863"/>
    <w:rsid w:val="00BA6E08"/>
    <w:rsid w:val="00BA7047"/>
    <w:rsid w:val="00BA7735"/>
    <w:rsid w:val="00BA7820"/>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B2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A07"/>
    <w:rsid w:val="00BD7CA5"/>
    <w:rsid w:val="00BD7FBA"/>
    <w:rsid w:val="00BD7FBB"/>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7D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7B5"/>
    <w:rsid w:val="00C10D88"/>
    <w:rsid w:val="00C10DED"/>
    <w:rsid w:val="00C10E8B"/>
    <w:rsid w:val="00C10E8F"/>
    <w:rsid w:val="00C10FFD"/>
    <w:rsid w:val="00C1107A"/>
    <w:rsid w:val="00C122B3"/>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17D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54A4"/>
    <w:rsid w:val="00C55636"/>
    <w:rsid w:val="00C558C5"/>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4AF"/>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6C2"/>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FCB"/>
    <w:rsid w:val="00CA208F"/>
    <w:rsid w:val="00CA20F9"/>
    <w:rsid w:val="00CA2B1E"/>
    <w:rsid w:val="00CA2E00"/>
    <w:rsid w:val="00CA35F6"/>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7EA"/>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0DD4"/>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66C"/>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0C1B"/>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0"/>
    <w:rsid w:val="00DC1DC6"/>
    <w:rsid w:val="00DC1EB5"/>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F4C"/>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DFD"/>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1DE"/>
    <w:rsid w:val="00E1738F"/>
    <w:rsid w:val="00E17861"/>
    <w:rsid w:val="00E17A66"/>
    <w:rsid w:val="00E17D80"/>
    <w:rsid w:val="00E20153"/>
    <w:rsid w:val="00E20275"/>
    <w:rsid w:val="00E2048C"/>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63"/>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3CC3"/>
    <w:rsid w:val="00E54589"/>
    <w:rsid w:val="00E54967"/>
    <w:rsid w:val="00E54D59"/>
    <w:rsid w:val="00E5557B"/>
    <w:rsid w:val="00E5584E"/>
    <w:rsid w:val="00E55D3B"/>
    <w:rsid w:val="00E55F14"/>
    <w:rsid w:val="00E56198"/>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352"/>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478"/>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1E0A"/>
    <w:rsid w:val="00EB292A"/>
    <w:rsid w:val="00EB3415"/>
    <w:rsid w:val="00EB383E"/>
    <w:rsid w:val="00EB3CB6"/>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68F"/>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078"/>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A58"/>
    <w:rsid w:val="00F74CD0"/>
    <w:rsid w:val="00F74D62"/>
    <w:rsid w:val="00F75091"/>
    <w:rsid w:val="00F75893"/>
    <w:rsid w:val="00F75B06"/>
    <w:rsid w:val="00F75B38"/>
    <w:rsid w:val="00F75C66"/>
    <w:rsid w:val="00F76008"/>
    <w:rsid w:val="00F76501"/>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65A"/>
    <w:rsid w:val="00F9187C"/>
    <w:rsid w:val="00F920C3"/>
    <w:rsid w:val="00F922E7"/>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74C"/>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1E31"/>
    <w:rsid w:val="00FA2294"/>
    <w:rsid w:val="00FA23D4"/>
    <w:rsid w:val="00FA2622"/>
    <w:rsid w:val="00FA2A02"/>
    <w:rsid w:val="00FA31DD"/>
    <w:rsid w:val="00FA3312"/>
    <w:rsid w:val="00FA3D7B"/>
    <w:rsid w:val="00FA45D8"/>
    <w:rsid w:val="00FA47A1"/>
    <w:rsid w:val="00FA4B9C"/>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52B"/>
    <w:rsid w:val="00FC162F"/>
    <w:rsid w:val="00FC1B23"/>
    <w:rsid w:val="00FC1CAD"/>
    <w:rsid w:val="00FC1FD9"/>
    <w:rsid w:val="00FC20F9"/>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6A"/>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D4D"/>
    <w:rsid w:val="00FF6FA7"/>
    <w:rsid w:val="00FF7186"/>
    <w:rsid w:val="00FF71DF"/>
    <w:rsid w:val="00FF73C6"/>
    <w:rsid w:val="00FF765F"/>
    <w:rsid w:val="00FF7F9C"/>
    <w:rsid w:val="350969F0"/>
    <w:rsid w:val="4D742A77"/>
    <w:rsid w:val="70B30114"/>
    <w:rsid w:val="765E38DA"/>
    <w:rsid w:val="78A92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numPr>
        <w:ilvl w:val="0"/>
        <w:numId w:val="1"/>
      </w:numPr>
      <w:pBdr>
        <w:top w:val="single" w:color="auto" w:sz="12" w:space="3"/>
      </w:pBdr>
      <w:spacing w:before="240" w:after="180" w:line="276" w:lineRule="auto"/>
      <w:outlineLvl w:val="0"/>
    </w:pPr>
    <w:rPr>
      <w:rFonts w:ascii="Arial" w:hAnsi="Arial" w:eastAsia="宋体" w:cs="Times New Roman"/>
      <w:sz w:val="28"/>
      <w:szCs w:val="28"/>
      <w:lang w:val="en-GB" w:eastAsia="en-US" w:bidi="ar-SA"/>
    </w:rPr>
  </w:style>
  <w:style w:type="paragraph" w:styleId="3">
    <w:name w:val="heading 2"/>
    <w:basedOn w:val="2"/>
    <w:next w:val="1"/>
    <w:link w:val="138"/>
    <w:qFormat/>
    <w:uiPriority w:val="0"/>
    <w:pPr>
      <w:numPr>
        <w:ilvl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0"/>
      </w:numPr>
      <w:spacing w:before="120"/>
      <w:outlineLvl w:val="2"/>
    </w:pPr>
  </w:style>
  <w:style w:type="paragraph" w:styleId="5">
    <w:name w:val="heading 4"/>
    <w:basedOn w:val="4"/>
    <w:next w:val="1"/>
    <w:link w:val="13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ind w:left="1985" w:hanging="1985"/>
      <w:outlineLvl w:val="5"/>
    </w:pPr>
  </w:style>
  <w:style w:type="paragraph" w:styleId="9">
    <w:name w:val="heading 7"/>
    <w:basedOn w:val="8"/>
    <w:next w:val="1"/>
    <w:qFormat/>
    <w:uiPriority w:val="0"/>
    <w:pPr>
      <w:numPr>
        <w:ilvl w:val="6"/>
      </w:numPr>
      <w:tabs>
        <w:tab w:val="left" w:pos="432"/>
      </w:tabs>
      <w:ind w:left="1985" w:hanging="1985"/>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6">
    <w:name w:val="Default Paragraph Font"/>
    <w:unhideWhenUsed/>
    <w:qFormat/>
    <w:uiPriority w:val="1"/>
  </w:style>
  <w:style w:type="table" w:default="1" w:styleId="53">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28"/>
    <w:qFormat/>
    <w:uiPriority w:val="0"/>
    <w:rPr>
      <w:b/>
      <w:bCs/>
    </w:rPr>
  </w:style>
  <w:style w:type="paragraph" w:styleId="16">
    <w:name w:val="annotation text"/>
    <w:basedOn w:val="1"/>
    <w:link w:val="119"/>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200" w:line="276"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4"/>
    <w:unhideWhenUsed/>
    <w:qFormat/>
    <w:uiPriority w:val="0"/>
    <w:rPr>
      <w:rFonts w:ascii="Cambria" w:hAnsi="Cambria" w:eastAsia="黑体"/>
    </w:rPr>
  </w:style>
  <w:style w:type="paragraph" w:styleId="31">
    <w:name w:val="Document Map"/>
    <w:basedOn w:val="1"/>
    <w:link w:val="127"/>
    <w:qFormat/>
    <w:uiPriority w:val="0"/>
    <w:pPr>
      <w:shd w:val="clear" w:color="auto" w:fill="000080"/>
    </w:pPr>
    <w:rPr>
      <w:rFonts w:ascii="Tahoma" w:hAnsi="Tahoma"/>
    </w:rPr>
  </w:style>
  <w:style w:type="paragraph" w:styleId="32">
    <w:name w:val="Body Text"/>
    <w:basedOn w:val="1"/>
    <w:link w:val="100"/>
    <w:qFormat/>
    <w:uiPriority w:val="0"/>
    <w:pPr>
      <w:spacing w:after="0"/>
    </w:pPr>
    <w:rPr>
      <w:sz w:val="24"/>
      <w:szCs w:val="24"/>
      <w:lang w:val="en-US"/>
    </w:rPr>
  </w:style>
  <w:style w:type="paragraph" w:styleId="33">
    <w:name w:val="Body Text Indent"/>
    <w:basedOn w:val="1"/>
    <w:link w:val="136"/>
    <w:qFormat/>
    <w:uiPriority w:val="0"/>
    <w:pPr>
      <w:spacing w:after="120"/>
      <w:ind w:left="360"/>
    </w:pPr>
  </w:style>
  <w:style w:type="paragraph" w:styleId="34">
    <w:name w:val="List Bullet 5"/>
    <w:basedOn w:val="26"/>
    <w:qFormat/>
    <w:uiPriority w:val="0"/>
    <w:pPr>
      <w:ind w:left="1702"/>
    </w:pPr>
  </w:style>
  <w:style w:type="paragraph" w:styleId="35">
    <w:name w:val="toc 8"/>
    <w:basedOn w:val="23"/>
    <w:next w:val="1"/>
    <w:qFormat/>
    <w:uiPriority w:val="39"/>
    <w:pPr>
      <w:spacing w:before="180"/>
      <w:ind w:left="2693" w:hanging="2693"/>
    </w:pPr>
    <w:rPr>
      <w:b/>
    </w:rPr>
  </w:style>
  <w:style w:type="paragraph" w:styleId="36">
    <w:name w:val="Balloon Text"/>
    <w:basedOn w:val="1"/>
    <w:link w:val="129"/>
    <w:qFormat/>
    <w:uiPriority w:val="0"/>
    <w:rPr>
      <w:rFonts w:ascii="Tahoma" w:hAnsi="Tahoma"/>
      <w:sz w:val="16"/>
      <w:szCs w:val="16"/>
    </w:rPr>
  </w:style>
  <w:style w:type="paragraph" w:styleId="37">
    <w:name w:val="footer"/>
    <w:basedOn w:val="38"/>
    <w:qFormat/>
    <w:uiPriority w:val="0"/>
    <w:pPr>
      <w:jc w:val="center"/>
    </w:pPr>
    <w:rPr>
      <w:i/>
    </w:rPr>
  </w:style>
  <w:style w:type="paragraph" w:styleId="38">
    <w:name w:val="header"/>
    <w:link w:val="111"/>
    <w:qFormat/>
    <w:uiPriority w:val="0"/>
    <w:pPr>
      <w:widowControl w:val="0"/>
      <w:spacing w:after="200" w:line="276" w:lineRule="auto"/>
    </w:pPr>
    <w:rPr>
      <w:rFonts w:ascii="Arial" w:hAnsi="Arial" w:eastAsia="宋体" w:cs="Times New Roman"/>
      <w:b/>
      <w:sz w:val="18"/>
      <w:lang w:val="en-GB" w:eastAsia="en-US" w:bidi="ar-SA"/>
    </w:rPr>
  </w:style>
  <w:style w:type="paragraph" w:styleId="39">
    <w:name w:val="footnote text"/>
    <w:basedOn w:val="1"/>
    <w:link w:val="13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character" w:styleId="47">
    <w:name w:val="page number"/>
    <w:basedOn w:val="46"/>
    <w:qFormat/>
    <w:uiPriority w:val="0"/>
  </w:style>
  <w:style w:type="character" w:styleId="48">
    <w:name w:val="FollowedHyperlink"/>
    <w:basedOn w:val="46"/>
    <w:qFormat/>
    <w:uiPriority w:val="0"/>
    <w:rPr>
      <w:color w:val="800080"/>
      <w:u w:val="single"/>
    </w:rPr>
  </w:style>
  <w:style w:type="character" w:styleId="49">
    <w:name w:val="Emphasis"/>
    <w:basedOn w:val="46"/>
    <w:qFormat/>
    <w:uiPriority w:val="0"/>
    <w:rPr>
      <w:i/>
      <w:iCs/>
    </w:rPr>
  </w:style>
  <w:style w:type="character" w:styleId="50">
    <w:name w:val="Hyperlink"/>
    <w:basedOn w:val="46"/>
    <w:qFormat/>
    <w:uiPriority w:val="0"/>
    <w:rPr>
      <w:color w:val="0000FF"/>
      <w:u w:val="single"/>
    </w:rPr>
  </w:style>
  <w:style w:type="character" w:styleId="51">
    <w:name w:val="annotation reference"/>
    <w:basedOn w:val="46"/>
    <w:qFormat/>
    <w:uiPriority w:val="99"/>
    <w:rPr>
      <w:sz w:val="16"/>
    </w:rPr>
  </w:style>
  <w:style w:type="character" w:styleId="52">
    <w:name w:val="footnote reference"/>
    <w:basedOn w:val="46"/>
    <w:qFormat/>
    <w:uiPriority w:val="0"/>
    <w:rPr>
      <w:b/>
      <w:position w:val="6"/>
      <w:sz w:val="16"/>
    </w:rPr>
  </w:style>
  <w:style w:type="table" w:styleId="54">
    <w:name w:val="Table Grid"/>
    <w:basedOn w:val="5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ZT"/>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spacing w:after="200" w:line="276" w:lineRule="auto"/>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97"/>
    <w:qFormat/>
    <w:uiPriority w:val="0"/>
    <w:pPr>
      <w:jc w:val="center"/>
    </w:pPr>
  </w:style>
  <w:style w:type="paragraph" w:customStyle="1" w:styleId="60">
    <w:name w:val="TAL"/>
    <w:basedOn w:val="1"/>
    <w:link w:val="96"/>
    <w:qFormat/>
    <w:uiPriority w:val="0"/>
    <w:pPr>
      <w:keepNext/>
      <w:keepLines/>
      <w:spacing w:after="0"/>
    </w:pPr>
    <w:rPr>
      <w:rFonts w:ascii="Arial" w:hAnsi="Arial"/>
      <w:sz w:val="18"/>
    </w:rPr>
  </w:style>
  <w:style w:type="paragraph" w:customStyle="1" w:styleId="61">
    <w:name w:val="TF"/>
    <w:basedOn w:val="62"/>
    <w:link w:val="110"/>
    <w:qFormat/>
    <w:uiPriority w:val="0"/>
    <w:pPr>
      <w:keepNext w:val="0"/>
      <w:spacing w:before="0" w:after="240"/>
    </w:pPr>
  </w:style>
  <w:style w:type="paragraph" w:customStyle="1" w:styleId="62">
    <w:name w:val="TH"/>
    <w:basedOn w:val="1"/>
    <w:link w:val="99"/>
    <w:qFormat/>
    <w:uiPriority w:val="0"/>
    <w:pPr>
      <w:keepNext/>
      <w:keepLines/>
      <w:spacing w:before="60"/>
      <w:jc w:val="center"/>
    </w:pPr>
    <w:rPr>
      <w:rFonts w:ascii="Arial" w:hAnsi="Arial"/>
      <w:b/>
    </w:rPr>
  </w:style>
  <w:style w:type="paragraph" w:customStyle="1" w:styleId="63">
    <w:name w:val="NO"/>
    <w:basedOn w:val="1"/>
    <w:link w:val="95"/>
    <w:qFormat/>
    <w:uiPriority w:val="0"/>
    <w:pPr>
      <w:keepLines/>
      <w:ind w:left="1135" w:hanging="851"/>
    </w:pPr>
  </w:style>
  <w:style w:type="paragraph" w:customStyle="1" w:styleId="64">
    <w:name w:val="EX"/>
    <w:basedOn w:val="1"/>
    <w:link w:val="130"/>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after="200"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16"/>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spacing w:after="200" w:line="276" w:lineRule="auto"/>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spacing w:after="200" w:line="276" w:lineRule="auto"/>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spacing w:after="200" w:line="276" w:lineRule="auto"/>
      <w:jc w:val="right"/>
    </w:pPr>
    <w:rPr>
      <w:rFonts w:ascii="Arial" w:hAnsi="Arial" w:eastAsia="宋体"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style>
  <w:style w:type="paragraph" w:customStyle="1" w:styleId="83">
    <w:name w:val="B2"/>
    <w:basedOn w:val="13"/>
    <w:link w:val="102"/>
    <w:qFormat/>
    <w:uiPriority w:val="0"/>
  </w:style>
  <w:style w:type="paragraph" w:customStyle="1" w:styleId="84">
    <w:name w:val="B3"/>
    <w:basedOn w:val="12"/>
    <w:link w:val="103"/>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line="276" w:lineRule="auto"/>
    </w:pPr>
    <w:rPr>
      <w:rFonts w:ascii="Arial" w:hAnsi="Arial" w:eastAsia="宋体" w:cs="Times New Roman"/>
      <w:lang w:val="en-GB" w:eastAsia="en-US" w:bidi="ar-SA"/>
    </w:rPr>
  </w:style>
  <w:style w:type="paragraph" w:customStyle="1" w:styleId="89">
    <w:name w:val="tdoc-header"/>
    <w:qFormat/>
    <w:uiPriority w:val="0"/>
    <w:pPr>
      <w:spacing w:after="200" w:line="276" w:lineRule="auto"/>
    </w:pPr>
    <w:rPr>
      <w:rFonts w:ascii="Arial" w:hAnsi="Arial" w:eastAsia="宋体" w:cs="Times New Roman"/>
      <w:sz w:val="24"/>
      <w:lang w:val="en-GB" w:eastAsia="en-US" w:bidi="ar-SA"/>
    </w:rPr>
  </w:style>
  <w:style w:type="paragraph" w:customStyle="1" w:styleId="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91">
    <w:name w:val="Heading 3.Underrubrik2.H3"/>
    <w:basedOn w:val="90"/>
    <w:next w:val="1"/>
    <w:qFormat/>
    <w:uiPriority w:val="0"/>
    <w:pPr>
      <w:spacing w:before="120"/>
      <w:outlineLvl w:val="2"/>
    </w:pPr>
    <w:rPr>
      <w:sz w:val="28"/>
    </w:rPr>
  </w:style>
  <w:style w:type="paragraph" w:customStyle="1" w:styleId="92">
    <w:name w:val="Reference"/>
    <w:basedOn w:val="1"/>
    <w:qFormat/>
    <w:uiPriority w:val="0"/>
    <w:pPr>
      <w:keepLines/>
      <w:numPr>
        <w:ilvl w:val="1"/>
        <w:numId w:val="2"/>
      </w:numPr>
    </w:pPr>
    <w:rPr>
      <w:rFonts w:eastAsia="MS Mincho"/>
    </w:rPr>
  </w:style>
  <w:style w:type="paragraph" w:customStyle="1" w:styleId="93">
    <w:name w:val="Zchn Zchn"/>
    <w:semiHidden/>
    <w:qFormat/>
    <w:uiPriority w:val="0"/>
    <w:pPr>
      <w:keepNext/>
      <w:numPr>
        <w:ilvl w:val="0"/>
        <w:numId w:val="3"/>
      </w:numPr>
      <w:autoSpaceDE w:val="0"/>
      <w:autoSpaceDN w:val="0"/>
      <w:adjustRightInd w:val="0"/>
      <w:spacing w:before="60" w:after="60" w:line="276" w:lineRule="auto"/>
      <w:jc w:val="both"/>
    </w:pPr>
    <w:rPr>
      <w:rFonts w:ascii="Arial" w:hAnsi="Arial" w:eastAsia="宋体" w:cs="Arial"/>
      <w:color w:val="0000FF"/>
      <w:kern w:val="2"/>
      <w:lang w:val="en-US" w:eastAsia="zh-CN" w:bidi="ar-SA"/>
    </w:rPr>
  </w:style>
  <w:style w:type="character" w:customStyle="1" w:styleId="94">
    <w:name w:val="B1 Char"/>
    <w:basedOn w:val="46"/>
    <w:link w:val="82"/>
    <w:qFormat/>
    <w:uiPriority w:val="0"/>
    <w:rPr>
      <w:lang w:val="en-GB" w:eastAsia="en-US" w:bidi="ar-SA"/>
    </w:rPr>
  </w:style>
  <w:style w:type="character" w:customStyle="1" w:styleId="95">
    <w:name w:val="NO Char"/>
    <w:basedOn w:val="46"/>
    <w:link w:val="63"/>
    <w:qFormat/>
    <w:uiPriority w:val="0"/>
    <w:rPr>
      <w:lang w:val="en-GB" w:eastAsia="en-US" w:bidi="ar-SA"/>
    </w:rPr>
  </w:style>
  <w:style w:type="character" w:customStyle="1" w:styleId="96">
    <w:name w:val="TAL Car"/>
    <w:basedOn w:val="46"/>
    <w:link w:val="60"/>
    <w:qFormat/>
    <w:uiPriority w:val="0"/>
    <w:rPr>
      <w:rFonts w:ascii="Arial" w:hAnsi="Arial"/>
      <w:sz w:val="18"/>
      <w:lang w:val="en-GB" w:eastAsia="en-US" w:bidi="ar-SA"/>
    </w:rPr>
  </w:style>
  <w:style w:type="character" w:customStyle="1" w:styleId="97">
    <w:name w:val="TAC Char"/>
    <w:basedOn w:val="46"/>
    <w:link w:val="59"/>
    <w:qFormat/>
    <w:uiPriority w:val="0"/>
    <w:rPr>
      <w:rFonts w:ascii="Arial" w:hAnsi="Arial"/>
      <w:sz w:val="18"/>
      <w:lang w:val="en-GB" w:eastAsia="en-US" w:bidi="ar-SA"/>
    </w:rPr>
  </w:style>
  <w:style w:type="character" w:customStyle="1" w:styleId="98">
    <w:name w:val="TAL Char"/>
    <w:basedOn w:val="46"/>
    <w:qFormat/>
    <w:uiPriority w:val="0"/>
    <w:rPr>
      <w:rFonts w:ascii="Arial" w:hAnsi="Arial"/>
      <w:sz w:val="18"/>
      <w:lang w:val="en-GB" w:eastAsia="en-US" w:bidi="ar-SA"/>
    </w:rPr>
  </w:style>
  <w:style w:type="character" w:customStyle="1" w:styleId="99">
    <w:name w:val="TH Char"/>
    <w:basedOn w:val="46"/>
    <w:link w:val="62"/>
    <w:qFormat/>
    <w:uiPriority w:val="0"/>
    <w:rPr>
      <w:rFonts w:ascii="Arial" w:hAnsi="Arial"/>
      <w:b/>
      <w:lang w:val="en-GB" w:eastAsia="en-US" w:bidi="ar-SA"/>
    </w:rPr>
  </w:style>
  <w:style w:type="character" w:customStyle="1" w:styleId="100">
    <w:name w:val="Body Text Char"/>
    <w:basedOn w:val="46"/>
    <w:link w:val="32"/>
    <w:qFormat/>
    <w:uiPriority w:val="0"/>
    <w:rPr>
      <w:sz w:val="24"/>
      <w:szCs w:val="24"/>
      <w:lang w:val="en-US" w:eastAsia="en-US" w:bidi="ar-SA"/>
    </w:rPr>
  </w:style>
  <w:style w:type="character" w:customStyle="1" w:styleId="101">
    <w:name w:val="B1 Char1"/>
    <w:basedOn w:val="46"/>
    <w:qFormat/>
    <w:uiPriority w:val="0"/>
    <w:rPr>
      <w:lang w:val="en-GB" w:eastAsia="ja-JP" w:bidi="ar-SA"/>
    </w:rPr>
  </w:style>
  <w:style w:type="character" w:customStyle="1" w:styleId="102">
    <w:name w:val="B2 Char"/>
    <w:basedOn w:val="46"/>
    <w:link w:val="83"/>
    <w:qFormat/>
    <w:uiPriority w:val="0"/>
    <w:rPr>
      <w:lang w:val="en-GB" w:eastAsia="en-US" w:bidi="ar-SA"/>
    </w:rPr>
  </w:style>
  <w:style w:type="character" w:customStyle="1" w:styleId="103">
    <w:name w:val="B3 Char2"/>
    <w:basedOn w:val="46"/>
    <w:link w:val="84"/>
    <w:qFormat/>
    <w:uiPriority w:val="0"/>
    <w:rPr>
      <w:lang w:val="en-GB" w:eastAsia="en-US" w:bidi="ar-SA"/>
    </w:rPr>
  </w:style>
  <w:style w:type="paragraph" w:customStyle="1" w:styleId="104">
    <w:name w:val="Char Char Char Char Char Char Char Char Char Char2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5">
    <w:name w:val="(文字) (文字)2"/>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6">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szCs w:val="20"/>
      <w:lang w:val="en-GB"/>
    </w:rPr>
  </w:style>
  <w:style w:type="character" w:customStyle="1" w:styleId="107">
    <w:name w:val="B1 (文字)"/>
    <w:basedOn w:val="46"/>
    <w:qFormat/>
    <w:uiPriority w:val="0"/>
    <w:rPr>
      <w:lang w:val="en-GB" w:eastAsia="ja-JP" w:bidi="ar-SA"/>
    </w:rPr>
  </w:style>
  <w:style w:type="character" w:customStyle="1" w:styleId="108">
    <w:name w:val="B1 Zchn"/>
    <w:basedOn w:val="46"/>
    <w:qFormat/>
    <w:uiPriority w:val="0"/>
    <w:rPr>
      <w:rFonts w:eastAsia="MS Mincho"/>
      <w:lang w:val="en-GB"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character" w:customStyle="1" w:styleId="110">
    <w:name w:val="TF Char"/>
    <w:basedOn w:val="46"/>
    <w:link w:val="61"/>
    <w:qFormat/>
    <w:uiPriority w:val="0"/>
    <w:rPr>
      <w:rFonts w:ascii="Arial" w:hAnsi="Arial"/>
      <w:b/>
      <w:lang w:val="en-GB" w:eastAsia="en-US" w:bidi="ar-SA"/>
    </w:rPr>
  </w:style>
  <w:style w:type="character" w:customStyle="1" w:styleId="111">
    <w:name w:val="Header Char"/>
    <w:basedOn w:val="46"/>
    <w:link w:val="38"/>
    <w:qFormat/>
    <w:uiPriority w:val="0"/>
    <w:rPr>
      <w:rFonts w:ascii="Arial" w:hAnsi="Arial"/>
      <w:b/>
      <w:sz w:val="18"/>
      <w:lang w:val="en-GB" w:eastAsia="en-US" w:bidi="ar-SA"/>
    </w:rPr>
  </w:style>
  <w:style w:type="paragraph" w:customStyle="1" w:styleId="112">
    <w:name w:val="List Paragraph1"/>
    <w:basedOn w:val="1"/>
    <w:link w:val="140"/>
    <w:qFormat/>
    <w:uiPriority w:val="34"/>
    <w:pPr>
      <w:ind w:firstLine="420" w:firstLineChars="200"/>
    </w:pPr>
  </w:style>
  <w:style w:type="character" w:customStyle="1" w:styleId="113">
    <w:name w:val="TAH Car"/>
    <w:basedOn w:val="46"/>
    <w:link w:val="58"/>
    <w:qFormat/>
    <w:uiPriority w:val="0"/>
    <w:rPr>
      <w:rFonts w:ascii="Arial" w:hAnsi="Arial"/>
      <w:b/>
      <w:sz w:val="18"/>
      <w:lang w:val="en-GB" w:eastAsia="en-US"/>
    </w:rPr>
  </w:style>
  <w:style w:type="character" w:customStyle="1" w:styleId="114">
    <w:name w:val="Caption Char"/>
    <w:link w:val="30"/>
    <w:qFormat/>
    <w:uiPriority w:val="0"/>
    <w:rPr>
      <w:rFonts w:ascii="Cambria" w:hAnsi="Cambria" w:eastAsia="黑体"/>
      <w:lang w:val="en-GB" w:eastAsia="en-US"/>
    </w:rPr>
  </w:style>
  <w:style w:type="character" w:customStyle="1" w:styleId="115">
    <w:name w:val="Intense Emphasis1"/>
    <w:basedOn w:val="46"/>
    <w:qFormat/>
    <w:uiPriority w:val="21"/>
    <w:rPr>
      <w:b/>
      <w:bCs/>
      <w:i/>
      <w:iCs/>
      <w:color w:val="4F81BD"/>
    </w:rPr>
  </w:style>
  <w:style w:type="character" w:customStyle="1" w:styleId="116">
    <w:name w:val="TAN Char"/>
    <w:basedOn w:val="96"/>
    <w:link w:val="73"/>
    <w:qFormat/>
    <w:uiPriority w:val="0"/>
    <w:rPr>
      <w:rFonts w:ascii="Arial" w:hAnsi="Arial"/>
      <w:sz w:val="18"/>
      <w:lang w:val="en-GB" w:eastAsia="en-US" w:bidi="ar-SA"/>
    </w:rPr>
  </w:style>
  <w:style w:type="paragraph" w:customStyle="1" w:styleId="117">
    <w:name w:val="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18">
    <w:name w:val="References"/>
    <w:basedOn w:val="1"/>
    <w:next w:val="1"/>
    <w:qFormat/>
    <w:uiPriority w:val="0"/>
    <w:pPr>
      <w:numPr>
        <w:ilvl w:val="0"/>
        <w:numId w:val="5"/>
      </w:numPr>
      <w:autoSpaceDE w:val="0"/>
      <w:autoSpaceDN w:val="0"/>
      <w:snapToGrid w:val="0"/>
      <w:spacing w:after="60"/>
    </w:pPr>
    <w:rPr>
      <w:szCs w:val="16"/>
      <w:lang w:val="en-US"/>
    </w:rPr>
  </w:style>
  <w:style w:type="character" w:customStyle="1" w:styleId="119">
    <w:name w:val="Comment Text Char"/>
    <w:basedOn w:val="46"/>
    <w:link w:val="16"/>
    <w:qFormat/>
    <w:uiPriority w:val="0"/>
    <w:rPr>
      <w:rFonts w:ascii="Times New Roman" w:hAnsi="Times New Roman"/>
      <w:lang w:eastAsia="en-US"/>
    </w:rPr>
  </w:style>
  <w:style w:type="paragraph" w:customStyle="1" w:styleId="120">
    <w:name w:val="参考文献"/>
    <w:basedOn w:val="1"/>
    <w:qFormat/>
    <w:uiPriority w:val="0"/>
    <w:pPr>
      <w:keepLines/>
      <w:numPr>
        <w:ilvl w:val="0"/>
        <w:numId w:val="6"/>
      </w:numPr>
      <w:spacing w:after="0"/>
    </w:pPr>
    <w:rPr>
      <w:rFonts w:eastAsia="MS Mincho"/>
    </w:rPr>
  </w:style>
  <w:style w:type="paragraph" w:customStyle="1" w:styleId="121">
    <w:name w:val="Revision1"/>
    <w:hidden/>
    <w:semiHidden/>
    <w:qFormat/>
    <w:uiPriority w:val="99"/>
    <w:pPr>
      <w:spacing w:after="200" w:line="276" w:lineRule="auto"/>
    </w:pPr>
    <w:rPr>
      <w:rFonts w:ascii="Times New Roman" w:hAnsi="Times New Roman" w:eastAsia="宋体" w:cs="Times New Roman"/>
      <w:lang w:val="en-GB" w:eastAsia="en-US" w:bidi="ar-SA"/>
    </w:rPr>
  </w:style>
  <w:style w:type="paragraph" w:customStyle="1" w:styleId="122">
    <w:name w:val="3GPP 正文"/>
    <w:basedOn w:val="1"/>
    <w:link w:val="123"/>
    <w:qFormat/>
    <w:uiPriority w:val="0"/>
    <w:rPr>
      <w:lang w:eastAsia="ja-JP"/>
    </w:rPr>
  </w:style>
  <w:style w:type="character" w:customStyle="1" w:styleId="123">
    <w:name w:val="3GPP 正文 Char"/>
    <w:link w:val="122"/>
    <w:qFormat/>
    <w:uiPriority w:val="0"/>
    <w:rPr>
      <w:rFonts w:ascii="Times New Roman" w:hAnsi="Times New Roman"/>
      <w:lang w:eastAsia="ja-JP"/>
    </w:rPr>
  </w:style>
  <w:style w:type="paragraph" w:customStyle="1" w:styleId="124">
    <w:name w:val="Guidance"/>
    <w:basedOn w:val="1"/>
    <w:link w:val="125"/>
    <w:qFormat/>
    <w:uiPriority w:val="0"/>
    <w:rPr>
      <w:i/>
      <w:color w:val="0000FF"/>
    </w:rPr>
  </w:style>
  <w:style w:type="character" w:customStyle="1" w:styleId="125">
    <w:name w:val="Guidance Char"/>
    <w:link w:val="124"/>
    <w:qFormat/>
    <w:uiPriority w:val="0"/>
    <w:rPr>
      <w:rFonts w:ascii="Times New Roman" w:hAnsi="Times New Roman"/>
      <w:i/>
      <w:color w:val="0000FF"/>
      <w:lang w:eastAsia="en-US"/>
    </w:rPr>
  </w:style>
  <w:style w:type="character" w:customStyle="1" w:styleId="126">
    <w:name w:val="Heading 1 Char"/>
    <w:basedOn w:val="46"/>
    <w:link w:val="2"/>
    <w:qFormat/>
    <w:uiPriority w:val="0"/>
    <w:rPr>
      <w:rFonts w:ascii="Arial" w:hAnsi="Arial"/>
      <w:sz w:val="28"/>
      <w:szCs w:val="28"/>
      <w:lang w:val="en-GB"/>
    </w:rPr>
  </w:style>
  <w:style w:type="character" w:customStyle="1" w:styleId="127">
    <w:name w:val="Document Map Char"/>
    <w:link w:val="31"/>
    <w:qFormat/>
    <w:uiPriority w:val="0"/>
    <w:rPr>
      <w:rFonts w:ascii="Tahoma" w:hAnsi="Tahoma" w:cs="Tahoma"/>
      <w:shd w:val="clear" w:color="auto" w:fill="000080"/>
      <w:lang w:val="en-GB"/>
    </w:rPr>
  </w:style>
  <w:style w:type="character" w:customStyle="1" w:styleId="128">
    <w:name w:val="Comment Subject Char"/>
    <w:link w:val="15"/>
    <w:qFormat/>
    <w:uiPriority w:val="0"/>
    <w:rPr>
      <w:rFonts w:ascii="Times New Roman" w:hAnsi="Times New Roman"/>
      <w:b/>
      <w:bCs/>
      <w:lang w:val="en-GB"/>
    </w:rPr>
  </w:style>
  <w:style w:type="character" w:customStyle="1" w:styleId="129">
    <w:name w:val="Balloon Text Char"/>
    <w:link w:val="36"/>
    <w:qFormat/>
    <w:uiPriority w:val="0"/>
    <w:rPr>
      <w:rFonts w:ascii="Tahoma" w:hAnsi="Tahoma" w:cs="Tahoma"/>
      <w:sz w:val="16"/>
      <w:szCs w:val="16"/>
      <w:lang w:val="en-GB"/>
    </w:rPr>
  </w:style>
  <w:style w:type="character" w:customStyle="1" w:styleId="130">
    <w:name w:val="EX Char"/>
    <w:link w:val="64"/>
    <w:qFormat/>
    <w:uiPriority w:val="0"/>
    <w:rPr>
      <w:rFonts w:ascii="Times New Roman" w:hAnsi="Times New Roman"/>
      <w:lang w:val="en-GB"/>
    </w:rPr>
  </w:style>
  <w:style w:type="character" w:customStyle="1" w:styleId="131">
    <w:name w:val="Heading 4 Char"/>
    <w:link w:val="5"/>
    <w:qFormat/>
    <w:uiPriority w:val="0"/>
    <w:rPr>
      <w:rFonts w:ascii="Arial" w:hAnsi="Arial"/>
      <w:sz w:val="24"/>
      <w:szCs w:val="24"/>
      <w:lang w:eastAsia="zh-CN"/>
    </w:rPr>
  </w:style>
  <w:style w:type="character" w:customStyle="1" w:styleId="132">
    <w:name w:val="Footnote Text Char"/>
    <w:link w:val="39"/>
    <w:qFormat/>
    <w:uiPriority w:val="0"/>
    <w:rPr>
      <w:rFonts w:ascii="Times New Roman" w:hAnsi="Times New Roman"/>
      <w:sz w:val="16"/>
      <w:lang w:val="en-GB"/>
    </w:rPr>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3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35">
    <w:name w:val="TableText"/>
    <w:basedOn w:val="33"/>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36">
    <w:name w:val="Body Text Indent Char"/>
    <w:basedOn w:val="46"/>
    <w:link w:val="33"/>
    <w:qFormat/>
    <w:uiPriority w:val="0"/>
    <w:rPr>
      <w:rFonts w:ascii="Times New Roman" w:hAnsi="Times New Roman"/>
      <w:lang w:val="en-GB"/>
    </w:rPr>
  </w:style>
  <w:style w:type="character" w:customStyle="1" w:styleId="137">
    <w:name w:val="_tgc"/>
    <w:qFormat/>
    <w:uiPriority w:val="0"/>
  </w:style>
  <w:style w:type="character" w:customStyle="1" w:styleId="138">
    <w:name w:val="Heading 2 Char"/>
    <w:basedOn w:val="46"/>
    <w:link w:val="3"/>
    <w:qFormat/>
    <w:uiPriority w:val="0"/>
    <w:rPr>
      <w:rFonts w:ascii="Arial" w:hAnsi="Arial"/>
      <w:sz w:val="24"/>
      <w:szCs w:val="24"/>
      <w:lang w:eastAsia="zh-CN"/>
    </w:rPr>
  </w:style>
  <w:style w:type="character" w:customStyle="1" w:styleId="139">
    <w:name w:val="EX Car"/>
    <w:qFormat/>
    <w:locked/>
    <w:uiPriority w:val="0"/>
    <w:rPr>
      <w:rFonts w:ascii="Times New Roman" w:hAnsi="Times New Roman" w:eastAsia="Times New Roman"/>
      <w:lang w:val="en-GB" w:eastAsia="zh-CN"/>
    </w:rPr>
  </w:style>
  <w:style w:type="character" w:customStyle="1" w:styleId="140">
    <w:name w:val="List Paragraph Char"/>
    <w:link w:val="112"/>
    <w:qFormat/>
    <w:locked/>
    <w:uiPriority w:val="34"/>
    <w:rPr>
      <w:rFonts w:ascii="Times New Roman" w:hAnsi="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oleObject" Target="embeddings/oleObject2.bin"/><Relationship Id="rId7" Type="http://schemas.openxmlformats.org/officeDocument/2006/relationships/image" Target="media/image3.png"/><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0149C7-38C2-43CD-896F-AE5D38431747}">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768</Words>
  <Characters>4381</Characters>
  <Lines>36</Lines>
  <Paragraphs>10</Paragraphs>
  <TotalTime>0</TotalTime>
  <ScaleCrop>false</ScaleCrop>
  <LinksUpToDate>false</LinksUpToDate>
  <CharactersWithSpaces>5139</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2017-06-19T14:54:00Z</dcterms:created>
  <dc:creator>mwx193114</dc:creator>
  <cp:lastModifiedBy>00081860</cp:lastModifiedBy>
  <cp:lastPrinted>2015-01-14T11:53:00Z</cp:lastPrinted>
  <dcterms:modified xsi:type="dcterms:W3CDTF">2017-08-11T10:36:22Z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1497097059</vt:lpwstr>
  </property>
  <property fmtid="{D5CDD505-2E9C-101B-9397-08002B2CF9AE}" pid="29" name="KSOProductBuildVer">
    <vt:lpwstr>2052-10.8.0.6108</vt:lpwstr>
  </property>
</Properties>
</file>