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51F80377"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74160B" w:rsidRPr="006122AA">
        <w:rPr>
          <w:rFonts w:ascii="Arial" w:eastAsia="SimSun" w:hAnsi="Arial"/>
          <w:b/>
          <w:sz w:val="24"/>
          <w:szCs w:val="24"/>
          <w:lang w:val="en-US" w:eastAsia="zh-CN"/>
        </w:rPr>
        <w:t>RAN4#82</w:t>
      </w:r>
      <w:r w:rsidR="0074160B">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74160B" w:rsidRPr="0074160B">
        <w:rPr>
          <w:rFonts w:ascii="Arial" w:hAnsi="Arial" w:cs="Arial"/>
          <w:b/>
          <w:noProof/>
          <w:sz w:val="24"/>
          <w:szCs w:val="24"/>
          <w:lang w:val="en-US"/>
        </w:rPr>
        <w:t>R4-1703000</w:t>
      </w:r>
    </w:p>
    <w:p w14:paraId="2783F11E" w14:textId="77777777" w:rsidR="0074160B" w:rsidRDefault="0074160B" w:rsidP="0074160B">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07C38993" w14:textId="77777777" w:rsidR="00EB4C31" w:rsidRDefault="00EB4C31" w:rsidP="00BE4217">
      <w:pPr>
        <w:pStyle w:val="Footer"/>
        <w:jc w:val="both"/>
        <w:rPr>
          <w:i w:val="0"/>
          <w:noProof w:val="0"/>
          <w:sz w:val="24"/>
          <w:szCs w:val="24"/>
          <w:lang w:val="en-GB" w:eastAsia="ja-JP"/>
        </w:rPr>
      </w:pPr>
    </w:p>
    <w:p w14:paraId="73819049" w14:textId="539B3FD9"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74160B">
        <w:rPr>
          <w:rFonts w:ascii="Arial" w:hAnsi="Arial"/>
          <w:sz w:val="24"/>
        </w:rPr>
        <w:t xml:space="preserve">10.4.2.3 </w:t>
      </w:r>
      <w:r w:rsidR="00221782">
        <w:rPr>
          <w:rFonts w:ascii="Arial" w:hAnsi="Arial"/>
          <w:sz w:val="24"/>
        </w:rPr>
        <w:t xml:space="preserve">- </w:t>
      </w:r>
      <w:r w:rsidR="007957F6" w:rsidRPr="007957F6">
        <w:rPr>
          <w:rFonts w:ascii="Arial" w:hAnsi="Arial"/>
          <w:sz w:val="24"/>
        </w:rPr>
        <w:t>Receiver characteristics</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4A23AEF9"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160B" w:rsidRPr="0074160B">
        <w:rPr>
          <w:rFonts w:ascii="Arial" w:hAnsi="Arial"/>
          <w:sz w:val="24"/>
          <w:lang w:val="en-US"/>
        </w:rPr>
        <w:t>UE sub-6 GHz OOB blocking considerations &amp; proposals</w:t>
      </w:r>
    </w:p>
    <w:p w14:paraId="085AFF46" w14:textId="0873BCFF"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4160B">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77777777"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Out of band blocking is an important RX characteristic for </w:t>
      </w:r>
      <w:r w:rsidR="003706A0">
        <w:rPr>
          <w:sz w:val="24"/>
          <w:szCs w:val="24"/>
          <w:lang w:val="en-US"/>
        </w:rPr>
        <w:t>UE to ensure</w:t>
      </w:r>
      <w:r w:rsidR="006038D6">
        <w:rPr>
          <w:sz w:val="24"/>
          <w:szCs w:val="24"/>
          <w:lang w:val="en-US"/>
        </w:rPr>
        <w:t xml:space="preserve"> selectivity towards wanted RX signal in the presence of interfering blocker signals. This</w:t>
      </w:r>
      <w:r w:rsidR="002B1AC4">
        <w:rPr>
          <w:sz w:val="24"/>
          <w:szCs w:val="24"/>
          <w:lang w:val="en-US"/>
        </w:rPr>
        <w:t xml:space="preserve"> paper proposes </w:t>
      </w:r>
      <w:r w:rsidR="006038D6">
        <w:rPr>
          <w:sz w:val="24"/>
          <w:szCs w:val="24"/>
          <w:lang w:val="en-US"/>
        </w:rPr>
        <w:t>template</w:t>
      </w:r>
      <w:r w:rsidR="002B1AC4">
        <w:rPr>
          <w:sz w:val="24"/>
          <w:szCs w:val="24"/>
          <w:lang w:val="en-US"/>
        </w:rPr>
        <w:t>s</w:t>
      </w:r>
      <w:r w:rsidR="006038D6">
        <w:rPr>
          <w:sz w:val="24"/>
          <w:szCs w:val="24"/>
          <w:lang w:val="en-US"/>
        </w:rPr>
        <w:t xml:space="preserve"> for out of band blocking tables similar to [1] for new radio standard</w:t>
      </w:r>
      <w:r w:rsidR="002B1AC4">
        <w:rPr>
          <w:sz w:val="24"/>
          <w:szCs w:val="24"/>
          <w:lang w:val="en-US"/>
        </w:rPr>
        <w:t xml:space="preserve"> [2]</w:t>
      </w:r>
      <w:r w:rsidR="006038D6">
        <w:rPr>
          <w:sz w:val="24"/>
          <w:szCs w:val="24"/>
          <w:lang w:val="en-US"/>
        </w:rPr>
        <w:t xml:space="preserve">.   </w:t>
      </w:r>
    </w:p>
    <w:p w14:paraId="38A58E6A" w14:textId="3905B9FC"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F87F0C">
        <w:rPr>
          <w:lang w:val="en-US"/>
        </w:rPr>
        <w:t xml:space="preserve">sub-6 GHz </w:t>
      </w:r>
      <w:r w:rsidR="002B1AC4">
        <w:rPr>
          <w:lang w:val="en-US"/>
        </w:rPr>
        <w:t xml:space="preserve">out of band blocking </w:t>
      </w:r>
      <w:bookmarkStart w:id="1" w:name="_GoBack"/>
      <w:bookmarkEnd w:id="1"/>
    </w:p>
    <w:p w14:paraId="00C78D89" w14:textId="473FD4FC" w:rsidR="00735DFF" w:rsidRPr="00C658E4" w:rsidRDefault="00C658E4" w:rsidP="00C658E4">
      <w:pPr>
        <w:rPr>
          <w:sz w:val="24"/>
        </w:rPr>
      </w:pPr>
      <w:r>
        <w:rPr>
          <w:sz w:val="24"/>
          <w:lang w:val="en-US"/>
        </w:rPr>
        <w:t>This paper is supplement to “</w:t>
      </w:r>
      <w:r w:rsidR="00E3314F">
        <w:rPr>
          <w:sz w:val="24"/>
          <w:lang w:val="en-US"/>
        </w:rPr>
        <w:t>R4-1703001</w:t>
      </w:r>
      <w:r>
        <w:rPr>
          <w:sz w:val="24"/>
          <w:lang w:val="en-US"/>
        </w:rPr>
        <w:t xml:space="preserve">”, except that tables proposed below are for </w:t>
      </w:r>
      <w:r w:rsidRPr="00E3314F">
        <w:rPr>
          <w:b/>
          <w:color w:val="0070C0"/>
          <w:sz w:val="24"/>
          <w:lang w:val="en-US"/>
        </w:rPr>
        <w:t>sub-6 GHz</w:t>
      </w:r>
      <w:r w:rsidR="00735DFF" w:rsidRPr="00E3314F">
        <w:rPr>
          <w:color w:val="0070C0"/>
          <w:sz w:val="24"/>
        </w:rPr>
        <w:t xml:space="preserve"> </w:t>
      </w:r>
    </w:p>
    <w:p w14:paraId="00A442C9" w14:textId="4BEFD0F3" w:rsidR="00DA7F28" w:rsidRDefault="00C658E4" w:rsidP="00C658E4">
      <w:pPr>
        <w:jc w:val="both"/>
        <w:rPr>
          <w:sz w:val="24"/>
        </w:rPr>
      </w:pPr>
      <w:r>
        <w:rPr>
          <w:b/>
          <w:sz w:val="24"/>
        </w:rPr>
        <w:t>Proposal 1</w:t>
      </w:r>
      <w:r w:rsidR="00735DFF" w:rsidRPr="00735DFF">
        <w:rPr>
          <w:b/>
          <w:sz w:val="24"/>
        </w:rPr>
        <w:t xml:space="preserve">: </w:t>
      </w:r>
      <w:r>
        <w:rPr>
          <w:sz w:val="24"/>
        </w:rPr>
        <w:t xml:space="preserve">RAN4 should consider the table 1 and table 2 as baseline for defining out-of-band blocking requirements for NR bands </w:t>
      </w:r>
      <w:r>
        <w:rPr>
          <w:sz w:val="24"/>
        </w:rPr>
        <w:t>sub</w:t>
      </w:r>
      <w:r>
        <w:rPr>
          <w:sz w:val="24"/>
        </w:rPr>
        <w:t xml:space="preserve"> 6 GHz </w:t>
      </w:r>
      <w:r>
        <w:rPr>
          <w:sz w:val="24"/>
        </w:rPr>
        <w:t xml:space="preserve">NR </w:t>
      </w:r>
      <w:r>
        <w:rPr>
          <w:sz w:val="24"/>
        </w:rPr>
        <w:t>[1] [2] [3] [4].</w:t>
      </w:r>
    </w:p>
    <w:p w14:paraId="6F30C940" w14:textId="77777777" w:rsidR="00C658E4" w:rsidRPr="00DA7F28" w:rsidRDefault="00C658E4" w:rsidP="00C658E4">
      <w:pPr>
        <w:jc w:val="both"/>
        <w:rPr>
          <w:sz w:val="24"/>
        </w:rPr>
      </w:pPr>
    </w:p>
    <w:tbl>
      <w:tblPr>
        <w:tblW w:w="6984" w:type="dxa"/>
        <w:jc w:val="center"/>
        <w:tblCellMar>
          <w:left w:w="0" w:type="dxa"/>
          <w:right w:w="0" w:type="dxa"/>
        </w:tblCellMar>
        <w:tblLook w:val="01E0" w:firstRow="1" w:lastRow="1" w:firstColumn="1" w:lastColumn="1" w:noHBand="0" w:noVBand="0"/>
      </w:tblPr>
      <w:tblGrid>
        <w:gridCol w:w="2525"/>
        <w:gridCol w:w="842"/>
        <w:gridCol w:w="1159"/>
        <w:gridCol w:w="1134"/>
        <w:gridCol w:w="1324"/>
      </w:tblGrid>
      <w:tr w:rsidR="00B71D91" w:rsidRPr="00B71D91" w14:paraId="7F3BCC0F" w14:textId="77777777" w:rsidTr="00B71D91">
        <w:trPr>
          <w:trHeight w:val="581"/>
          <w:jc w:val="center"/>
        </w:trPr>
        <w:tc>
          <w:tcPr>
            <w:tcW w:w="25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CBAC" w14:textId="77777777" w:rsidR="00B71D91" w:rsidRPr="00B71D91" w:rsidRDefault="00B71D91" w:rsidP="00B71D91">
            <w:pPr>
              <w:jc w:val="both"/>
              <w:rPr>
                <w:sz w:val="24"/>
                <w:lang w:val="en-US"/>
              </w:rPr>
            </w:pPr>
            <w:r w:rsidRPr="00B71D91">
              <w:rPr>
                <w:b/>
                <w:bCs/>
                <w:sz w:val="24"/>
              </w:rPr>
              <w:t>Rx Parameter</w:t>
            </w: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C573B" w14:textId="77777777" w:rsidR="00B71D91" w:rsidRPr="00B71D91" w:rsidRDefault="00B71D91" w:rsidP="00B71D91">
            <w:pPr>
              <w:jc w:val="both"/>
              <w:rPr>
                <w:sz w:val="24"/>
                <w:lang w:val="en-US"/>
              </w:rPr>
            </w:pPr>
            <w:r w:rsidRPr="00B71D91">
              <w:rPr>
                <w:b/>
                <w:bCs/>
                <w:sz w:val="24"/>
              </w:rPr>
              <w:t xml:space="preserve">Units </w:t>
            </w:r>
          </w:p>
        </w:tc>
        <w:tc>
          <w:tcPr>
            <w:tcW w:w="361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B5E41" w14:textId="77777777" w:rsidR="00B71D91" w:rsidRPr="00B71D91" w:rsidRDefault="00B71D91" w:rsidP="00B71D91">
            <w:pPr>
              <w:jc w:val="both"/>
              <w:rPr>
                <w:sz w:val="24"/>
                <w:lang w:val="en-US"/>
              </w:rPr>
            </w:pPr>
            <w:r w:rsidRPr="00B71D91">
              <w:rPr>
                <w:b/>
                <w:bCs/>
                <w:sz w:val="24"/>
              </w:rPr>
              <w:t>Channel bandwidth</w:t>
            </w:r>
          </w:p>
        </w:tc>
      </w:tr>
      <w:tr w:rsidR="00B71D91" w:rsidRPr="00B71D91" w14:paraId="4749FE10" w14:textId="77777777" w:rsidTr="00B71D91">
        <w:trPr>
          <w:trHeight w:val="5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6398" w14:textId="77777777" w:rsidR="00B71D91" w:rsidRPr="00B71D91" w:rsidRDefault="00B71D91" w:rsidP="00B71D91">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C999B4" w14:textId="77777777" w:rsidR="00B71D91" w:rsidRPr="00B71D91" w:rsidRDefault="00B71D91" w:rsidP="00B71D91">
            <w:pPr>
              <w:jc w:val="both"/>
              <w:rPr>
                <w:sz w:val="24"/>
                <w:lang w:val="en-US"/>
              </w:rPr>
            </w:pP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A8647" w14:textId="77777777" w:rsidR="00B71D91" w:rsidRPr="00B71D91" w:rsidRDefault="00B71D91" w:rsidP="00B71D91">
            <w:pPr>
              <w:jc w:val="both"/>
              <w:rPr>
                <w:sz w:val="24"/>
                <w:lang w:val="en-US"/>
              </w:rPr>
            </w:pPr>
            <w:r w:rsidRPr="00B71D91">
              <w:rPr>
                <w:b/>
                <w:bCs/>
                <w:sz w:val="24"/>
              </w:rPr>
              <w:t>20 MHz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E1D3F" w14:textId="77777777" w:rsidR="00B71D91" w:rsidRPr="00B71D91" w:rsidRDefault="00B71D91" w:rsidP="00B71D91">
            <w:pPr>
              <w:jc w:val="both"/>
              <w:rPr>
                <w:sz w:val="24"/>
                <w:lang w:val="en-US"/>
              </w:rPr>
            </w:pPr>
            <w:r w:rsidRPr="00B71D91">
              <w:rPr>
                <w:b/>
                <w:bCs/>
                <w:sz w:val="24"/>
              </w:rPr>
              <w:t>40 MHz</w:t>
            </w:r>
          </w:p>
        </w:tc>
        <w:tc>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4D05A" w14:textId="77777777" w:rsidR="00B71D91" w:rsidRPr="00B71D91" w:rsidRDefault="00B71D91" w:rsidP="00B71D91">
            <w:pPr>
              <w:jc w:val="both"/>
              <w:rPr>
                <w:sz w:val="24"/>
                <w:lang w:val="en-US"/>
              </w:rPr>
            </w:pPr>
            <w:r w:rsidRPr="00B71D91">
              <w:rPr>
                <w:b/>
                <w:bCs/>
                <w:sz w:val="24"/>
              </w:rPr>
              <w:t>100 MHz</w:t>
            </w:r>
          </w:p>
        </w:tc>
      </w:tr>
      <w:tr w:rsidR="00B71D91" w:rsidRPr="00B71D91" w14:paraId="1E55AD48" w14:textId="77777777" w:rsidTr="00B71D91">
        <w:trPr>
          <w:trHeight w:val="735"/>
          <w:jc w:val="center"/>
        </w:trPr>
        <w:tc>
          <w:tcPr>
            <w:tcW w:w="25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47ED4" w14:textId="77777777" w:rsidR="00B71D91" w:rsidRPr="00B71D91" w:rsidRDefault="00B71D91" w:rsidP="00B71D91">
            <w:pPr>
              <w:jc w:val="both"/>
              <w:rPr>
                <w:sz w:val="24"/>
                <w:lang w:val="en-US"/>
              </w:rPr>
            </w:pPr>
            <w:r w:rsidRPr="00B71D91">
              <w:rPr>
                <w:sz w:val="24"/>
              </w:rPr>
              <w:t>Power in Transmission Bandwidth Configuration</w:t>
            </w: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2951C" w14:textId="77777777" w:rsidR="00B71D91" w:rsidRPr="00B71D91" w:rsidRDefault="00B71D91" w:rsidP="00B71D91">
            <w:pPr>
              <w:jc w:val="both"/>
              <w:rPr>
                <w:sz w:val="24"/>
                <w:lang w:val="en-US"/>
              </w:rPr>
            </w:pPr>
            <w:r w:rsidRPr="00B71D91">
              <w:rPr>
                <w:sz w:val="24"/>
              </w:rPr>
              <w:t>dBm</w:t>
            </w:r>
          </w:p>
        </w:tc>
        <w:tc>
          <w:tcPr>
            <w:tcW w:w="361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F2404" w14:textId="77777777" w:rsidR="00B71D91" w:rsidRPr="00B71D91" w:rsidRDefault="00B71D91" w:rsidP="00B71D91">
            <w:pPr>
              <w:jc w:val="both"/>
              <w:rPr>
                <w:sz w:val="24"/>
                <w:lang w:val="en-US"/>
              </w:rPr>
            </w:pPr>
            <w:r w:rsidRPr="00B71D91">
              <w:rPr>
                <w:sz w:val="24"/>
              </w:rPr>
              <w:t>REFSENS + channel bandwidth specific value below</w:t>
            </w:r>
          </w:p>
        </w:tc>
      </w:tr>
      <w:tr w:rsidR="00B71D91" w:rsidRPr="00B71D91" w14:paraId="00F642B2" w14:textId="77777777" w:rsidTr="00B71D91">
        <w:trPr>
          <w:trHeight w:val="5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E57880" w14:textId="77777777" w:rsidR="00B71D91" w:rsidRPr="00B71D91" w:rsidRDefault="00B71D91" w:rsidP="00B71D91">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4C9C12" w14:textId="77777777" w:rsidR="00B71D91" w:rsidRPr="00B71D91" w:rsidRDefault="00B71D91" w:rsidP="00B71D91">
            <w:pPr>
              <w:jc w:val="both"/>
              <w:rPr>
                <w:sz w:val="24"/>
                <w:lang w:val="en-US"/>
              </w:rPr>
            </w:pP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C22A7" w14:textId="77777777" w:rsidR="00B71D91" w:rsidRPr="00B71D91" w:rsidRDefault="00B71D91" w:rsidP="00B71D91">
            <w:pPr>
              <w:jc w:val="both"/>
              <w:rPr>
                <w:b/>
                <w:sz w:val="24"/>
                <w:lang w:val="en-US"/>
              </w:rPr>
            </w:pPr>
            <w:r w:rsidRPr="00B71D91">
              <w:rPr>
                <w:b/>
                <w:sz w:val="24"/>
                <w:lang w:val="de-DE"/>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A186B" w14:textId="77777777" w:rsidR="00B71D91" w:rsidRPr="00B71D91" w:rsidRDefault="00B71D91" w:rsidP="00B71D91">
            <w:pPr>
              <w:jc w:val="both"/>
              <w:rPr>
                <w:b/>
                <w:sz w:val="24"/>
                <w:lang w:val="en-US"/>
              </w:rPr>
            </w:pPr>
            <w:r w:rsidRPr="00B71D91">
              <w:rPr>
                <w:b/>
                <w:sz w:val="24"/>
                <w:lang w:val="de-DE"/>
              </w:rPr>
              <w:t>12</w:t>
            </w:r>
          </w:p>
        </w:tc>
        <w:tc>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779BE" w14:textId="77777777" w:rsidR="00B71D91" w:rsidRPr="00B71D91" w:rsidRDefault="00B71D91" w:rsidP="00B71D91">
            <w:pPr>
              <w:jc w:val="both"/>
              <w:rPr>
                <w:b/>
                <w:sz w:val="24"/>
                <w:lang w:val="en-US"/>
              </w:rPr>
            </w:pPr>
            <w:r w:rsidRPr="00B71D91">
              <w:rPr>
                <w:b/>
                <w:sz w:val="24"/>
                <w:lang w:val="de-DE"/>
              </w:rPr>
              <w:t>16</w:t>
            </w:r>
          </w:p>
        </w:tc>
      </w:tr>
    </w:tbl>
    <w:p w14:paraId="026963E2" w14:textId="77777777" w:rsidR="00735DFF" w:rsidRDefault="00DE55C4" w:rsidP="00DE55C4">
      <w:pPr>
        <w:jc w:val="center"/>
        <w:rPr>
          <w:b/>
          <w:sz w:val="24"/>
        </w:rPr>
      </w:pPr>
      <w:r w:rsidRPr="00DE55C4">
        <w:rPr>
          <w:b/>
          <w:sz w:val="24"/>
        </w:rPr>
        <w:t xml:space="preserve">Table 1. Out-of-band blocking </w:t>
      </w:r>
      <w:r w:rsidR="00763170">
        <w:rPr>
          <w:b/>
          <w:sz w:val="24"/>
        </w:rPr>
        <w:t>parameters (sub-6 GHz)</w:t>
      </w:r>
    </w:p>
    <w:p w14:paraId="202997F1" w14:textId="77777777" w:rsidR="00DA7F28" w:rsidRDefault="00B71D91" w:rsidP="00B71D91">
      <w:pPr>
        <w:rPr>
          <w:sz w:val="24"/>
        </w:rPr>
      </w:pPr>
      <w:r>
        <w:rPr>
          <w:sz w:val="24"/>
        </w:rPr>
        <w:t xml:space="preserve">In table 1, </w:t>
      </w:r>
      <w:r w:rsidRPr="00B71D91">
        <w:rPr>
          <w:sz w:val="24"/>
        </w:rPr>
        <w:t xml:space="preserve">Channel bandwidth (CBW) starts from 20 MHz </w:t>
      </w:r>
      <w:r>
        <w:rPr>
          <w:sz w:val="24"/>
        </w:rPr>
        <w:t xml:space="preserve">because of re-farming from LTE. </w:t>
      </w:r>
    </w:p>
    <w:p w14:paraId="76B6B86C" w14:textId="77777777" w:rsidR="00B71D91" w:rsidRPr="00DE55C4" w:rsidRDefault="00763170" w:rsidP="00B71D91">
      <w:pPr>
        <w:rPr>
          <w:b/>
          <w:sz w:val="24"/>
        </w:rPr>
      </w:pPr>
      <w:r>
        <w:rPr>
          <w:noProof/>
          <w:lang w:val="en-US"/>
        </w:rPr>
        <w:lastRenderedPageBreak/>
        <w:drawing>
          <wp:inline distT="0" distB="0" distL="0" distR="0" wp14:anchorId="61E9A46E" wp14:editId="5B55F530">
            <wp:extent cx="6115685" cy="25628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2562860"/>
                    </a:xfrm>
                    <a:prstGeom prst="rect">
                      <a:avLst/>
                    </a:prstGeom>
                  </pic:spPr>
                </pic:pic>
              </a:graphicData>
            </a:graphic>
          </wp:inline>
        </w:drawing>
      </w:r>
    </w:p>
    <w:p w14:paraId="5ACDFDCF" w14:textId="77777777" w:rsidR="00763170" w:rsidRDefault="00735DFF" w:rsidP="00763170">
      <w:pPr>
        <w:jc w:val="center"/>
        <w:rPr>
          <w:b/>
          <w:sz w:val="24"/>
        </w:rPr>
      </w:pPr>
      <w:r>
        <w:rPr>
          <w:sz w:val="24"/>
        </w:rPr>
        <w:t xml:space="preserve"> </w:t>
      </w:r>
      <w:r w:rsidR="00763170">
        <w:rPr>
          <w:b/>
          <w:sz w:val="24"/>
        </w:rPr>
        <w:t>Table 2</w:t>
      </w:r>
      <w:r w:rsidR="00763170" w:rsidRPr="00DE55C4">
        <w:rPr>
          <w:b/>
          <w:sz w:val="24"/>
        </w:rPr>
        <w:t xml:space="preserve">. Out-of-band blocking </w:t>
      </w:r>
      <w:r w:rsidR="00763170">
        <w:rPr>
          <w:b/>
          <w:sz w:val="24"/>
        </w:rPr>
        <w:t>(sub-6 GHz)</w:t>
      </w:r>
    </w:p>
    <w:p w14:paraId="2B8EC617" w14:textId="77777777" w:rsidR="00B22F67" w:rsidRDefault="00763170" w:rsidP="00DA7F28">
      <w:pPr>
        <w:rPr>
          <w:sz w:val="24"/>
        </w:rPr>
      </w:pPr>
      <w:r>
        <w:rPr>
          <w:sz w:val="24"/>
        </w:rPr>
        <w:t xml:space="preserve">In table 2, the step size used for sweeping OOB frequencies should be 1 MHz. </w:t>
      </w:r>
    </w:p>
    <w:p w14:paraId="12E2BA23" w14:textId="77777777" w:rsidR="000C7068" w:rsidRPr="000C7068" w:rsidRDefault="0069757C" w:rsidP="000C7068">
      <w:pPr>
        <w:pStyle w:val="Heading1"/>
      </w:pPr>
      <w:r w:rsidRPr="002D78E7">
        <w:t>Conclusion</w:t>
      </w:r>
    </w:p>
    <w:p w14:paraId="1F0B93C7" w14:textId="54721D9F" w:rsidR="000C76B7" w:rsidRDefault="000C76B7" w:rsidP="000C76B7">
      <w:pPr>
        <w:jc w:val="both"/>
        <w:rPr>
          <w:sz w:val="24"/>
        </w:rPr>
      </w:pPr>
      <w:r w:rsidRPr="00735DFF">
        <w:rPr>
          <w:b/>
          <w:sz w:val="24"/>
        </w:rPr>
        <w:t xml:space="preserve">Proposal 1: </w:t>
      </w:r>
      <w:r w:rsidR="00C658E4">
        <w:rPr>
          <w:sz w:val="24"/>
        </w:rPr>
        <w:t xml:space="preserve"> </w:t>
      </w:r>
      <w:r w:rsidR="00C658E4">
        <w:rPr>
          <w:sz w:val="24"/>
        </w:rPr>
        <w:t>RAN4 should consider the table 1 and table 2 as baseline for defining out-of-band blocking requirements for NR bands sub 6 GHz NR</w:t>
      </w:r>
      <w:r w:rsidR="00C658E4">
        <w:rPr>
          <w:sz w:val="24"/>
        </w:rPr>
        <w:t xml:space="preserve"> [1] [2] [3] [4]</w:t>
      </w:r>
      <w:r w:rsidR="00C658E4">
        <w:rPr>
          <w:sz w:val="24"/>
        </w:rPr>
        <w:t>.</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47C446E5" w14:textId="77777777" w:rsidR="00A918A4" w:rsidRDefault="00A918A4" w:rsidP="00A918A4">
      <w:pPr>
        <w:pStyle w:val="ListParagraph"/>
        <w:numPr>
          <w:ilvl w:val="0"/>
          <w:numId w:val="2"/>
        </w:numPr>
        <w:rPr>
          <w:sz w:val="24"/>
          <w:szCs w:val="24"/>
          <w:lang w:val="en-US"/>
        </w:rPr>
      </w:pPr>
      <w:r w:rsidRPr="006038D6">
        <w:rPr>
          <w:sz w:val="24"/>
          <w:szCs w:val="24"/>
          <w:lang w:val="en-US"/>
        </w:rPr>
        <w:t xml:space="preserve">3GPP TS 36.101 V14.2.1 (2017-01)  </w:t>
      </w:r>
    </w:p>
    <w:p w14:paraId="4FE09702" w14:textId="77777777" w:rsidR="00A918A4" w:rsidRDefault="00A918A4" w:rsidP="00A918A4">
      <w:pPr>
        <w:pStyle w:val="ListParagraph"/>
        <w:numPr>
          <w:ilvl w:val="0"/>
          <w:numId w:val="2"/>
        </w:numPr>
        <w:rPr>
          <w:sz w:val="24"/>
          <w:szCs w:val="24"/>
          <w:lang w:val="en-US"/>
        </w:rPr>
      </w:pPr>
      <w:r w:rsidRPr="002B1AC4">
        <w:rPr>
          <w:sz w:val="24"/>
          <w:szCs w:val="24"/>
          <w:lang w:val="en-US"/>
        </w:rPr>
        <w:t>3GPP TR 38.803 V1.1.0 (2017-01)</w:t>
      </w:r>
    </w:p>
    <w:p w14:paraId="760DFD11" w14:textId="77777777" w:rsidR="00A918A4" w:rsidRDefault="00A918A4" w:rsidP="00A918A4">
      <w:pPr>
        <w:pStyle w:val="ListParagraph"/>
        <w:numPr>
          <w:ilvl w:val="0"/>
          <w:numId w:val="2"/>
        </w:numPr>
        <w:rPr>
          <w:sz w:val="24"/>
          <w:szCs w:val="24"/>
          <w:lang w:val="en-US"/>
        </w:rPr>
      </w:pPr>
      <w:r>
        <w:rPr>
          <w:sz w:val="24"/>
          <w:szCs w:val="24"/>
          <w:lang w:val="en-US"/>
        </w:rPr>
        <w:t xml:space="preserve">R4-1700261, </w:t>
      </w:r>
      <w:r w:rsidRPr="00C05DD4">
        <w:rPr>
          <w:sz w:val="24"/>
          <w:szCs w:val="24"/>
          <w:lang w:val="en-US"/>
        </w:rPr>
        <w:t>RF filters for mm-wave OOB blocking, Intel Corporation</w:t>
      </w:r>
    </w:p>
    <w:p w14:paraId="11B2711C" w14:textId="05AA036F" w:rsidR="00A918A4" w:rsidRPr="00AA7C47" w:rsidRDefault="00A918A4" w:rsidP="00A918A4">
      <w:pPr>
        <w:pStyle w:val="ListParagraph"/>
        <w:numPr>
          <w:ilvl w:val="0"/>
          <w:numId w:val="2"/>
        </w:numPr>
        <w:rPr>
          <w:bCs/>
          <w:sz w:val="24"/>
          <w:szCs w:val="24"/>
          <w:lang w:val="en-US"/>
        </w:rPr>
      </w:pPr>
      <w:r w:rsidRPr="00AA7C47">
        <w:rPr>
          <w:bCs/>
          <w:sz w:val="24"/>
          <w:szCs w:val="24"/>
        </w:rPr>
        <w:t>R4-17xxxxx, Way Forward on UE RF Requirements, co-signed by Qualcomm,</w:t>
      </w:r>
      <w:r>
        <w:rPr>
          <w:bCs/>
          <w:sz w:val="24"/>
          <w:szCs w:val="24"/>
        </w:rPr>
        <w:t xml:space="preserve"> </w:t>
      </w:r>
      <w:r w:rsidRPr="00AA7C47">
        <w:rPr>
          <w:bCs/>
          <w:sz w:val="24"/>
          <w:szCs w:val="24"/>
        </w:rPr>
        <w:t>Intel Corporation</w:t>
      </w:r>
      <w:r>
        <w:rPr>
          <w:bCs/>
          <w:sz w:val="24"/>
          <w:szCs w:val="24"/>
        </w:rPr>
        <w:t xml:space="preserve"> and</w:t>
      </w:r>
      <w:r w:rsidRPr="00AA7C47">
        <w:rPr>
          <w:bCs/>
          <w:sz w:val="24"/>
          <w:szCs w:val="24"/>
        </w:rPr>
        <w:t xml:space="preserve"> Ericsso</w:t>
      </w:r>
      <w:r>
        <w:rPr>
          <w:bCs/>
          <w:sz w:val="24"/>
          <w:szCs w:val="24"/>
        </w:rPr>
        <w:t>n, Feb-2017</w:t>
      </w:r>
      <w:r>
        <w:rPr>
          <w:bCs/>
          <w:sz w:val="24"/>
          <w:szCs w:val="24"/>
        </w:rPr>
        <w:t>,</w:t>
      </w:r>
      <w:r>
        <w:rPr>
          <w:bCs/>
          <w:sz w:val="24"/>
          <w:szCs w:val="24"/>
        </w:rPr>
        <w:t xml:space="preserve"> Athens meeting </w:t>
      </w:r>
    </w:p>
    <w:p w14:paraId="49ABE128" w14:textId="4B6DA0F2" w:rsidR="002B1AC4" w:rsidRPr="006038D6" w:rsidRDefault="002B1AC4" w:rsidP="00A918A4">
      <w:pPr>
        <w:pStyle w:val="ListParagraph"/>
        <w:rPr>
          <w:sz w:val="24"/>
          <w:szCs w:val="24"/>
          <w:lang w:val="en-US"/>
        </w:rPr>
      </w:pPr>
    </w:p>
    <w:sectPr w:rsidR="002B1AC4" w:rsidRPr="006038D6"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0A2B6" w14:textId="77777777" w:rsidR="00EF0DC4" w:rsidRDefault="00EF0DC4">
      <w:r>
        <w:separator/>
      </w:r>
    </w:p>
  </w:endnote>
  <w:endnote w:type="continuationSeparator" w:id="0">
    <w:p w14:paraId="6AC44000" w14:textId="77777777" w:rsidR="00EF0DC4" w:rsidRDefault="00EF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7F0C">
      <w:rPr>
        <w:rStyle w:val="PageNumber"/>
      </w:rPr>
      <w:t>1</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31F5F" w14:textId="77777777" w:rsidR="00EF0DC4" w:rsidRDefault="00EF0DC4">
      <w:r>
        <w:separator/>
      </w:r>
    </w:p>
  </w:footnote>
  <w:footnote w:type="continuationSeparator" w:id="0">
    <w:p w14:paraId="0217A9A3" w14:textId="77777777" w:rsidR="00EF0DC4" w:rsidRDefault="00EF0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5" type="#_x0000_t75" style="width:11.1pt;height:11.1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7"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9"/>
  </w:num>
  <w:num w:numId="3">
    <w:abstractNumId w:val="35"/>
  </w:num>
  <w:num w:numId="4">
    <w:abstractNumId w:val="39"/>
  </w:num>
  <w:num w:numId="5">
    <w:abstractNumId w:val="25"/>
  </w:num>
  <w:num w:numId="6">
    <w:abstractNumId w:val="15"/>
  </w:num>
  <w:num w:numId="7">
    <w:abstractNumId w:val="5"/>
  </w:num>
  <w:num w:numId="8">
    <w:abstractNumId w:val="32"/>
  </w:num>
  <w:num w:numId="9">
    <w:abstractNumId w:val="16"/>
  </w:num>
  <w:num w:numId="10">
    <w:abstractNumId w:val="22"/>
  </w:num>
  <w:num w:numId="11">
    <w:abstractNumId w:val="40"/>
  </w:num>
  <w:num w:numId="12">
    <w:abstractNumId w:val="12"/>
  </w:num>
  <w:num w:numId="13">
    <w:abstractNumId w:val="28"/>
  </w:num>
  <w:num w:numId="14">
    <w:abstractNumId w:val="10"/>
  </w:num>
  <w:num w:numId="15">
    <w:abstractNumId w:val="33"/>
  </w:num>
  <w:num w:numId="16">
    <w:abstractNumId w:val="18"/>
  </w:num>
  <w:num w:numId="17">
    <w:abstractNumId w:val="21"/>
  </w:num>
  <w:num w:numId="18">
    <w:abstractNumId w:val="27"/>
  </w:num>
  <w:num w:numId="19">
    <w:abstractNumId w:val="6"/>
  </w:num>
  <w:num w:numId="20">
    <w:abstractNumId w:val="31"/>
  </w:num>
  <w:num w:numId="21">
    <w:abstractNumId w:val="11"/>
  </w:num>
  <w:num w:numId="22">
    <w:abstractNumId w:val="8"/>
  </w:num>
  <w:num w:numId="23">
    <w:abstractNumId w:val="1"/>
  </w:num>
  <w:num w:numId="24">
    <w:abstractNumId w:val="24"/>
  </w:num>
  <w:num w:numId="25">
    <w:abstractNumId w:val="30"/>
  </w:num>
  <w:num w:numId="26">
    <w:abstractNumId w:val="0"/>
  </w:num>
  <w:num w:numId="27">
    <w:abstractNumId w:val="9"/>
  </w:num>
  <w:num w:numId="28">
    <w:abstractNumId w:val="26"/>
  </w:num>
  <w:num w:numId="29">
    <w:abstractNumId w:val="38"/>
  </w:num>
  <w:num w:numId="30">
    <w:abstractNumId w:val="37"/>
  </w:num>
  <w:num w:numId="31">
    <w:abstractNumId w:val="13"/>
  </w:num>
  <w:num w:numId="32">
    <w:abstractNumId w:val="20"/>
  </w:num>
  <w:num w:numId="33">
    <w:abstractNumId w:val="36"/>
  </w:num>
  <w:num w:numId="34">
    <w:abstractNumId w:val="14"/>
  </w:num>
  <w:num w:numId="35">
    <w:abstractNumId w:val="7"/>
  </w:num>
  <w:num w:numId="36">
    <w:abstractNumId w:val="17"/>
  </w:num>
  <w:num w:numId="37">
    <w:abstractNumId w:val="19"/>
  </w:num>
  <w:num w:numId="38">
    <w:abstractNumId w:val="34"/>
  </w:num>
  <w:num w:numId="39">
    <w:abstractNumId w:val="4"/>
  </w:num>
  <w:num w:numId="40">
    <w:abstractNumId w:val="3"/>
  </w:num>
  <w:num w:numId="41">
    <w:abstractNumId w:val="23"/>
  </w:num>
  <w:num w:numId="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6F9"/>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60B"/>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B4F"/>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8A4"/>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2FE"/>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58E4"/>
    <w:rsid w:val="00C662C9"/>
    <w:rsid w:val="00C66E65"/>
    <w:rsid w:val="00C66EF4"/>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14F"/>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0DC4"/>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87F0C"/>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2694912">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87552482">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489B0-F1D4-491B-9883-970B067A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2</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9</cp:revision>
  <cp:lastPrinted>2013-01-18T21:27:00Z</cp:lastPrinted>
  <dcterms:created xsi:type="dcterms:W3CDTF">2017-03-24T13:59:00Z</dcterms:created>
  <dcterms:modified xsi:type="dcterms:W3CDTF">2017-03-24T21:46:00Z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