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7701EE" w14:textId="77777777" w:rsidR="007D36DB" w:rsidRPr="004332FE" w:rsidRDefault="007D36DB" w:rsidP="007D36DB">
      <w:pPr>
        <w:tabs>
          <w:tab w:val="left" w:pos="1985"/>
        </w:tabs>
        <w:spacing w:before="120" w:after="120"/>
        <w:jc w:val="both"/>
        <w:rPr>
          <w:rFonts w:eastAsia="宋体" w:cs="Arial"/>
          <w:bCs/>
          <w:lang w:eastAsia="zh-CN"/>
        </w:rPr>
      </w:pPr>
    </w:p>
    <w:p w14:paraId="6D91BB9C" w14:textId="7A517E62" w:rsidR="007D36DB" w:rsidRPr="005E3B0A" w:rsidRDefault="007D36DB" w:rsidP="007D36DB">
      <w:pPr>
        <w:tabs>
          <w:tab w:val="left" w:pos="1985"/>
        </w:tabs>
        <w:spacing w:before="120" w:after="120"/>
        <w:ind w:left="1440" w:hanging="1440"/>
        <w:jc w:val="both"/>
        <w:rPr>
          <w:rFonts w:cs="Arial"/>
          <w:bCs/>
          <w:sz w:val="24"/>
          <w:szCs w:val="24"/>
        </w:rPr>
      </w:pPr>
      <w:r w:rsidRPr="005E3B0A">
        <w:rPr>
          <w:rFonts w:cs="Arial"/>
          <w:b/>
          <w:sz w:val="24"/>
          <w:szCs w:val="24"/>
        </w:rPr>
        <w:t>Source:</w:t>
      </w:r>
      <w:r w:rsidRPr="005E3B0A">
        <w:rPr>
          <w:rFonts w:cs="Arial"/>
          <w:b/>
          <w:sz w:val="24"/>
          <w:szCs w:val="24"/>
        </w:rPr>
        <w:tab/>
      </w:r>
      <w:r w:rsidRPr="005E3B0A">
        <w:rPr>
          <w:rFonts w:cs="Arial"/>
          <w:b/>
          <w:sz w:val="24"/>
          <w:szCs w:val="24"/>
        </w:rPr>
        <w:tab/>
      </w:r>
      <w:r w:rsidRPr="005E3B0A">
        <w:rPr>
          <w:rFonts w:cs="Arial"/>
          <w:b/>
          <w:sz w:val="24"/>
          <w:szCs w:val="24"/>
          <w:lang w:eastAsia="ja-JP"/>
        </w:rPr>
        <w:t>Apple</w:t>
      </w:r>
      <w:r w:rsidR="00922BD4" w:rsidRPr="005E3B0A">
        <w:rPr>
          <w:rFonts w:cs="Arial"/>
          <w:b/>
          <w:sz w:val="24"/>
          <w:szCs w:val="24"/>
          <w:lang w:eastAsia="ja-JP"/>
        </w:rPr>
        <w:t>, Intel</w:t>
      </w:r>
      <w:r w:rsidR="00287756" w:rsidRPr="005E3B0A">
        <w:rPr>
          <w:rFonts w:cs="Arial"/>
          <w:b/>
          <w:sz w:val="24"/>
          <w:szCs w:val="24"/>
          <w:lang w:eastAsia="ja-JP"/>
        </w:rPr>
        <w:t>, Oppo, Xiaomi</w:t>
      </w:r>
    </w:p>
    <w:p w14:paraId="0AD739B3" w14:textId="77777777" w:rsidR="007D36DB" w:rsidRPr="005E3B0A" w:rsidRDefault="007D36DB" w:rsidP="007D36DB">
      <w:pPr>
        <w:tabs>
          <w:tab w:val="left" w:pos="1985"/>
        </w:tabs>
        <w:spacing w:before="120" w:after="120"/>
        <w:ind w:left="1988" w:hanging="1980"/>
        <w:jc w:val="both"/>
        <w:rPr>
          <w:rFonts w:cs="Arial"/>
          <w:bCs/>
          <w:sz w:val="24"/>
          <w:szCs w:val="24"/>
          <w:lang w:eastAsia="ja-JP"/>
        </w:rPr>
      </w:pPr>
      <w:r w:rsidRPr="005E3B0A">
        <w:rPr>
          <w:rFonts w:cs="Arial"/>
          <w:b/>
          <w:sz w:val="24"/>
          <w:szCs w:val="24"/>
        </w:rPr>
        <w:t>Title:</w:t>
      </w:r>
      <w:r w:rsidRPr="005E3B0A">
        <w:rPr>
          <w:rFonts w:cs="Arial"/>
          <w:b/>
          <w:sz w:val="24"/>
          <w:szCs w:val="24"/>
        </w:rPr>
        <w:tab/>
      </w:r>
      <w:r w:rsidRPr="005E3B0A">
        <w:rPr>
          <w:rFonts w:eastAsia="宋体" w:cs="Arial"/>
          <w:b/>
          <w:sz w:val="24"/>
          <w:szCs w:val="24"/>
          <w:lang w:eastAsia="zh-CN"/>
        </w:rPr>
        <w:t xml:space="preserve">Input for </w:t>
      </w:r>
      <w:r w:rsidR="00804C7F" w:rsidRPr="005E3B0A">
        <w:rPr>
          <w:rFonts w:eastAsia="宋体" w:cs="Arial"/>
          <w:b/>
          <w:sz w:val="24"/>
          <w:szCs w:val="24"/>
          <w:lang w:eastAsia="zh-CN"/>
        </w:rPr>
        <w:t xml:space="preserve">defining </w:t>
      </w:r>
      <w:r w:rsidRPr="005E3B0A">
        <w:rPr>
          <w:rFonts w:eastAsia="宋体" w:cs="Arial"/>
          <w:b/>
          <w:sz w:val="24"/>
          <w:szCs w:val="24"/>
          <w:lang w:eastAsia="zh-CN"/>
        </w:rPr>
        <w:t xml:space="preserve">a </w:t>
      </w:r>
      <w:r w:rsidR="00804C7F" w:rsidRPr="005E3B0A">
        <w:rPr>
          <w:rFonts w:eastAsia="宋体" w:cs="Arial"/>
          <w:b/>
          <w:sz w:val="24"/>
          <w:szCs w:val="24"/>
          <w:lang w:eastAsia="zh-CN"/>
        </w:rPr>
        <w:t xml:space="preserve">suitable </w:t>
      </w:r>
      <w:r w:rsidRPr="005E3B0A">
        <w:rPr>
          <w:rFonts w:eastAsia="宋体" w:cs="Arial"/>
          <w:b/>
          <w:sz w:val="24"/>
          <w:szCs w:val="24"/>
          <w:lang w:eastAsia="zh-CN"/>
        </w:rPr>
        <w:t>framework</w:t>
      </w:r>
      <w:r w:rsidR="00804C7F" w:rsidRPr="005E3B0A">
        <w:rPr>
          <w:rFonts w:eastAsia="宋体" w:cs="Arial"/>
          <w:b/>
          <w:sz w:val="24"/>
          <w:szCs w:val="24"/>
          <w:lang w:eastAsia="zh-CN"/>
        </w:rPr>
        <w:t xml:space="preserve"> for</w:t>
      </w:r>
      <w:r w:rsidR="00E06B23" w:rsidRPr="005E3B0A">
        <w:rPr>
          <w:rFonts w:eastAsia="宋体" w:cs="Arial"/>
          <w:b/>
          <w:sz w:val="24"/>
          <w:szCs w:val="24"/>
          <w:lang w:eastAsia="zh-CN"/>
        </w:rPr>
        <w:t xml:space="preserve"> setting TRP/TIS (TR</w:t>
      </w:r>
      <w:r w:rsidR="00CD2C1A" w:rsidRPr="005E3B0A">
        <w:rPr>
          <w:rFonts w:eastAsia="宋体" w:cs="Arial"/>
          <w:b/>
          <w:sz w:val="24"/>
          <w:szCs w:val="24"/>
          <w:lang w:eastAsia="zh-CN"/>
        </w:rPr>
        <w:t>S)</w:t>
      </w:r>
      <w:r w:rsidRPr="005E3B0A">
        <w:rPr>
          <w:rFonts w:eastAsia="宋体" w:cs="Arial"/>
          <w:b/>
          <w:sz w:val="24"/>
          <w:szCs w:val="24"/>
          <w:lang w:eastAsia="zh-CN"/>
        </w:rPr>
        <w:t xml:space="preserve"> limits</w:t>
      </w:r>
    </w:p>
    <w:p w14:paraId="7DCD3C66" w14:textId="3871E9A8" w:rsidR="007D36DB" w:rsidRPr="005E3B0A" w:rsidRDefault="007D36DB" w:rsidP="007D36DB">
      <w:pPr>
        <w:tabs>
          <w:tab w:val="left" w:pos="1985"/>
          <w:tab w:val="left" w:pos="3594"/>
        </w:tabs>
        <w:spacing w:before="120" w:after="120"/>
        <w:ind w:left="1988" w:hanging="1980"/>
        <w:jc w:val="both"/>
        <w:rPr>
          <w:rFonts w:eastAsia="宋体" w:cs="Arial"/>
          <w:bCs/>
          <w:sz w:val="24"/>
          <w:szCs w:val="24"/>
          <w:lang w:eastAsia="zh-CN"/>
        </w:rPr>
      </w:pPr>
      <w:r w:rsidRPr="005E3B0A">
        <w:rPr>
          <w:rFonts w:cs="Arial"/>
          <w:b/>
          <w:sz w:val="24"/>
          <w:szCs w:val="24"/>
        </w:rPr>
        <w:t>Agenda Item:</w:t>
      </w:r>
      <w:r w:rsidRPr="005E3B0A">
        <w:rPr>
          <w:rFonts w:cs="Arial"/>
          <w:b/>
          <w:sz w:val="24"/>
          <w:szCs w:val="24"/>
        </w:rPr>
        <w:tab/>
      </w:r>
      <w:r w:rsidR="00880BA2" w:rsidRPr="005E3B0A">
        <w:rPr>
          <w:rFonts w:cs="Arial"/>
          <w:b/>
          <w:sz w:val="24"/>
          <w:szCs w:val="24"/>
        </w:rPr>
        <w:t>7.14</w:t>
      </w:r>
    </w:p>
    <w:p w14:paraId="459313FC" w14:textId="493A1A54" w:rsidR="007D36DB" w:rsidRPr="005E3B0A" w:rsidRDefault="007D36DB" w:rsidP="007D36DB">
      <w:pPr>
        <w:tabs>
          <w:tab w:val="left" w:pos="1985"/>
          <w:tab w:val="left" w:pos="3880"/>
        </w:tabs>
        <w:spacing w:before="120" w:after="120"/>
        <w:jc w:val="both"/>
        <w:rPr>
          <w:rFonts w:cs="Arial"/>
          <w:b/>
          <w:bCs/>
          <w:sz w:val="24"/>
          <w:szCs w:val="24"/>
          <w:lang w:eastAsia="ja-JP"/>
        </w:rPr>
      </w:pPr>
      <w:r w:rsidRPr="005E3B0A">
        <w:rPr>
          <w:rFonts w:cs="Arial"/>
          <w:b/>
          <w:sz w:val="24"/>
          <w:szCs w:val="24"/>
        </w:rPr>
        <w:t>Document for:</w:t>
      </w:r>
      <w:r w:rsidRPr="005E3B0A">
        <w:rPr>
          <w:rFonts w:cs="Arial"/>
          <w:b/>
          <w:sz w:val="24"/>
          <w:szCs w:val="24"/>
        </w:rPr>
        <w:tab/>
      </w:r>
      <w:r w:rsidR="007F37DF" w:rsidRPr="005E3B0A">
        <w:rPr>
          <w:rFonts w:cs="Arial"/>
          <w:b/>
          <w:sz w:val="24"/>
          <w:szCs w:val="24"/>
        </w:rPr>
        <w:t>Approval</w:t>
      </w:r>
    </w:p>
    <w:p w14:paraId="367278FF" w14:textId="77777777" w:rsidR="007D36DB" w:rsidRPr="004332FE" w:rsidRDefault="00C65332" w:rsidP="007D36DB">
      <w:pPr>
        <w:tabs>
          <w:tab w:val="left" w:pos="1985"/>
          <w:tab w:val="left" w:pos="3880"/>
        </w:tabs>
        <w:spacing w:before="120" w:after="120"/>
        <w:jc w:val="both"/>
        <w:rPr>
          <w:rFonts w:cs="Arial"/>
          <w:bCs/>
          <w:lang w:eastAsia="ja-JP"/>
        </w:rPr>
      </w:pPr>
      <w:r w:rsidRPr="004332FE">
        <w:rPr>
          <w:rFonts w:cs="Arial"/>
          <w:bCs/>
          <w:noProof/>
          <w:lang w:val="en-GB" w:eastAsia="en-GB"/>
        </w:rPr>
        <mc:AlternateContent>
          <mc:Choice Requires="wps">
            <w:drawing>
              <wp:anchor distT="0" distB="0" distL="114300" distR="114300" simplePos="0" relativeHeight="251659264" behindDoc="0" locked="0" layoutInCell="1" allowOverlap="1" wp14:anchorId="09A66721" wp14:editId="4FCF1CD4">
                <wp:simplePos x="0" y="0"/>
                <wp:positionH relativeFrom="column">
                  <wp:posOffset>-62865</wp:posOffset>
                </wp:positionH>
                <wp:positionV relativeFrom="paragraph">
                  <wp:posOffset>89535</wp:posOffset>
                </wp:positionV>
                <wp:extent cx="5972598" cy="2540"/>
                <wp:effectExtent l="50800" t="25400" r="73025" b="99060"/>
                <wp:wrapNone/>
                <wp:docPr id="3" name="Straight Connector 3"/>
                <wp:cNvGraphicFramePr/>
                <a:graphic xmlns:a="http://schemas.openxmlformats.org/drawingml/2006/main">
                  <a:graphicData uri="http://schemas.microsoft.com/office/word/2010/wordprocessingShape">
                    <wps:wsp>
                      <wps:cNvCnPr/>
                      <wps:spPr>
                        <a:xfrm flipV="1">
                          <a:off x="0" y="0"/>
                          <a:ext cx="5972598" cy="2540"/>
                        </a:xfrm>
                        <a:prstGeom prst="line">
                          <a:avLst/>
                        </a:prstGeom>
                        <a:ln>
                          <a:solidFill>
                            <a:schemeClr val="tx1"/>
                          </a:solidFill>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flip: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pt,7.05pt" to="465.4pt,7.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" strokecolor="black [3213]" strokeweight="2pt">
                <v:shadow on="t" opacity="24903f" mv:blur="40000f" origin=",.5" offset="0,20000emu"/>
              </v:line>
            </w:pict>
          </mc:Fallback>
        </mc:AlternateContent>
      </w:r>
    </w:p>
    <w:p w14:paraId="6098AF4B" w14:textId="77777777" w:rsidR="00834F18" w:rsidRPr="005E3B0A" w:rsidRDefault="00922BD4" w:rsidP="007D36DB">
      <w:pPr>
        <w:pStyle w:val="Heading1"/>
        <w:spacing w:before="120" w:after="120"/>
        <w:rPr>
          <w:rFonts w:cs="Arial"/>
          <w:szCs w:val="24"/>
        </w:rPr>
      </w:pPr>
      <w:r w:rsidRPr="005E3B0A">
        <w:rPr>
          <w:rFonts w:cs="Arial"/>
          <w:szCs w:val="24"/>
        </w:rPr>
        <w:t>Summary</w:t>
      </w:r>
    </w:p>
    <w:p w14:paraId="5C89B639" w14:textId="77777777" w:rsidR="007F37DF" w:rsidRPr="005E3B0A" w:rsidRDefault="007F37DF" w:rsidP="007F37DF">
      <w:pPr>
        <w:jc w:val="both"/>
        <w:rPr>
          <w:rFonts w:cs="Arial"/>
          <w:sz w:val="24"/>
          <w:szCs w:val="24"/>
        </w:rPr>
      </w:pPr>
      <w:r w:rsidRPr="005E3B0A">
        <w:rPr>
          <w:rFonts w:cs="Arial"/>
          <w:sz w:val="24"/>
          <w:szCs w:val="24"/>
        </w:rPr>
        <w:t>This contribution will try to discuss the following with regards to setting limits for LTE TRP/TRS:</w:t>
      </w:r>
    </w:p>
    <w:p w14:paraId="2A208AB7" w14:textId="77777777" w:rsidR="007F37DF" w:rsidRPr="005E3B0A" w:rsidRDefault="007F37DF" w:rsidP="007F37DF">
      <w:pPr>
        <w:jc w:val="both"/>
        <w:rPr>
          <w:rFonts w:cs="Arial"/>
          <w:sz w:val="24"/>
          <w:szCs w:val="24"/>
        </w:rPr>
      </w:pPr>
    </w:p>
    <w:p w14:paraId="3D76586F" w14:textId="77777777" w:rsidR="007F37DF" w:rsidRPr="005E3B0A" w:rsidRDefault="007F37DF" w:rsidP="007F37DF">
      <w:pPr>
        <w:numPr>
          <w:ilvl w:val="0"/>
          <w:numId w:val="3"/>
        </w:numPr>
        <w:ind w:left="360"/>
        <w:jc w:val="both"/>
        <w:rPr>
          <w:rFonts w:cs="Arial"/>
          <w:sz w:val="24"/>
          <w:szCs w:val="24"/>
        </w:rPr>
      </w:pPr>
      <w:r w:rsidRPr="005E3B0A">
        <w:rPr>
          <w:rFonts w:cs="Arial"/>
          <w:sz w:val="24"/>
          <w:szCs w:val="24"/>
        </w:rPr>
        <w:t>Problem statement driving setting of the limits for LTE TRP/TRS</w:t>
      </w:r>
    </w:p>
    <w:p w14:paraId="002B7EE2" w14:textId="77777777" w:rsidR="007F37DF" w:rsidRPr="005E3B0A" w:rsidRDefault="007F37DF" w:rsidP="007F37DF">
      <w:pPr>
        <w:numPr>
          <w:ilvl w:val="0"/>
          <w:numId w:val="3"/>
        </w:numPr>
        <w:ind w:left="360"/>
        <w:jc w:val="both"/>
        <w:rPr>
          <w:rFonts w:cs="Arial"/>
          <w:sz w:val="24"/>
          <w:szCs w:val="24"/>
        </w:rPr>
      </w:pPr>
      <w:r w:rsidRPr="005E3B0A">
        <w:rPr>
          <w:rFonts w:cs="Arial"/>
          <w:sz w:val="24"/>
          <w:szCs w:val="24"/>
        </w:rPr>
        <w:t>Metrics which will be used to understand whether the defined LTE TRP/TRS addresses the problem</w:t>
      </w:r>
    </w:p>
    <w:p w14:paraId="1FAF4E70" w14:textId="77777777" w:rsidR="007F37DF" w:rsidRPr="005E3B0A" w:rsidRDefault="007F37DF" w:rsidP="007F37DF">
      <w:pPr>
        <w:numPr>
          <w:ilvl w:val="0"/>
          <w:numId w:val="3"/>
        </w:numPr>
        <w:ind w:left="360"/>
        <w:jc w:val="both"/>
        <w:rPr>
          <w:rFonts w:cs="Arial"/>
          <w:sz w:val="24"/>
          <w:szCs w:val="24"/>
        </w:rPr>
      </w:pPr>
      <w:r w:rsidRPr="005E3B0A">
        <w:rPr>
          <w:rFonts w:cs="Arial"/>
          <w:sz w:val="24"/>
          <w:szCs w:val="24"/>
        </w:rPr>
        <w:t>Factors which influence choice of limits for LTE TRP/TRS</w:t>
      </w:r>
    </w:p>
    <w:p w14:paraId="7BBFA992" w14:textId="77777777" w:rsidR="00834F18" w:rsidRPr="005E3B0A" w:rsidRDefault="00834F18" w:rsidP="00A17728">
      <w:pPr>
        <w:pStyle w:val="Header"/>
        <w:tabs>
          <w:tab w:val="clear" w:pos="4320"/>
          <w:tab w:val="clear" w:pos="8640"/>
        </w:tabs>
        <w:jc w:val="both"/>
        <w:rPr>
          <w:rFonts w:cs="Arial"/>
          <w:sz w:val="24"/>
          <w:szCs w:val="24"/>
        </w:rPr>
      </w:pPr>
    </w:p>
    <w:p w14:paraId="02D937DC" w14:textId="77777777" w:rsidR="00AE5978" w:rsidRPr="005E3B0A" w:rsidRDefault="00AE5978" w:rsidP="00A17728">
      <w:pPr>
        <w:pStyle w:val="Header"/>
        <w:tabs>
          <w:tab w:val="clear" w:pos="4320"/>
          <w:tab w:val="clear" w:pos="8640"/>
        </w:tabs>
        <w:jc w:val="both"/>
        <w:rPr>
          <w:rFonts w:cs="Arial"/>
          <w:sz w:val="24"/>
          <w:szCs w:val="24"/>
        </w:rPr>
      </w:pPr>
      <w:r w:rsidRPr="005E3B0A">
        <w:rPr>
          <w:rFonts w:cs="Arial"/>
          <w:sz w:val="24"/>
          <w:szCs w:val="24"/>
        </w:rPr>
        <w:t>Some of the arguments mentioned in this contribution have also been raise</w:t>
      </w:r>
      <w:r w:rsidR="00E74772" w:rsidRPr="005E3B0A">
        <w:rPr>
          <w:rFonts w:cs="Arial"/>
          <w:sz w:val="24"/>
          <w:szCs w:val="24"/>
        </w:rPr>
        <w:t>d in previous contributions;</w:t>
      </w:r>
      <w:r w:rsidRPr="005E3B0A">
        <w:rPr>
          <w:rFonts w:cs="Arial"/>
          <w:sz w:val="24"/>
          <w:szCs w:val="24"/>
        </w:rPr>
        <w:t xml:space="preserve"> </w:t>
      </w:r>
      <w:r w:rsidR="00BF3862" w:rsidRPr="005E3B0A">
        <w:rPr>
          <w:rFonts w:cs="Arial"/>
          <w:sz w:val="24"/>
          <w:szCs w:val="24"/>
        </w:rPr>
        <w:t>[</w:t>
      </w:r>
      <w:r w:rsidR="00E74772" w:rsidRPr="005E3B0A">
        <w:rPr>
          <w:rFonts w:cs="Arial"/>
          <w:sz w:val="24"/>
          <w:szCs w:val="24"/>
        </w:rPr>
        <w:t>1</w:t>
      </w:r>
      <w:r w:rsidR="007E169F" w:rsidRPr="005E3B0A">
        <w:rPr>
          <w:rFonts w:cs="Arial"/>
          <w:sz w:val="24"/>
          <w:szCs w:val="24"/>
        </w:rPr>
        <w:t>-6</w:t>
      </w:r>
      <w:r w:rsidR="00BF3862" w:rsidRPr="005E3B0A">
        <w:rPr>
          <w:rFonts w:cs="Arial"/>
          <w:sz w:val="24"/>
          <w:szCs w:val="24"/>
        </w:rPr>
        <w:t>]</w:t>
      </w:r>
    </w:p>
    <w:p w14:paraId="6240A319" w14:textId="77777777" w:rsidR="00ED0FFC" w:rsidRPr="005E3B0A" w:rsidRDefault="00ED0FFC" w:rsidP="00A17728">
      <w:pPr>
        <w:jc w:val="both"/>
        <w:rPr>
          <w:rFonts w:cs="Arial"/>
          <w:b/>
          <w:bCs/>
          <w:sz w:val="24"/>
          <w:szCs w:val="24"/>
          <w:u w:val="single"/>
        </w:rPr>
      </w:pPr>
    </w:p>
    <w:p w14:paraId="64BDEE6B" w14:textId="77777777" w:rsidR="004332FE" w:rsidRPr="005E3B0A" w:rsidRDefault="004332FE" w:rsidP="004332FE">
      <w:pPr>
        <w:jc w:val="both"/>
        <w:rPr>
          <w:rFonts w:cs="Arial"/>
          <w:b/>
          <w:bCs/>
          <w:sz w:val="24"/>
          <w:szCs w:val="24"/>
          <w:u w:val="single"/>
        </w:rPr>
      </w:pPr>
      <w:r w:rsidRPr="005E3B0A">
        <w:rPr>
          <w:rFonts w:cs="Arial"/>
          <w:b/>
          <w:bCs/>
          <w:sz w:val="24"/>
          <w:szCs w:val="24"/>
          <w:u w:val="single"/>
        </w:rPr>
        <w:t>Problem Statement</w:t>
      </w:r>
    </w:p>
    <w:p w14:paraId="657064C6" w14:textId="77777777" w:rsidR="004332FE" w:rsidRPr="005E3B0A" w:rsidRDefault="004332FE" w:rsidP="004332FE">
      <w:pPr>
        <w:jc w:val="both"/>
        <w:rPr>
          <w:rFonts w:cs="Arial"/>
          <w:sz w:val="24"/>
          <w:szCs w:val="24"/>
        </w:rPr>
      </w:pPr>
    </w:p>
    <w:p w14:paraId="23D6DAF8" w14:textId="77777777" w:rsidR="004332FE" w:rsidRPr="005E3B0A" w:rsidRDefault="004332FE" w:rsidP="004332FE">
      <w:pPr>
        <w:jc w:val="both"/>
        <w:rPr>
          <w:rFonts w:cs="Arial"/>
          <w:sz w:val="24"/>
          <w:szCs w:val="24"/>
        </w:rPr>
      </w:pPr>
      <w:r w:rsidRPr="005E3B0A">
        <w:rPr>
          <w:rFonts w:cs="Arial"/>
          <w:sz w:val="24"/>
          <w:szCs w:val="24"/>
        </w:rPr>
        <w:t xml:space="preserve">A contribution by the North American operators [9] lists the following reasons as justification for setting the LTE TRP/TRS limits. </w:t>
      </w:r>
    </w:p>
    <w:p w14:paraId="049B2A2C" w14:textId="77777777" w:rsidR="004332FE" w:rsidRPr="005E3B0A" w:rsidRDefault="004332FE" w:rsidP="004332FE">
      <w:pPr>
        <w:jc w:val="both"/>
        <w:rPr>
          <w:rFonts w:cs="Arial"/>
          <w:sz w:val="24"/>
          <w:szCs w:val="24"/>
        </w:rPr>
      </w:pPr>
    </w:p>
    <w:p w14:paraId="4FAD97CD" w14:textId="77777777" w:rsidR="004332FE" w:rsidRPr="005E3B0A" w:rsidRDefault="004332FE" w:rsidP="004332FE">
      <w:pPr>
        <w:jc w:val="both"/>
        <w:rPr>
          <w:rFonts w:cs="Arial"/>
          <w:sz w:val="24"/>
          <w:szCs w:val="24"/>
        </w:rPr>
      </w:pPr>
      <w:r w:rsidRPr="005E3B0A">
        <w:rPr>
          <w:rFonts w:cs="Arial"/>
          <w:sz w:val="24"/>
          <w:szCs w:val="24"/>
        </w:rPr>
        <w:t>“US operators have an established a minimum set of TRP and TRS criteria used on their network deployment needs. These criteria apply to phones distributed by the North American carriers.”</w:t>
      </w:r>
    </w:p>
    <w:p w14:paraId="51A567B1" w14:textId="77777777" w:rsidR="004332FE" w:rsidRPr="005E3B0A" w:rsidRDefault="004332FE" w:rsidP="004332FE">
      <w:pPr>
        <w:jc w:val="both"/>
        <w:rPr>
          <w:rFonts w:cs="Arial"/>
          <w:sz w:val="24"/>
          <w:szCs w:val="24"/>
        </w:rPr>
      </w:pPr>
    </w:p>
    <w:p w14:paraId="5187D16F" w14:textId="77777777" w:rsidR="004332FE" w:rsidRPr="005E3B0A" w:rsidRDefault="004332FE" w:rsidP="004332FE">
      <w:pPr>
        <w:jc w:val="both"/>
        <w:rPr>
          <w:rFonts w:cs="Arial"/>
          <w:sz w:val="24"/>
          <w:szCs w:val="24"/>
        </w:rPr>
      </w:pPr>
    </w:p>
    <w:p w14:paraId="627A6AE3" w14:textId="77777777" w:rsidR="004332FE" w:rsidRPr="005E3B0A" w:rsidRDefault="004332FE" w:rsidP="004332FE">
      <w:pPr>
        <w:jc w:val="both"/>
        <w:rPr>
          <w:rFonts w:cs="Arial"/>
          <w:sz w:val="24"/>
          <w:szCs w:val="24"/>
        </w:rPr>
      </w:pPr>
      <w:r w:rsidRPr="005E3B0A">
        <w:rPr>
          <w:rFonts w:cs="Arial"/>
          <w:sz w:val="24"/>
          <w:szCs w:val="24"/>
        </w:rPr>
        <w:t xml:space="preserve">We believe that the committee needs to consider the following to fully understand the scope of limit definition. </w:t>
      </w:r>
    </w:p>
    <w:p w14:paraId="0D635EF5" w14:textId="77777777" w:rsidR="004332FE" w:rsidRPr="005E3B0A" w:rsidRDefault="004332FE" w:rsidP="004332FE">
      <w:pPr>
        <w:jc w:val="both"/>
        <w:rPr>
          <w:rFonts w:cs="Arial"/>
          <w:sz w:val="24"/>
          <w:szCs w:val="24"/>
        </w:rPr>
      </w:pPr>
    </w:p>
    <w:p w14:paraId="383EA456" w14:textId="77777777" w:rsidR="004332FE" w:rsidRPr="005E3B0A" w:rsidRDefault="004332FE" w:rsidP="004332FE">
      <w:pPr>
        <w:numPr>
          <w:ilvl w:val="0"/>
          <w:numId w:val="3"/>
        </w:numPr>
        <w:ind w:left="360"/>
        <w:jc w:val="both"/>
        <w:rPr>
          <w:rFonts w:cs="Arial"/>
          <w:sz w:val="24"/>
          <w:szCs w:val="24"/>
        </w:rPr>
      </w:pPr>
      <w:r w:rsidRPr="005E3B0A">
        <w:rPr>
          <w:rFonts w:cs="Arial"/>
          <w:sz w:val="24"/>
          <w:szCs w:val="24"/>
        </w:rPr>
        <w:t>Understand if the guidance is regarding existing LTE devices to improve shortage of performance or to set a guideline for future devices?</w:t>
      </w:r>
    </w:p>
    <w:p w14:paraId="56334E15" w14:textId="77777777" w:rsidR="004332FE" w:rsidRPr="005E3B0A" w:rsidRDefault="004332FE" w:rsidP="004332FE">
      <w:pPr>
        <w:numPr>
          <w:ilvl w:val="0"/>
          <w:numId w:val="3"/>
        </w:numPr>
        <w:ind w:left="360"/>
        <w:jc w:val="both"/>
        <w:rPr>
          <w:rFonts w:cs="Arial"/>
          <w:sz w:val="24"/>
          <w:szCs w:val="24"/>
        </w:rPr>
      </w:pPr>
      <w:r w:rsidRPr="005E3B0A">
        <w:rPr>
          <w:rFonts w:cs="Arial"/>
          <w:sz w:val="24"/>
          <w:szCs w:val="24"/>
        </w:rPr>
        <w:t>The proposed LTE radiated performance should ensure a satisfactory field performance of a device</w:t>
      </w:r>
    </w:p>
    <w:p w14:paraId="0947697A" w14:textId="77777777" w:rsidR="004332FE" w:rsidRPr="005E3B0A" w:rsidRDefault="004332FE" w:rsidP="004332FE">
      <w:pPr>
        <w:numPr>
          <w:ilvl w:val="0"/>
          <w:numId w:val="3"/>
        </w:numPr>
        <w:ind w:left="360"/>
        <w:jc w:val="both"/>
        <w:rPr>
          <w:rFonts w:cs="Arial"/>
          <w:sz w:val="24"/>
          <w:szCs w:val="24"/>
        </w:rPr>
      </w:pPr>
      <w:r w:rsidRPr="005E3B0A">
        <w:rPr>
          <w:rFonts w:cs="Arial"/>
          <w:sz w:val="24"/>
          <w:szCs w:val="24"/>
        </w:rPr>
        <w:t>The TRP/TRS requirements agreed by RAN4 should conform with the scope of OTA requirements defined in TS 37.144 [8]:</w:t>
      </w:r>
    </w:p>
    <w:p w14:paraId="13A62BBD" w14:textId="77777777" w:rsidR="004332FE" w:rsidRPr="005E3B0A" w:rsidRDefault="004332FE" w:rsidP="004332FE">
      <w:pPr>
        <w:rPr>
          <w:rFonts w:cs="Arial"/>
          <w:sz w:val="24"/>
          <w:szCs w:val="24"/>
        </w:rPr>
      </w:pPr>
    </w:p>
    <w:p w14:paraId="68E8B0E6" w14:textId="77777777" w:rsidR="004332FE" w:rsidRPr="005E3B0A" w:rsidRDefault="004332FE" w:rsidP="004332FE">
      <w:pPr>
        <w:ind w:left="360"/>
        <w:rPr>
          <w:rFonts w:cs="Arial"/>
          <w:sz w:val="24"/>
          <w:szCs w:val="24"/>
        </w:rPr>
      </w:pPr>
      <w:r w:rsidRPr="005E3B0A">
        <w:rPr>
          <w:rFonts w:cs="Arial"/>
          <w:sz w:val="24"/>
          <w:szCs w:val="24"/>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w:t>
      </w:r>
      <w:r w:rsidRPr="005E3B0A">
        <w:rPr>
          <w:rFonts w:cs="Arial"/>
          <w:sz w:val="24"/>
          <w:szCs w:val="24"/>
        </w:rPr>
        <w:lastRenderedPageBreak/>
        <w:t>phantom). Laptop embedded equipment requirements are defined for roaming bands for the data transfer position (free space).</w:t>
      </w:r>
    </w:p>
    <w:p w14:paraId="41D74D15" w14:textId="77777777" w:rsidR="004332FE" w:rsidRPr="005E3B0A" w:rsidRDefault="004332FE" w:rsidP="004332FE">
      <w:pPr>
        <w:ind w:left="360"/>
        <w:rPr>
          <w:rFonts w:cs="Arial"/>
          <w:sz w:val="24"/>
          <w:szCs w:val="24"/>
        </w:rPr>
      </w:pPr>
      <w:r w:rsidRPr="005E3B0A">
        <w:rPr>
          <w:rFonts w:cs="Arial"/>
          <w:sz w:val="24"/>
          <w:szCs w:val="24"/>
        </w:rPr>
        <w:br/>
        <w:t>All bands are potential roaming bands, and the requirements for roaming bands shall therefore be fulfilled for all bands supported by a UE/MS.</w:t>
      </w:r>
    </w:p>
    <w:p w14:paraId="7BB4FD2F" w14:textId="77777777" w:rsidR="004332FE" w:rsidRPr="005E3B0A" w:rsidRDefault="004332FE" w:rsidP="004332FE">
      <w:pPr>
        <w:ind w:left="360"/>
        <w:rPr>
          <w:rFonts w:cs="Arial"/>
          <w:sz w:val="24"/>
          <w:szCs w:val="24"/>
        </w:rPr>
      </w:pPr>
      <w:r w:rsidRPr="005E3B0A">
        <w:rPr>
          <w:rFonts w:cs="Arial"/>
          <w:sz w:val="24"/>
          <w:szCs w:val="24"/>
        </w:rPr>
        <w:b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recognized that the ability to meet the recommended performance values depends on the number of frequency bands supported by the UE/MS.</w:t>
      </w:r>
    </w:p>
    <w:p w14:paraId="6961FD1E" w14:textId="77777777" w:rsidR="004332FE" w:rsidRPr="005E3B0A" w:rsidRDefault="004332FE" w:rsidP="004332FE">
      <w:pPr>
        <w:ind w:left="1440"/>
        <w:jc w:val="both"/>
        <w:rPr>
          <w:rFonts w:cs="Arial"/>
          <w:sz w:val="24"/>
          <w:szCs w:val="24"/>
        </w:rPr>
      </w:pPr>
    </w:p>
    <w:p w14:paraId="6F384A47" w14:textId="77777777" w:rsidR="004332FE" w:rsidRPr="005E3B0A" w:rsidRDefault="004332FE" w:rsidP="004332FE">
      <w:pPr>
        <w:jc w:val="both"/>
        <w:rPr>
          <w:rFonts w:cs="Arial"/>
          <w:b/>
          <w:bCs/>
          <w:sz w:val="24"/>
          <w:szCs w:val="24"/>
          <w:u w:val="single"/>
        </w:rPr>
      </w:pPr>
      <w:r w:rsidRPr="005E3B0A">
        <w:rPr>
          <w:rFonts w:cs="Arial"/>
          <w:b/>
          <w:bCs/>
          <w:sz w:val="24"/>
          <w:szCs w:val="24"/>
          <w:u w:val="single"/>
        </w:rPr>
        <w:t>Discussion on Metrics</w:t>
      </w:r>
    </w:p>
    <w:p w14:paraId="5D867296" w14:textId="77777777" w:rsidR="004332FE" w:rsidRPr="005E3B0A" w:rsidRDefault="004332FE" w:rsidP="004332FE">
      <w:pPr>
        <w:jc w:val="both"/>
        <w:rPr>
          <w:rFonts w:cs="Arial"/>
          <w:b/>
          <w:bCs/>
          <w:sz w:val="24"/>
          <w:szCs w:val="24"/>
          <w:u w:val="single"/>
        </w:rPr>
      </w:pPr>
    </w:p>
    <w:p w14:paraId="09E6DACF" w14:textId="77777777" w:rsidR="004332FE" w:rsidRPr="005E3B0A" w:rsidRDefault="004332FE" w:rsidP="004332FE">
      <w:pPr>
        <w:jc w:val="both"/>
        <w:rPr>
          <w:rFonts w:cs="Arial"/>
          <w:sz w:val="24"/>
          <w:szCs w:val="24"/>
        </w:rPr>
      </w:pPr>
      <w:r w:rsidRPr="005E3B0A">
        <w:rPr>
          <w:rFonts w:cs="Arial"/>
          <w:sz w:val="24"/>
          <w:szCs w:val="24"/>
        </w:rPr>
        <w:t>The usual process that is followed before a device is introduced on a carrier’s network can be used to guide the metrics that need to be scoped to understand if the above problem statements have been addressed.</w:t>
      </w:r>
    </w:p>
    <w:p w14:paraId="7864E367" w14:textId="77777777" w:rsidR="004332FE" w:rsidRPr="005E3B0A" w:rsidRDefault="004332FE" w:rsidP="004332FE">
      <w:pPr>
        <w:jc w:val="both"/>
        <w:rPr>
          <w:rFonts w:cs="Arial"/>
          <w:sz w:val="24"/>
          <w:szCs w:val="24"/>
        </w:rPr>
      </w:pPr>
    </w:p>
    <w:p w14:paraId="5174ED10" w14:textId="77777777" w:rsidR="004332FE" w:rsidRPr="005E3B0A" w:rsidRDefault="004332FE" w:rsidP="004332FE">
      <w:pPr>
        <w:jc w:val="both"/>
        <w:rPr>
          <w:rFonts w:cs="Arial"/>
          <w:b/>
          <w:bCs/>
          <w:sz w:val="24"/>
          <w:szCs w:val="24"/>
          <w:u w:val="single"/>
        </w:rPr>
      </w:pPr>
      <w:r w:rsidRPr="005E3B0A">
        <w:rPr>
          <w:rFonts w:cs="Arial"/>
          <w:b/>
          <w:bCs/>
          <w:sz w:val="24"/>
          <w:szCs w:val="24"/>
          <w:u w:val="single"/>
        </w:rPr>
        <w:t>Phantoms vs. User Performance</w:t>
      </w:r>
    </w:p>
    <w:p w14:paraId="0DB76864" w14:textId="77777777" w:rsidR="004332FE" w:rsidRPr="005E3B0A" w:rsidRDefault="004332FE" w:rsidP="004332FE">
      <w:pPr>
        <w:jc w:val="both"/>
        <w:rPr>
          <w:rFonts w:cs="Arial"/>
          <w:sz w:val="24"/>
          <w:szCs w:val="24"/>
        </w:rPr>
      </w:pPr>
      <w:r w:rsidRPr="005E3B0A">
        <w:rPr>
          <w:rFonts w:cs="Arial"/>
          <w:sz w:val="24"/>
          <w:szCs w:val="24"/>
        </w:rPr>
        <w:t>We understand that the CTIA Phantom grip represents a repeatable test condition for OTA but real user interaction with real devices may span a wide range of actual conditions for the device. Therefore, we should avoid stringent requirement for the standard test condition so as not to compromise performance of actual scenarios.</w:t>
      </w:r>
    </w:p>
    <w:p w14:paraId="502C752E" w14:textId="77777777" w:rsidR="004332FE" w:rsidRPr="005E3B0A" w:rsidRDefault="004332FE" w:rsidP="004332FE">
      <w:pPr>
        <w:jc w:val="both"/>
        <w:rPr>
          <w:rFonts w:cs="Arial"/>
          <w:sz w:val="24"/>
          <w:szCs w:val="24"/>
        </w:rPr>
      </w:pPr>
    </w:p>
    <w:p w14:paraId="54985009" w14:textId="77777777" w:rsidR="004332FE" w:rsidRPr="005E3B0A" w:rsidRDefault="004332FE" w:rsidP="004332FE">
      <w:pPr>
        <w:jc w:val="both"/>
        <w:rPr>
          <w:rFonts w:cs="Arial"/>
          <w:b/>
          <w:bCs/>
          <w:sz w:val="24"/>
          <w:szCs w:val="24"/>
          <w:u w:val="single"/>
        </w:rPr>
      </w:pPr>
      <w:r w:rsidRPr="005E3B0A">
        <w:rPr>
          <w:rFonts w:cs="Arial"/>
          <w:b/>
          <w:bCs/>
          <w:sz w:val="24"/>
          <w:szCs w:val="24"/>
          <w:u w:val="single"/>
        </w:rPr>
        <w:t>Roaming vs. Specific Market Requirements</w:t>
      </w:r>
    </w:p>
    <w:p w14:paraId="72433971" w14:textId="77777777" w:rsidR="004332FE" w:rsidRPr="005E3B0A" w:rsidRDefault="004332FE" w:rsidP="004332FE">
      <w:pPr>
        <w:jc w:val="both"/>
        <w:rPr>
          <w:rFonts w:cs="Arial"/>
          <w:sz w:val="24"/>
          <w:szCs w:val="24"/>
        </w:rPr>
      </w:pPr>
      <w:r w:rsidRPr="005E3B0A">
        <w:rPr>
          <w:rFonts w:cs="Arial"/>
          <w:sz w:val="24"/>
          <w:szCs w:val="24"/>
        </w:rPr>
        <w:t>The scope of radiated requirements in 3GPP RAN4 is clearly defined in [8].  Thus, the discussion should focus on defining minimum roaming requirements with the understanding that a UE undergoing OTA conformance testing per GCF shall obtain certification if the roaming requirements are satisfied for all applicable bands.</w:t>
      </w:r>
    </w:p>
    <w:p w14:paraId="12C406F9" w14:textId="77777777" w:rsidR="00C65332" w:rsidRPr="005E3B0A" w:rsidRDefault="00C65332">
      <w:pPr>
        <w:widowControl/>
        <w:rPr>
          <w:rFonts w:cs="Arial"/>
          <w:b/>
          <w:bCs/>
          <w:sz w:val="24"/>
          <w:szCs w:val="24"/>
          <w:u w:val="single"/>
        </w:rPr>
      </w:pPr>
      <w:r w:rsidRPr="005E3B0A">
        <w:rPr>
          <w:rFonts w:cs="Arial"/>
          <w:b/>
          <w:bCs/>
          <w:sz w:val="24"/>
          <w:szCs w:val="24"/>
          <w:u w:val="single"/>
        </w:rPr>
        <w:br w:type="page"/>
      </w:r>
      <w:bookmarkStart w:id="0" w:name="_GoBack"/>
      <w:bookmarkEnd w:id="0"/>
    </w:p>
    <w:p w14:paraId="054C26C6" w14:textId="439E3E36" w:rsidR="006E1E86" w:rsidRPr="005E3B0A" w:rsidRDefault="006E1E86" w:rsidP="006E1E86">
      <w:pPr>
        <w:jc w:val="both"/>
        <w:rPr>
          <w:rFonts w:cs="Arial"/>
          <w:b/>
          <w:bCs/>
          <w:sz w:val="24"/>
          <w:szCs w:val="24"/>
          <w:u w:val="single"/>
        </w:rPr>
      </w:pPr>
      <w:r w:rsidRPr="005E3B0A">
        <w:rPr>
          <w:rFonts w:cs="Arial"/>
          <w:b/>
          <w:bCs/>
          <w:sz w:val="24"/>
          <w:szCs w:val="24"/>
          <w:u w:val="single"/>
        </w:rPr>
        <w:t xml:space="preserve">Factors which influence choice of </w:t>
      </w:r>
      <w:r w:rsidR="004332FE" w:rsidRPr="005E3B0A">
        <w:rPr>
          <w:rFonts w:cs="Arial"/>
          <w:b/>
          <w:bCs/>
          <w:sz w:val="24"/>
          <w:szCs w:val="24"/>
          <w:u w:val="single"/>
        </w:rPr>
        <w:t xml:space="preserve">LTE </w:t>
      </w:r>
      <w:r w:rsidRPr="005E3B0A">
        <w:rPr>
          <w:rFonts w:cs="Arial"/>
          <w:b/>
          <w:bCs/>
          <w:sz w:val="24"/>
          <w:szCs w:val="24"/>
          <w:u w:val="single"/>
        </w:rPr>
        <w:t>TRP/T</w:t>
      </w:r>
      <w:r w:rsidR="004332FE" w:rsidRPr="005E3B0A">
        <w:rPr>
          <w:rFonts w:cs="Arial"/>
          <w:b/>
          <w:bCs/>
          <w:sz w:val="24"/>
          <w:szCs w:val="24"/>
          <w:u w:val="single"/>
        </w:rPr>
        <w:t>R</w:t>
      </w:r>
      <w:r w:rsidRPr="005E3B0A">
        <w:rPr>
          <w:rFonts w:cs="Arial"/>
          <w:b/>
          <w:bCs/>
          <w:sz w:val="24"/>
          <w:szCs w:val="24"/>
          <w:u w:val="single"/>
        </w:rPr>
        <w:t xml:space="preserve">S </w:t>
      </w:r>
    </w:p>
    <w:p w14:paraId="557822C4" w14:textId="77777777" w:rsidR="006E1E86" w:rsidRPr="005E3B0A" w:rsidRDefault="006E1E86" w:rsidP="00AC64DD">
      <w:pPr>
        <w:jc w:val="both"/>
        <w:rPr>
          <w:rFonts w:cs="Arial"/>
          <w:sz w:val="24"/>
          <w:szCs w:val="24"/>
        </w:rPr>
      </w:pPr>
    </w:p>
    <w:p w14:paraId="7CDA92D0" w14:textId="77777777" w:rsidR="007F0C03" w:rsidRPr="005E3B0A" w:rsidRDefault="007F0C03" w:rsidP="007F0C03">
      <w:pPr>
        <w:jc w:val="both"/>
        <w:rPr>
          <w:rFonts w:cs="Arial"/>
          <w:b/>
          <w:bCs/>
          <w:sz w:val="24"/>
          <w:szCs w:val="24"/>
          <w:u w:val="single"/>
        </w:rPr>
      </w:pPr>
      <w:r w:rsidRPr="005E3B0A">
        <w:rPr>
          <w:rFonts w:cs="Arial"/>
          <w:b/>
          <w:bCs/>
          <w:sz w:val="24"/>
          <w:szCs w:val="24"/>
          <w:u w:val="single"/>
        </w:rPr>
        <w:t xml:space="preserve">Drawback of Using One Grip for Limit Definition  </w:t>
      </w:r>
    </w:p>
    <w:p w14:paraId="683F3F0E" w14:textId="77777777" w:rsidR="007F0C03" w:rsidRPr="005E3B0A" w:rsidRDefault="007F0C03" w:rsidP="007F0C03">
      <w:pPr>
        <w:jc w:val="both"/>
        <w:rPr>
          <w:rFonts w:cs="Arial"/>
          <w:sz w:val="24"/>
          <w:szCs w:val="24"/>
        </w:rPr>
      </w:pPr>
    </w:p>
    <w:p w14:paraId="5D62E1E9" w14:textId="77777777" w:rsidR="007F0C03" w:rsidRPr="005E3B0A" w:rsidRDefault="007F0C03" w:rsidP="007F0C03">
      <w:pPr>
        <w:jc w:val="both"/>
        <w:rPr>
          <w:rFonts w:cs="Arial"/>
          <w:sz w:val="24"/>
          <w:szCs w:val="24"/>
        </w:rPr>
      </w:pPr>
      <w:r w:rsidRPr="005E3B0A">
        <w:rPr>
          <w:rFonts w:cs="Arial"/>
          <w:sz w:val="24"/>
          <w:szCs w:val="24"/>
        </w:rPr>
        <w:t>Several standard bodies are currently considering using CTIA phantoms to come up with radiated performance limits, which can be used to gauge the wireless system performance of a device.  Based on our experience, we have seen that sometimes CTIA phantom performance doesn’t convey the entire picture. One of the challenges that we have seen is illustrated in Fig 1.  In this figure, we present the BHHR TRP for 4 devices (all shipping) across multiple grips taken with real users. Each user is represented by a unique grip. On the ‘x’ axis each tick mark is 1dB. We see from the mean TRP values that the 4 devices perform very similar to each other. But, if we compare the CTIA BHHR (blue dot and red diamond) the values are different by ~3.5dB. So, if we would consider the CTIA BHHR values only, we would not get the correct representation of the comparative wireless system performance of Device B and D across different users grips.</w:t>
      </w:r>
    </w:p>
    <w:p w14:paraId="3581A214" w14:textId="77777777" w:rsidR="007F0C03" w:rsidRPr="005E3B0A" w:rsidRDefault="007F0C03" w:rsidP="007F0C03">
      <w:pPr>
        <w:jc w:val="both"/>
        <w:rPr>
          <w:rFonts w:cs="Arial"/>
          <w:sz w:val="24"/>
          <w:szCs w:val="24"/>
        </w:rPr>
      </w:pPr>
    </w:p>
    <w:p w14:paraId="4933AB76" w14:textId="77777777" w:rsidR="007F0C03" w:rsidRPr="005E3B0A" w:rsidRDefault="007F0C03" w:rsidP="007F0C03">
      <w:pPr>
        <w:jc w:val="both"/>
        <w:rPr>
          <w:rFonts w:cs="Arial"/>
          <w:sz w:val="24"/>
          <w:szCs w:val="24"/>
        </w:rPr>
      </w:pPr>
      <w:r w:rsidRPr="005E3B0A">
        <w:rPr>
          <w:rFonts w:cs="Arial"/>
          <w:sz w:val="24"/>
          <w:szCs w:val="24"/>
        </w:rPr>
        <w:t>The point of raising this limitation is twofold:</w:t>
      </w:r>
    </w:p>
    <w:p w14:paraId="5E45B1AC" w14:textId="77777777" w:rsidR="007F0C03" w:rsidRPr="005E3B0A" w:rsidRDefault="007F0C03" w:rsidP="007F0C03">
      <w:pPr>
        <w:numPr>
          <w:ilvl w:val="0"/>
          <w:numId w:val="3"/>
        </w:numPr>
        <w:ind w:left="360"/>
        <w:jc w:val="both"/>
        <w:rPr>
          <w:rFonts w:cs="Arial"/>
          <w:sz w:val="24"/>
          <w:szCs w:val="24"/>
        </w:rPr>
      </w:pPr>
      <w:r w:rsidRPr="005E3B0A">
        <w:rPr>
          <w:rFonts w:cs="Arial"/>
          <w:sz w:val="24"/>
          <w:szCs w:val="24"/>
        </w:rPr>
        <w:t>Having a stringent specification for one grip could potentially impact the performance of the device across other grips since the design might need to be tailored to address one grip while becoming overly sensitive to other use cases.</w:t>
      </w:r>
    </w:p>
    <w:p w14:paraId="32BDEB3A" w14:textId="77777777" w:rsidR="007F0C03" w:rsidRPr="005E3B0A" w:rsidRDefault="007F0C03" w:rsidP="007F0C03">
      <w:pPr>
        <w:numPr>
          <w:ilvl w:val="0"/>
          <w:numId w:val="3"/>
        </w:numPr>
        <w:ind w:left="360"/>
        <w:jc w:val="both"/>
        <w:rPr>
          <w:rFonts w:cs="Arial"/>
          <w:sz w:val="24"/>
          <w:szCs w:val="24"/>
        </w:rPr>
      </w:pPr>
      <w:r w:rsidRPr="005E3B0A">
        <w:rPr>
          <w:rFonts w:cs="Arial"/>
          <w:sz w:val="24"/>
          <w:szCs w:val="24"/>
        </w:rPr>
        <w:t>We understand that a certification test can’t be necessarily done over multiple grips possibly due to logistical issues. But, the group should consider this limitation while deciding on a limit so that we don’t penalize wireless system design for no obvious improvement in performance.</w:t>
      </w:r>
    </w:p>
    <w:p w14:paraId="3AF5DE72" w14:textId="77777777" w:rsidR="007F0C03" w:rsidRPr="005E3B0A" w:rsidRDefault="007F0C03" w:rsidP="007F0C03">
      <w:pPr>
        <w:jc w:val="both"/>
        <w:rPr>
          <w:rFonts w:cs="Arial"/>
          <w:sz w:val="24"/>
          <w:szCs w:val="24"/>
        </w:rPr>
      </w:pPr>
    </w:p>
    <w:p w14:paraId="0563951B" w14:textId="77777777" w:rsidR="007F0C03" w:rsidRPr="005E3B0A" w:rsidRDefault="007F0C03" w:rsidP="007F0C03">
      <w:pPr>
        <w:jc w:val="both"/>
        <w:rPr>
          <w:rFonts w:cs="Arial"/>
          <w:sz w:val="24"/>
          <w:szCs w:val="24"/>
        </w:rPr>
      </w:pPr>
    </w:p>
    <w:p w14:paraId="585BF08B" w14:textId="77777777" w:rsidR="007F0C03" w:rsidRPr="005E3B0A" w:rsidRDefault="007F0C03" w:rsidP="007F0C03">
      <w:pPr>
        <w:jc w:val="center"/>
        <w:rPr>
          <w:rFonts w:cs="Arial"/>
          <w:noProof/>
          <w:sz w:val="24"/>
          <w:szCs w:val="24"/>
        </w:rPr>
      </w:pPr>
      <w:r w:rsidRPr="005E3B0A">
        <w:rPr>
          <w:rFonts w:cs="Arial"/>
          <w:noProof/>
          <w:sz w:val="24"/>
          <w:szCs w:val="24"/>
          <w:lang w:val="en-GB" w:eastAsia="en-GB"/>
        </w:rPr>
        <w:drawing>
          <wp:inline distT="0" distB="0" distL="0" distR="0" wp14:anchorId="5791C190" wp14:editId="0DBB9545">
            <wp:extent cx="5486400" cy="3081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86400" cy="3081655"/>
                    </a:xfrm>
                    <a:prstGeom prst="rect">
                      <a:avLst/>
                    </a:prstGeom>
                    <a:noFill/>
                    <a:ln>
                      <a:noFill/>
                    </a:ln>
                  </pic:spPr>
                </pic:pic>
              </a:graphicData>
            </a:graphic>
          </wp:inline>
        </w:drawing>
      </w:r>
    </w:p>
    <w:p w14:paraId="5A27E620" w14:textId="77777777" w:rsidR="007F0C03" w:rsidRPr="005E3B0A" w:rsidRDefault="007F0C03" w:rsidP="007F0C03">
      <w:pPr>
        <w:jc w:val="center"/>
        <w:rPr>
          <w:rFonts w:cs="Arial"/>
          <w:sz w:val="24"/>
          <w:szCs w:val="24"/>
        </w:rPr>
      </w:pPr>
      <w:r w:rsidRPr="005E3B0A">
        <w:rPr>
          <w:rFonts w:cs="Arial"/>
          <w:sz w:val="24"/>
          <w:szCs w:val="24"/>
        </w:rPr>
        <w:t>Fig 1: Example performance for 4 shipping devices for different grips</w:t>
      </w:r>
    </w:p>
    <w:p w14:paraId="47B44D77" w14:textId="77777777" w:rsidR="007F0C03" w:rsidRPr="005E3B0A" w:rsidRDefault="007F0C03" w:rsidP="007F0C03">
      <w:pPr>
        <w:jc w:val="both"/>
        <w:rPr>
          <w:rFonts w:cs="Arial"/>
          <w:sz w:val="24"/>
          <w:szCs w:val="24"/>
        </w:rPr>
      </w:pPr>
    </w:p>
    <w:p w14:paraId="6B0CA106" w14:textId="77777777" w:rsidR="007F0C03" w:rsidRPr="005E3B0A" w:rsidRDefault="007F0C03" w:rsidP="007F0C03">
      <w:pPr>
        <w:jc w:val="both"/>
        <w:rPr>
          <w:rFonts w:cs="Arial"/>
          <w:b/>
          <w:sz w:val="24"/>
          <w:szCs w:val="24"/>
          <w:u w:val="single"/>
        </w:rPr>
      </w:pPr>
      <w:r w:rsidRPr="005E3B0A">
        <w:rPr>
          <w:rFonts w:cs="Arial"/>
          <w:b/>
          <w:sz w:val="24"/>
          <w:szCs w:val="24"/>
          <w:u w:val="single"/>
        </w:rPr>
        <w:t>Carrier Aggregation</w:t>
      </w:r>
    </w:p>
    <w:p w14:paraId="5E8A585E" w14:textId="77777777" w:rsidR="007F0C03" w:rsidRPr="005E3B0A" w:rsidRDefault="007F0C03" w:rsidP="007F0C03">
      <w:pPr>
        <w:jc w:val="both"/>
        <w:rPr>
          <w:rFonts w:cs="Arial"/>
          <w:sz w:val="24"/>
          <w:szCs w:val="24"/>
        </w:rPr>
      </w:pPr>
      <w:r w:rsidRPr="005E3B0A">
        <w:rPr>
          <w:rFonts w:cs="Arial"/>
          <w:sz w:val="24"/>
          <w:szCs w:val="24"/>
        </w:rPr>
        <w:t xml:space="preserve">We understand that the limits under consideration are for non-CA devices but a discussion for CA devices is essential for the following reasons: </w:t>
      </w:r>
    </w:p>
    <w:p w14:paraId="7C6CEB48" w14:textId="77777777" w:rsidR="007F0C03" w:rsidRPr="005E3B0A" w:rsidRDefault="007F0C03" w:rsidP="007F0C03">
      <w:pPr>
        <w:numPr>
          <w:ilvl w:val="0"/>
          <w:numId w:val="4"/>
        </w:numPr>
        <w:ind w:left="720"/>
        <w:jc w:val="both"/>
        <w:rPr>
          <w:rFonts w:cs="Arial"/>
          <w:sz w:val="24"/>
          <w:szCs w:val="24"/>
        </w:rPr>
      </w:pPr>
      <w:r w:rsidRPr="005E3B0A">
        <w:rPr>
          <w:rFonts w:cs="Arial"/>
          <w:sz w:val="24"/>
          <w:szCs w:val="24"/>
        </w:rPr>
        <w:t>Majority of devices currently support CA and mostly the data that the ODMs might have readily available for discussion is for CA devices</w:t>
      </w:r>
    </w:p>
    <w:p w14:paraId="798B20E3" w14:textId="77777777" w:rsidR="007F0C03" w:rsidRPr="005E3B0A" w:rsidRDefault="007F0C03" w:rsidP="007F0C03">
      <w:pPr>
        <w:numPr>
          <w:ilvl w:val="0"/>
          <w:numId w:val="4"/>
        </w:numPr>
        <w:ind w:left="720"/>
        <w:jc w:val="both"/>
        <w:rPr>
          <w:rFonts w:cs="Arial"/>
          <w:sz w:val="24"/>
          <w:szCs w:val="24"/>
        </w:rPr>
      </w:pPr>
      <w:r w:rsidRPr="005E3B0A">
        <w:rPr>
          <w:rFonts w:cs="Arial"/>
          <w:sz w:val="24"/>
          <w:szCs w:val="24"/>
        </w:rPr>
        <w:t xml:space="preserve">Maximum delta from non-CA limits would be different based on support of downlink or uplink CA, 2CA/3CA/4CA, inter-band CA, intra-band contiguous CA and intra-band non-contiguous CA. The team needs to at least decide on a maximum delta that they would consider from the non-CA spec. </w:t>
      </w:r>
    </w:p>
    <w:p w14:paraId="6979AEDB" w14:textId="77777777" w:rsidR="007F0C03" w:rsidRPr="005E3B0A" w:rsidRDefault="007F0C03" w:rsidP="007F0C03">
      <w:pPr>
        <w:ind w:left="1440"/>
        <w:jc w:val="both"/>
        <w:rPr>
          <w:rFonts w:cs="Arial"/>
          <w:sz w:val="24"/>
          <w:szCs w:val="24"/>
        </w:rPr>
      </w:pPr>
    </w:p>
    <w:p w14:paraId="7C35F447" w14:textId="77777777" w:rsidR="007F0C03" w:rsidRPr="005E3B0A" w:rsidRDefault="007F0C03" w:rsidP="007F0C03">
      <w:pPr>
        <w:jc w:val="both"/>
        <w:rPr>
          <w:rFonts w:cs="Arial"/>
          <w:b/>
          <w:sz w:val="24"/>
          <w:szCs w:val="24"/>
          <w:u w:val="single"/>
        </w:rPr>
      </w:pPr>
      <w:r w:rsidRPr="005E3B0A">
        <w:rPr>
          <w:rFonts w:cs="Arial"/>
          <w:b/>
          <w:sz w:val="24"/>
          <w:szCs w:val="24"/>
          <w:u w:val="single"/>
        </w:rPr>
        <w:t>Frequency Band Coverage</w:t>
      </w:r>
    </w:p>
    <w:p w14:paraId="3CE93723" w14:textId="77777777" w:rsidR="007F0C03" w:rsidRPr="005E3B0A" w:rsidRDefault="007F0C03" w:rsidP="007F0C03">
      <w:pPr>
        <w:jc w:val="both"/>
        <w:rPr>
          <w:rFonts w:cs="Arial"/>
          <w:sz w:val="24"/>
          <w:szCs w:val="24"/>
        </w:rPr>
      </w:pPr>
      <w:r w:rsidRPr="005E3B0A">
        <w:rPr>
          <w:rFonts w:cs="Arial"/>
          <w:sz w:val="24"/>
          <w:szCs w:val="24"/>
        </w:rPr>
        <w:t xml:space="preserve">The global frequency spectrum allocated for LTE is much different than the ones used by 2G/3G terminals. Supporting bands from 700MHz to 3700MHz either for primary or roaming purpose is already very challenging considering the other HW designs (e.g., choice of material, battery size, acoustic features, camera, etc.) that need to be made for contemporary handsets. </w:t>
      </w:r>
    </w:p>
    <w:p w14:paraId="59F5108E" w14:textId="77777777" w:rsidR="007F0C03" w:rsidRPr="005E3B0A" w:rsidRDefault="007F0C03" w:rsidP="007F0C03">
      <w:pPr>
        <w:jc w:val="both"/>
        <w:rPr>
          <w:rFonts w:cs="Arial"/>
          <w:sz w:val="24"/>
          <w:szCs w:val="24"/>
        </w:rPr>
      </w:pPr>
    </w:p>
    <w:p w14:paraId="2989056F" w14:textId="77777777" w:rsidR="007F0C03" w:rsidRPr="005E3B0A" w:rsidRDefault="007F0C03" w:rsidP="007F0C03">
      <w:pPr>
        <w:jc w:val="both"/>
        <w:rPr>
          <w:rFonts w:cs="Arial"/>
          <w:sz w:val="24"/>
          <w:szCs w:val="24"/>
        </w:rPr>
      </w:pPr>
      <w:r w:rsidRPr="005E3B0A">
        <w:rPr>
          <w:rFonts w:cs="Arial"/>
          <w:sz w:val="24"/>
          <w:szCs w:val="24"/>
        </w:rPr>
        <w:t>We understand that some of the new bands are not necessarily for the North American market but having a realistic spec for a “world” device would be the best choice for the consumer. With that in mind, we would encourage the committee to consider the impact of supporting multiple bands and incorporate required relaxation for such devices.</w:t>
      </w:r>
    </w:p>
    <w:p w14:paraId="08A231BE" w14:textId="77777777" w:rsidR="007F0C03" w:rsidRPr="005E3B0A" w:rsidRDefault="007F0C03" w:rsidP="007F0C03">
      <w:pPr>
        <w:jc w:val="both"/>
        <w:rPr>
          <w:rFonts w:cs="Arial"/>
          <w:sz w:val="24"/>
          <w:szCs w:val="24"/>
        </w:rPr>
      </w:pPr>
    </w:p>
    <w:p w14:paraId="515B0543" w14:textId="77777777" w:rsidR="007F0C03" w:rsidRPr="005E3B0A" w:rsidRDefault="007F0C03" w:rsidP="007F0C03">
      <w:pPr>
        <w:jc w:val="both"/>
        <w:rPr>
          <w:rFonts w:cs="Arial"/>
          <w:sz w:val="24"/>
          <w:szCs w:val="24"/>
        </w:rPr>
      </w:pPr>
      <w:r w:rsidRPr="005E3B0A">
        <w:rPr>
          <w:rFonts w:cs="Arial"/>
          <w:b/>
          <w:sz w:val="24"/>
          <w:szCs w:val="24"/>
          <w:u w:val="single"/>
        </w:rPr>
        <w:t>4 X 4 MIMO</w:t>
      </w:r>
    </w:p>
    <w:p w14:paraId="2BE5C0DF" w14:textId="77777777" w:rsidR="007F0C03" w:rsidRPr="005E3B0A" w:rsidRDefault="007F0C03" w:rsidP="007F0C03">
      <w:pPr>
        <w:jc w:val="both"/>
        <w:rPr>
          <w:rFonts w:cs="Arial"/>
          <w:sz w:val="24"/>
          <w:szCs w:val="24"/>
        </w:rPr>
      </w:pPr>
      <w:r w:rsidRPr="005E3B0A">
        <w:rPr>
          <w:rFonts w:cs="Arial"/>
          <w:sz w:val="24"/>
          <w:szCs w:val="24"/>
        </w:rPr>
        <w:t xml:space="preserve">It is widely expected that carriers will be rolling out networks supporting 4 X 4 MIMO. To make the specification future proof, we should consider the effect of supporting 4 X 4 MIMO on the radiated performance.  Even though the 4 X 4 MIMO is a DL feature, supporting two additional antennas and additional RF front end in a contemporary handset will come at a cost of antenna volume and insertion loss.  </w:t>
      </w:r>
    </w:p>
    <w:p w14:paraId="2824E336" w14:textId="77777777" w:rsidR="007F0C03" w:rsidRPr="005E3B0A" w:rsidRDefault="007F0C03" w:rsidP="007F0C03">
      <w:pPr>
        <w:jc w:val="both"/>
        <w:rPr>
          <w:rFonts w:cs="Arial"/>
          <w:sz w:val="24"/>
          <w:szCs w:val="24"/>
        </w:rPr>
      </w:pPr>
    </w:p>
    <w:p w14:paraId="2A2D4AF0" w14:textId="77777777" w:rsidR="007F0C03" w:rsidRPr="005E3B0A" w:rsidRDefault="007F0C03" w:rsidP="007F0C03">
      <w:pPr>
        <w:jc w:val="both"/>
        <w:rPr>
          <w:rFonts w:cs="Arial"/>
          <w:sz w:val="24"/>
          <w:szCs w:val="24"/>
        </w:rPr>
      </w:pPr>
      <w:r w:rsidRPr="005E3B0A">
        <w:rPr>
          <w:rFonts w:cs="Arial"/>
          <w:sz w:val="24"/>
          <w:szCs w:val="24"/>
        </w:rPr>
        <w:t>The committee needs to consider this also while deciding on limits for applicable to near future devices.</w:t>
      </w:r>
    </w:p>
    <w:p w14:paraId="26A09522" w14:textId="77777777" w:rsidR="007F0C03" w:rsidRPr="005E3B0A" w:rsidRDefault="007F0C03" w:rsidP="007F0C03">
      <w:pPr>
        <w:jc w:val="both"/>
        <w:rPr>
          <w:rFonts w:cs="Arial"/>
          <w:sz w:val="24"/>
          <w:szCs w:val="24"/>
        </w:rPr>
      </w:pPr>
    </w:p>
    <w:p w14:paraId="7985F8D0" w14:textId="77777777" w:rsidR="007F0C03" w:rsidRPr="005E3B0A" w:rsidRDefault="007F0C03" w:rsidP="007F0C03">
      <w:pPr>
        <w:jc w:val="both"/>
        <w:rPr>
          <w:rFonts w:cs="Arial"/>
          <w:sz w:val="24"/>
          <w:szCs w:val="24"/>
        </w:rPr>
      </w:pPr>
      <w:r w:rsidRPr="005E3B0A">
        <w:rPr>
          <w:rFonts w:cs="Arial"/>
          <w:b/>
          <w:sz w:val="24"/>
          <w:szCs w:val="24"/>
          <w:u w:val="single"/>
        </w:rPr>
        <w:t>LTE in Unlicensed Bands</w:t>
      </w:r>
    </w:p>
    <w:p w14:paraId="23A73DFF" w14:textId="77777777" w:rsidR="007F0C03" w:rsidRPr="005E3B0A" w:rsidRDefault="007F0C03" w:rsidP="007F0C03">
      <w:pPr>
        <w:jc w:val="both"/>
        <w:rPr>
          <w:rFonts w:cs="Arial"/>
          <w:sz w:val="24"/>
          <w:szCs w:val="24"/>
        </w:rPr>
      </w:pPr>
      <w:r w:rsidRPr="005E3B0A">
        <w:rPr>
          <w:rFonts w:cs="Arial"/>
          <w:sz w:val="24"/>
          <w:szCs w:val="24"/>
        </w:rPr>
        <w:t xml:space="preserve">There is considerable interest in the wireless community to support LTE in unlicensed bands (LAA/LWA/LTE-U). This could potentially have impact to RF front-end designs depending on the implementations and needs to be considered in setting of the OTA performance limits. </w:t>
      </w:r>
    </w:p>
    <w:p w14:paraId="620231FB" w14:textId="77777777" w:rsidR="007F0C03" w:rsidRPr="005E3B0A" w:rsidRDefault="007F0C03" w:rsidP="007F0C03">
      <w:pPr>
        <w:jc w:val="both"/>
        <w:rPr>
          <w:rFonts w:cs="Arial"/>
          <w:sz w:val="24"/>
          <w:szCs w:val="24"/>
        </w:rPr>
      </w:pPr>
    </w:p>
    <w:p w14:paraId="09445BEE" w14:textId="77777777" w:rsidR="007F0C03" w:rsidRPr="005E3B0A" w:rsidRDefault="007F0C03" w:rsidP="007F0C03">
      <w:pPr>
        <w:jc w:val="both"/>
        <w:rPr>
          <w:rFonts w:cs="Arial"/>
          <w:sz w:val="24"/>
          <w:szCs w:val="24"/>
        </w:rPr>
      </w:pPr>
      <w:r w:rsidRPr="005E3B0A">
        <w:rPr>
          <w:rFonts w:cs="Arial"/>
          <w:b/>
          <w:sz w:val="24"/>
          <w:szCs w:val="24"/>
          <w:u w:val="single"/>
        </w:rPr>
        <w:t>RF Exposure (SAR)</w:t>
      </w:r>
    </w:p>
    <w:p w14:paraId="7B7DD964" w14:textId="2609BE20" w:rsidR="00000CC6" w:rsidRPr="005E3B0A" w:rsidRDefault="007F0C03" w:rsidP="007F0C03">
      <w:pPr>
        <w:jc w:val="both"/>
        <w:rPr>
          <w:rFonts w:cs="Arial"/>
          <w:sz w:val="24"/>
          <w:szCs w:val="24"/>
        </w:rPr>
      </w:pPr>
      <w:r w:rsidRPr="005E3B0A">
        <w:rPr>
          <w:rFonts w:cs="Arial"/>
          <w:sz w:val="24"/>
          <w:szCs w:val="24"/>
        </w:rPr>
        <w:t xml:space="preserve">There are several on-going discussions in different regulatory domains on changing test methodologies for measuring RF exposure (SAR) for smartphones. For instance, in Europe, the test distance at which Body-worn SAR is measured is being changed to 5mm.Previously, the test distance could be anywhere from 10 – 25mm. These changes could potentially affect the maximum TRP that the device might be able to output to ensure that SAR limit is met.  </w:t>
      </w:r>
    </w:p>
    <w:p w14:paraId="4ADE56B5" w14:textId="77777777" w:rsidR="007F0C03" w:rsidRPr="005E3B0A" w:rsidRDefault="007F0C03" w:rsidP="007F0C03">
      <w:pPr>
        <w:jc w:val="both"/>
        <w:rPr>
          <w:rFonts w:cs="Arial"/>
          <w:color w:val="000000"/>
          <w:sz w:val="24"/>
          <w:szCs w:val="24"/>
        </w:rPr>
      </w:pPr>
    </w:p>
    <w:p w14:paraId="59053ED0" w14:textId="77777777" w:rsidR="004B7A4B" w:rsidRPr="005E3B0A" w:rsidRDefault="004B7A4B" w:rsidP="004B7A4B">
      <w:pPr>
        <w:jc w:val="both"/>
        <w:rPr>
          <w:rFonts w:cs="Arial"/>
          <w:color w:val="000000" w:themeColor="text1"/>
          <w:sz w:val="24"/>
          <w:szCs w:val="24"/>
          <w:lang w:eastAsia="zh-CN"/>
        </w:rPr>
      </w:pPr>
      <w:r w:rsidRPr="005E3B0A">
        <w:rPr>
          <w:rFonts w:cs="Arial"/>
          <w:color w:val="000000" w:themeColor="text1"/>
          <w:sz w:val="24"/>
          <w:szCs w:val="24"/>
          <w:lang w:eastAsia="zh-CN"/>
        </w:rPr>
        <w:t>In RAN4 #80 meeting, a WF [1] has been agreed as the starting point of TRP/TIS framework improvement studying. Among the factors mentioned on the above, some (such as CA and frequency band coverage) have been collected in [1], others (such as MIMO, unlicensed band and SAR) have not yet. Thus it is important to continue the framework improvement to collect more factors which can have impacts on the TRP/TIS limits setting. From RAN4 progress point of view, a step-by-step approach can be considered: 1</w:t>
      </w:r>
      <w:r w:rsidRPr="005E3B0A">
        <w:rPr>
          <w:rFonts w:cs="Arial"/>
          <w:color w:val="000000" w:themeColor="text1"/>
          <w:sz w:val="24"/>
          <w:szCs w:val="24"/>
          <w:vertAlign w:val="superscript"/>
          <w:lang w:eastAsia="zh-CN"/>
        </w:rPr>
        <w:t>st</w:t>
      </w:r>
      <w:r w:rsidRPr="005E3B0A">
        <w:rPr>
          <w:rFonts w:cs="Arial"/>
          <w:color w:val="000000" w:themeColor="text1"/>
          <w:sz w:val="24"/>
          <w:szCs w:val="24"/>
          <w:lang w:eastAsia="zh-CN"/>
        </w:rPr>
        <w:t xml:space="preserve"> step, a</w:t>
      </w:r>
      <w:r w:rsidRPr="005E3B0A">
        <w:rPr>
          <w:rFonts w:cs="Arial"/>
          <w:color w:val="000000" w:themeColor="text1"/>
          <w:sz w:val="24"/>
          <w:szCs w:val="24"/>
        </w:rPr>
        <w:t>gree on which of factors will be considered in the initial limits proposal</w:t>
      </w:r>
      <w:r w:rsidRPr="005E3B0A">
        <w:rPr>
          <w:rFonts w:cs="Arial"/>
          <w:color w:val="000000" w:themeColor="text1"/>
          <w:sz w:val="24"/>
          <w:szCs w:val="24"/>
          <w:lang w:eastAsia="zh-CN"/>
        </w:rPr>
        <w:t>; 2</w:t>
      </w:r>
      <w:r w:rsidRPr="005E3B0A">
        <w:rPr>
          <w:rFonts w:cs="Arial"/>
          <w:color w:val="000000" w:themeColor="text1"/>
          <w:sz w:val="24"/>
          <w:szCs w:val="24"/>
          <w:vertAlign w:val="superscript"/>
          <w:lang w:eastAsia="zh-CN"/>
        </w:rPr>
        <w:t>nd</w:t>
      </w:r>
      <w:r w:rsidRPr="005E3B0A">
        <w:rPr>
          <w:rFonts w:cs="Arial"/>
          <w:color w:val="000000" w:themeColor="text1"/>
          <w:sz w:val="24"/>
          <w:szCs w:val="24"/>
          <w:lang w:eastAsia="zh-CN"/>
        </w:rPr>
        <w:t xml:space="preserve"> step, then </w:t>
      </w:r>
      <w:r w:rsidRPr="005E3B0A">
        <w:rPr>
          <w:rFonts w:cs="Arial"/>
          <w:color w:val="000000" w:themeColor="text1"/>
          <w:sz w:val="24"/>
          <w:szCs w:val="24"/>
        </w:rPr>
        <w:t xml:space="preserve">a way forward plan for the </w:t>
      </w:r>
      <w:r w:rsidRPr="005E3B0A">
        <w:rPr>
          <w:rFonts w:cs="Arial"/>
          <w:color w:val="000000" w:themeColor="text1"/>
          <w:sz w:val="24"/>
          <w:szCs w:val="24"/>
          <w:lang w:eastAsia="zh-CN"/>
        </w:rPr>
        <w:t>remaining</w:t>
      </w:r>
      <w:r w:rsidRPr="005E3B0A">
        <w:rPr>
          <w:rFonts w:cs="Arial"/>
          <w:color w:val="000000" w:themeColor="text1"/>
          <w:sz w:val="24"/>
          <w:szCs w:val="24"/>
        </w:rPr>
        <w:t xml:space="preserve"> factors</w:t>
      </w:r>
      <w:r w:rsidRPr="005E3B0A">
        <w:rPr>
          <w:rFonts w:cs="Arial"/>
          <w:color w:val="000000" w:themeColor="text1"/>
          <w:sz w:val="24"/>
          <w:szCs w:val="24"/>
          <w:lang w:eastAsia="zh-CN"/>
        </w:rPr>
        <w:t xml:space="preserve">. </w:t>
      </w:r>
    </w:p>
    <w:p w14:paraId="4EB13066" w14:textId="2B8DD1D4" w:rsidR="007F0C03" w:rsidRPr="008569B6" w:rsidRDefault="004B7A4B" w:rsidP="008569B6">
      <w:pPr>
        <w:widowControl/>
        <w:rPr>
          <w:rFonts w:cs="Arial"/>
          <w:b/>
          <w:bCs/>
          <w:sz w:val="24"/>
          <w:szCs w:val="24"/>
          <w:u w:val="single"/>
        </w:rPr>
      </w:pPr>
      <w:r w:rsidRPr="005E3B0A">
        <w:rPr>
          <w:rFonts w:cs="Arial"/>
          <w:bCs/>
          <w:sz w:val="24"/>
          <w:szCs w:val="24"/>
        </w:rPr>
        <w:br w:type="page"/>
      </w:r>
    </w:p>
    <w:p w14:paraId="7E9AA04D" w14:textId="77777777" w:rsidR="007F0C03" w:rsidRDefault="007F0C03" w:rsidP="007F0C03">
      <w:pPr>
        <w:jc w:val="both"/>
        <w:rPr>
          <w:rFonts w:cs="Arial"/>
          <w:b/>
          <w:bCs/>
          <w:sz w:val="24"/>
          <w:szCs w:val="24"/>
          <w:u w:val="single"/>
        </w:rPr>
      </w:pPr>
      <w:r w:rsidRPr="005E3B0A">
        <w:rPr>
          <w:rFonts w:cs="Arial"/>
          <w:b/>
          <w:bCs/>
          <w:sz w:val="24"/>
          <w:szCs w:val="24"/>
          <w:u w:val="single"/>
        </w:rPr>
        <w:t>Proposals</w:t>
      </w:r>
    </w:p>
    <w:p w14:paraId="09FD895B" w14:textId="77777777" w:rsidR="00BB57AB" w:rsidRPr="005E3B0A" w:rsidRDefault="00BB57AB" w:rsidP="007F0C03">
      <w:pPr>
        <w:jc w:val="both"/>
        <w:rPr>
          <w:rFonts w:cs="Arial"/>
          <w:sz w:val="24"/>
          <w:szCs w:val="24"/>
        </w:rPr>
      </w:pPr>
    </w:p>
    <w:p w14:paraId="0D04B5B8" w14:textId="77777777" w:rsidR="007F0C03" w:rsidRPr="005E3B0A" w:rsidRDefault="007F0C03" w:rsidP="007F0C03">
      <w:pPr>
        <w:jc w:val="both"/>
        <w:rPr>
          <w:rFonts w:cs="Arial"/>
          <w:sz w:val="24"/>
          <w:szCs w:val="24"/>
        </w:rPr>
      </w:pPr>
      <w:r w:rsidRPr="005E3B0A">
        <w:rPr>
          <w:rFonts w:cs="Arial"/>
          <w:sz w:val="24"/>
          <w:szCs w:val="24"/>
        </w:rPr>
        <w:t>The following proposals are submitted for approval:</w:t>
      </w:r>
    </w:p>
    <w:p w14:paraId="08BBFE2F" w14:textId="77777777" w:rsidR="007F0C03" w:rsidRPr="005E3B0A" w:rsidRDefault="007F0C03" w:rsidP="007F0C03">
      <w:pPr>
        <w:jc w:val="both"/>
        <w:rPr>
          <w:rFonts w:cs="Arial"/>
          <w:sz w:val="24"/>
          <w:szCs w:val="24"/>
        </w:rPr>
      </w:pPr>
      <w:r w:rsidRPr="005E3B0A">
        <w:rPr>
          <w:rFonts w:cs="Arial"/>
          <w:sz w:val="24"/>
          <w:szCs w:val="24"/>
        </w:rPr>
        <w:t xml:space="preserve"> </w:t>
      </w:r>
    </w:p>
    <w:p w14:paraId="2F12F63D" w14:textId="77777777" w:rsidR="007F0C03" w:rsidRPr="005E3B0A" w:rsidRDefault="007F0C03" w:rsidP="007F0C03">
      <w:pPr>
        <w:numPr>
          <w:ilvl w:val="0"/>
          <w:numId w:val="5"/>
        </w:numPr>
        <w:ind w:left="360"/>
        <w:jc w:val="both"/>
        <w:rPr>
          <w:rFonts w:cs="Arial"/>
          <w:sz w:val="24"/>
          <w:szCs w:val="24"/>
        </w:rPr>
      </w:pPr>
      <w:r w:rsidRPr="005E3B0A">
        <w:rPr>
          <w:rFonts w:cs="Arial"/>
          <w:sz w:val="24"/>
          <w:szCs w:val="24"/>
        </w:rPr>
        <w:t>Agreement on clear understanding of the problem statement behind the proposed LTE TRP/TRS limits.</w:t>
      </w:r>
    </w:p>
    <w:p w14:paraId="35FB4B61" w14:textId="5A70C94B" w:rsidR="004B7A4B" w:rsidRPr="005E3B0A" w:rsidRDefault="007F0C03" w:rsidP="007F0C03">
      <w:pPr>
        <w:numPr>
          <w:ilvl w:val="0"/>
          <w:numId w:val="5"/>
        </w:numPr>
        <w:ind w:left="360"/>
        <w:jc w:val="both"/>
        <w:rPr>
          <w:rFonts w:cs="Arial"/>
          <w:sz w:val="24"/>
          <w:szCs w:val="24"/>
        </w:rPr>
      </w:pPr>
      <w:r w:rsidRPr="005E3B0A">
        <w:rPr>
          <w:rFonts w:cs="Arial"/>
          <w:sz w:val="24"/>
          <w:szCs w:val="24"/>
        </w:rPr>
        <w:t>Agree on a common set of metrics which will be used to confirm that the problem has been addressed</w:t>
      </w:r>
    </w:p>
    <w:p w14:paraId="0D552C84" w14:textId="77777777" w:rsidR="004B7A4B" w:rsidRPr="005E3B0A" w:rsidRDefault="004B7A4B" w:rsidP="00035C54">
      <w:pPr>
        <w:numPr>
          <w:ilvl w:val="0"/>
          <w:numId w:val="5"/>
        </w:numPr>
        <w:ind w:left="360"/>
        <w:jc w:val="both"/>
        <w:rPr>
          <w:rFonts w:cs="Arial"/>
          <w:sz w:val="24"/>
          <w:szCs w:val="24"/>
        </w:rPr>
      </w:pPr>
      <w:r w:rsidRPr="005E3B0A">
        <w:rPr>
          <w:rFonts w:cs="Arial"/>
          <w:sz w:val="24"/>
          <w:szCs w:val="24"/>
          <w:lang w:eastAsia="zh-CN"/>
        </w:rPr>
        <w:t>Continue framework improvement with 2-step approach: a</w:t>
      </w:r>
      <w:r w:rsidRPr="005E3B0A">
        <w:rPr>
          <w:rFonts w:cs="Arial"/>
          <w:sz w:val="24"/>
          <w:szCs w:val="24"/>
        </w:rPr>
        <w:t>gree on which of proposed factors will be considered in the initial limits proposal and</w:t>
      </w:r>
      <w:r w:rsidRPr="005E3B0A">
        <w:rPr>
          <w:rFonts w:cs="Arial"/>
          <w:sz w:val="24"/>
          <w:szCs w:val="24"/>
          <w:lang w:eastAsia="zh-CN"/>
        </w:rPr>
        <w:t xml:space="preserve"> then</w:t>
      </w:r>
      <w:r w:rsidRPr="005E3B0A">
        <w:rPr>
          <w:rFonts w:cs="Arial"/>
          <w:sz w:val="24"/>
          <w:szCs w:val="24"/>
        </w:rPr>
        <w:t xml:space="preserve"> a way forward plan for integrating the other factors</w:t>
      </w:r>
    </w:p>
    <w:p w14:paraId="0361A3A1" w14:textId="0ED47A54" w:rsidR="007F0C03" w:rsidRPr="005E3B0A" w:rsidRDefault="004B7A4B" w:rsidP="00AD414A">
      <w:pPr>
        <w:jc w:val="both"/>
        <w:rPr>
          <w:rFonts w:cs="Arial"/>
          <w:sz w:val="24"/>
          <w:szCs w:val="24"/>
        </w:rPr>
      </w:pPr>
      <w:r w:rsidRPr="005E3B0A">
        <w:rPr>
          <w:rFonts w:cs="Arial"/>
          <w:sz w:val="24"/>
          <w:szCs w:val="24"/>
        </w:rPr>
        <w:t xml:space="preserve">4.  </w:t>
      </w:r>
      <w:r w:rsidR="007F0C03" w:rsidRPr="005E3B0A">
        <w:rPr>
          <w:rFonts w:cs="Arial"/>
          <w:sz w:val="24"/>
          <w:szCs w:val="24"/>
        </w:rPr>
        <w:t xml:space="preserve">Update the framework in [1] to introduce a joint band passing rate analysis </w:t>
      </w:r>
      <w:r w:rsidR="00AD414A">
        <w:rPr>
          <w:rFonts w:cs="Arial"/>
          <w:sz w:val="24"/>
          <w:szCs w:val="24"/>
        </w:rPr>
        <w:t>of</w:t>
      </w:r>
      <w:r w:rsidR="00AD414A">
        <w:rPr>
          <w:rFonts w:cs="Arial"/>
          <w:sz w:val="24"/>
          <w:szCs w:val="24"/>
        </w:rPr>
        <w:br/>
        <w:t xml:space="preserve">     </w:t>
      </w:r>
      <w:r w:rsidR="007F0C03" w:rsidRPr="005E3B0A">
        <w:rPr>
          <w:rFonts w:cs="Arial"/>
          <w:sz w:val="24"/>
          <w:szCs w:val="24"/>
        </w:rPr>
        <w:t>all proposed OTA requirements</w:t>
      </w:r>
    </w:p>
    <w:p w14:paraId="00F7F63B" w14:textId="77777777" w:rsidR="00C65332" w:rsidRPr="005E3B0A" w:rsidRDefault="00C65332">
      <w:pPr>
        <w:widowControl/>
        <w:rPr>
          <w:rFonts w:cs="Arial"/>
          <w:b/>
          <w:color w:val="000000"/>
          <w:sz w:val="24"/>
          <w:szCs w:val="24"/>
          <w:u w:val="single"/>
        </w:rPr>
      </w:pPr>
      <w:r w:rsidRPr="005E3B0A">
        <w:rPr>
          <w:rFonts w:cs="Arial"/>
          <w:b/>
          <w:color w:val="000000"/>
          <w:sz w:val="24"/>
          <w:szCs w:val="24"/>
          <w:u w:val="single"/>
        </w:rPr>
        <w:br w:type="page"/>
      </w:r>
    </w:p>
    <w:p w14:paraId="43ADF4D3" w14:textId="77777777" w:rsidR="00391CB3" w:rsidRPr="005E3B0A" w:rsidRDefault="00391CB3" w:rsidP="00391CB3">
      <w:pPr>
        <w:jc w:val="both"/>
        <w:rPr>
          <w:rFonts w:cs="Arial"/>
          <w:b/>
          <w:color w:val="000000"/>
          <w:sz w:val="24"/>
          <w:szCs w:val="24"/>
          <w:u w:val="single"/>
        </w:rPr>
      </w:pPr>
      <w:r w:rsidRPr="005E3B0A">
        <w:rPr>
          <w:rFonts w:cs="Arial"/>
          <w:b/>
          <w:color w:val="000000"/>
          <w:sz w:val="24"/>
          <w:szCs w:val="24"/>
          <w:u w:val="single"/>
        </w:rPr>
        <w:t>References:</w:t>
      </w:r>
    </w:p>
    <w:p w14:paraId="03960FC2" w14:textId="77777777" w:rsidR="00391CB3" w:rsidRPr="005E3B0A" w:rsidRDefault="00391CB3" w:rsidP="00391CB3">
      <w:pPr>
        <w:jc w:val="both"/>
        <w:rPr>
          <w:rFonts w:cs="Arial"/>
          <w:color w:val="000000"/>
          <w:sz w:val="24"/>
          <w:szCs w:val="24"/>
        </w:rPr>
      </w:pPr>
    </w:p>
    <w:p w14:paraId="2EE740E5" w14:textId="77777777" w:rsidR="000C66AE" w:rsidRPr="005E3B0A" w:rsidRDefault="00E766B8" w:rsidP="000C66AE">
      <w:pPr>
        <w:spacing w:before="120" w:after="120"/>
        <w:ind w:left="567" w:hanging="567"/>
        <w:rPr>
          <w:rFonts w:cs="Arial"/>
          <w:sz w:val="24"/>
          <w:szCs w:val="24"/>
          <w:lang w:eastAsia="ja-JP"/>
        </w:rPr>
      </w:pPr>
      <w:r w:rsidRPr="005E3B0A">
        <w:rPr>
          <w:rFonts w:cs="Arial"/>
          <w:sz w:val="24"/>
          <w:szCs w:val="24"/>
          <w:lang w:eastAsia="ja-JP"/>
        </w:rPr>
        <w:t>[1]</w:t>
      </w:r>
      <w:r w:rsidRPr="005E3B0A">
        <w:rPr>
          <w:rFonts w:cs="Arial"/>
          <w:sz w:val="24"/>
          <w:szCs w:val="24"/>
          <w:lang w:eastAsia="ja-JP"/>
        </w:rPr>
        <w:tab/>
      </w:r>
      <w:r w:rsidR="00B37438" w:rsidRPr="005E3B0A">
        <w:rPr>
          <w:rFonts w:cs="Arial"/>
          <w:sz w:val="24"/>
          <w:szCs w:val="24"/>
          <w:lang w:eastAsia="ja-JP"/>
        </w:rPr>
        <w:t>R4-167201</w:t>
      </w:r>
      <w:r w:rsidR="00695518" w:rsidRPr="005E3B0A">
        <w:rPr>
          <w:rFonts w:cs="Arial"/>
          <w:sz w:val="24"/>
          <w:szCs w:val="24"/>
          <w:lang w:eastAsia="ja-JP"/>
        </w:rPr>
        <w:t>;</w:t>
      </w:r>
      <w:r w:rsidR="00B37438" w:rsidRPr="005E3B0A">
        <w:rPr>
          <w:rFonts w:cs="Arial"/>
          <w:sz w:val="24"/>
          <w:szCs w:val="24"/>
          <w:lang w:eastAsia="ja-JP"/>
        </w:rPr>
        <w:t xml:space="preserve"> Way forward on LTE TRP TRS framework improvement and work plan</w:t>
      </w:r>
    </w:p>
    <w:p w14:paraId="78B16C9A" w14:textId="77777777" w:rsidR="00391CB3" w:rsidRPr="005E3B0A" w:rsidRDefault="00E766B8" w:rsidP="000C66AE">
      <w:pPr>
        <w:spacing w:before="120" w:after="120"/>
        <w:ind w:left="567" w:hanging="567"/>
        <w:rPr>
          <w:rFonts w:cs="Arial"/>
          <w:sz w:val="24"/>
          <w:szCs w:val="24"/>
        </w:rPr>
      </w:pPr>
      <w:r w:rsidRPr="005E3B0A">
        <w:rPr>
          <w:rFonts w:cs="Arial"/>
          <w:sz w:val="24"/>
          <w:szCs w:val="24"/>
          <w:lang w:eastAsia="ja-JP"/>
        </w:rPr>
        <w:t>[2]</w:t>
      </w:r>
      <w:r w:rsidRPr="005E3B0A">
        <w:rPr>
          <w:rFonts w:cs="Arial"/>
          <w:sz w:val="24"/>
          <w:szCs w:val="24"/>
          <w:lang w:eastAsia="ja-JP"/>
        </w:rPr>
        <w:tab/>
      </w:r>
      <w:r w:rsidR="00695518" w:rsidRPr="005E3B0A">
        <w:rPr>
          <w:rFonts w:cs="Arial"/>
          <w:sz w:val="24"/>
          <w:szCs w:val="24"/>
        </w:rPr>
        <w:t>R4-168617;</w:t>
      </w:r>
      <w:r w:rsidR="000C66AE" w:rsidRPr="005E3B0A">
        <w:rPr>
          <w:rFonts w:cs="Arial"/>
          <w:sz w:val="24"/>
          <w:szCs w:val="24"/>
        </w:rPr>
        <w:t xml:space="preserve"> Methodology for deriving E-UTRA BHH TRP/TRS requirements.</w:t>
      </w:r>
    </w:p>
    <w:p w14:paraId="49A040DD" w14:textId="77777777" w:rsidR="00695518" w:rsidRPr="005E3B0A" w:rsidRDefault="00695518" w:rsidP="00695518">
      <w:pPr>
        <w:spacing w:before="120" w:after="120"/>
        <w:ind w:left="567" w:hanging="567"/>
        <w:rPr>
          <w:rFonts w:cs="Arial"/>
          <w:sz w:val="24"/>
          <w:szCs w:val="24"/>
        </w:rPr>
      </w:pPr>
      <w:r w:rsidRPr="005E3B0A">
        <w:rPr>
          <w:rFonts w:cs="Arial"/>
          <w:sz w:val="24"/>
          <w:szCs w:val="24"/>
        </w:rPr>
        <w:t xml:space="preserve">[3] </w:t>
      </w:r>
      <w:r w:rsidRPr="005E3B0A">
        <w:rPr>
          <w:rFonts w:cs="Arial"/>
          <w:sz w:val="24"/>
          <w:szCs w:val="24"/>
        </w:rPr>
        <w:tab/>
      </w:r>
      <w:r w:rsidR="001B6B40" w:rsidRPr="005E3B0A">
        <w:rPr>
          <w:rFonts w:cs="Arial"/>
          <w:sz w:val="24"/>
          <w:szCs w:val="24"/>
        </w:rPr>
        <w:t>R4-166436</w:t>
      </w:r>
      <w:r w:rsidRPr="005E3B0A">
        <w:rPr>
          <w:rFonts w:cs="Arial"/>
          <w:sz w:val="24"/>
          <w:szCs w:val="24"/>
        </w:rPr>
        <w:t xml:space="preserve">; </w:t>
      </w:r>
      <w:r w:rsidR="001B6B40" w:rsidRPr="005E3B0A">
        <w:rPr>
          <w:rFonts w:cs="Arial"/>
          <w:sz w:val="24"/>
          <w:szCs w:val="24"/>
        </w:rPr>
        <w:t>CR to TS 37.144 Applicability of UTRA Requirements</w:t>
      </w:r>
    </w:p>
    <w:p w14:paraId="23E52DF0" w14:textId="77777777" w:rsidR="00695518" w:rsidRPr="005E3B0A" w:rsidRDefault="00695518" w:rsidP="00695518">
      <w:pPr>
        <w:spacing w:before="120" w:after="120"/>
        <w:ind w:left="567" w:hanging="567"/>
        <w:rPr>
          <w:rFonts w:cs="Arial"/>
          <w:sz w:val="24"/>
          <w:szCs w:val="24"/>
        </w:rPr>
      </w:pPr>
      <w:r w:rsidRPr="005E3B0A">
        <w:rPr>
          <w:rFonts w:cs="Arial"/>
          <w:sz w:val="24"/>
          <w:szCs w:val="24"/>
        </w:rPr>
        <w:t>[4]</w:t>
      </w:r>
      <w:r w:rsidRPr="005E3B0A">
        <w:rPr>
          <w:rFonts w:cs="Arial"/>
          <w:sz w:val="24"/>
          <w:szCs w:val="24"/>
        </w:rPr>
        <w:tab/>
      </w:r>
      <w:r w:rsidR="001B6B40" w:rsidRPr="005E3B0A">
        <w:rPr>
          <w:rFonts w:cs="Arial"/>
          <w:noProof/>
          <w:sz w:val="24"/>
          <w:szCs w:val="24"/>
          <w:lang w:eastAsia="ko-KR"/>
        </w:rPr>
        <w:t>R4-166256</w:t>
      </w:r>
      <w:r w:rsidRPr="005E3B0A">
        <w:rPr>
          <w:rFonts w:cs="Arial"/>
          <w:noProof/>
          <w:sz w:val="24"/>
          <w:szCs w:val="24"/>
          <w:lang w:eastAsia="ko-KR"/>
        </w:rPr>
        <w:t>;</w:t>
      </w:r>
      <w:r w:rsidR="001B6B40" w:rsidRPr="005E3B0A">
        <w:rPr>
          <w:rFonts w:cs="Arial"/>
          <w:noProof/>
          <w:sz w:val="24"/>
          <w:szCs w:val="24"/>
          <w:lang w:eastAsia="ko-KR"/>
        </w:rPr>
        <w:t xml:space="preserve"> </w:t>
      </w:r>
      <w:r w:rsidR="001B6B40" w:rsidRPr="005E3B0A">
        <w:rPr>
          <w:rFonts w:cs="Arial"/>
          <w:sz w:val="24"/>
          <w:szCs w:val="24"/>
        </w:rPr>
        <w:t>OTA TRP/TRS framework improvements</w:t>
      </w:r>
    </w:p>
    <w:p w14:paraId="2A2006E3" w14:textId="77777777" w:rsidR="00695518" w:rsidRPr="005E3B0A" w:rsidRDefault="00695518" w:rsidP="00695518">
      <w:pPr>
        <w:spacing w:before="120" w:after="120"/>
        <w:ind w:left="567" w:hanging="567"/>
        <w:rPr>
          <w:rFonts w:cs="Arial"/>
          <w:sz w:val="24"/>
          <w:szCs w:val="24"/>
        </w:rPr>
      </w:pPr>
      <w:r w:rsidRPr="005E3B0A">
        <w:rPr>
          <w:rFonts w:cs="Arial"/>
          <w:sz w:val="24"/>
          <w:szCs w:val="24"/>
        </w:rPr>
        <w:t>[5]</w:t>
      </w:r>
      <w:r w:rsidRPr="005E3B0A">
        <w:rPr>
          <w:rFonts w:cs="Arial"/>
          <w:sz w:val="24"/>
          <w:szCs w:val="24"/>
        </w:rPr>
        <w:tab/>
      </w:r>
      <w:r w:rsidR="001B6B40" w:rsidRPr="005E3B0A">
        <w:rPr>
          <w:rFonts w:cs="Arial"/>
          <w:sz w:val="24"/>
          <w:szCs w:val="24"/>
          <w:lang w:eastAsia="ja-JP"/>
        </w:rPr>
        <w:t>R4-165242</w:t>
      </w:r>
      <w:r w:rsidRPr="005E3B0A">
        <w:rPr>
          <w:rFonts w:cs="Arial"/>
          <w:sz w:val="24"/>
          <w:szCs w:val="24"/>
          <w:lang w:eastAsia="ja-JP"/>
        </w:rPr>
        <w:t>;</w:t>
      </w:r>
      <w:r w:rsidR="001B6B40" w:rsidRPr="005E3B0A">
        <w:rPr>
          <w:rFonts w:cs="Arial"/>
          <w:sz w:val="24"/>
          <w:szCs w:val="24"/>
          <w:lang w:eastAsia="ja-JP"/>
        </w:rPr>
        <w:t xml:space="preserve"> The way to define LTE TRP/TRS requirements</w:t>
      </w:r>
    </w:p>
    <w:p w14:paraId="29B4FCDF" w14:textId="77777777" w:rsidR="007F37DF" w:rsidRPr="005E3B0A" w:rsidRDefault="00695518" w:rsidP="00EB0FB6">
      <w:pPr>
        <w:spacing w:before="120" w:after="120"/>
        <w:ind w:left="567" w:hanging="567"/>
        <w:rPr>
          <w:rFonts w:cs="Arial"/>
          <w:sz w:val="24"/>
          <w:szCs w:val="24"/>
        </w:rPr>
      </w:pPr>
      <w:r w:rsidRPr="005E3B0A">
        <w:rPr>
          <w:rFonts w:cs="Arial"/>
          <w:sz w:val="24"/>
          <w:szCs w:val="24"/>
        </w:rPr>
        <w:t>[6]</w:t>
      </w:r>
      <w:r w:rsidRPr="005E3B0A">
        <w:rPr>
          <w:rFonts w:cs="Arial"/>
          <w:sz w:val="24"/>
          <w:szCs w:val="24"/>
        </w:rPr>
        <w:tab/>
      </w:r>
      <w:r w:rsidR="001B6B40" w:rsidRPr="005E3B0A">
        <w:rPr>
          <w:rFonts w:cs="Arial"/>
          <w:noProof/>
          <w:sz w:val="24"/>
          <w:szCs w:val="24"/>
          <w:lang w:eastAsia="ko-KR"/>
        </w:rPr>
        <w:t>R4-165206</w:t>
      </w:r>
      <w:r w:rsidRPr="005E3B0A">
        <w:rPr>
          <w:rFonts w:cs="Arial"/>
          <w:noProof/>
          <w:sz w:val="24"/>
          <w:szCs w:val="24"/>
          <w:lang w:eastAsia="ko-KR"/>
        </w:rPr>
        <w:t>;</w:t>
      </w:r>
      <w:r w:rsidR="001B6B40" w:rsidRPr="005E3B0A">
        <w:rPr>
          <w:rFonts w:cs="Arial"/>
          <w:sz w:val="24"/>
          <w:szCs w:val="24"/>
        </w:rPr>
        <w:t xml:space="preserve"> OTA TRP/TRS framework improvements</w:t>
      </w:r>
    </w:p>
    <w:p w14:paraId="1F55B8A7" w14:textId="4D6C5A63" w:rsidR="007F37DF" w:rsidRPr="00741043" w:rsidRDefault="007F37DF" w:rsidP="00EB0FB6">
      <w:pPr>
        <w:spacing w:before="120" w:after="120"/>
        <w:ind w:left="567" w:hanging="567"/>
        <w:rPr>
          <w:rFonts w:cs="Arial"/>
          <w:sz w:val="24"/>
          <w:szCs w:val="24"/>
        </w:rPr>
      </w:pPr>
      <w:r w:rsidRPr="005E3B0A">
        <w:rPr>
          <w:rFonts w:cs="Arial"/>
          <w:sz w:val="24"/>
          <w:szCs w:val="24"/>
        </w:rPr>
        <w:t xml:space="preserve">[7] </w:t>
      </w:r>
      <w:r w:rsidR="00630D19">
        <w:rPr>
          <w:rFonts w:cs="Arial"/>
          <w:sz w:val="24"/>
          <w:szCs w:val="24"/>
        </w:rPr>
        <w:t xml:space="preserve">   </w:t>
      </w:r>
      <w:r w:rsidRPr="005E3B0A">
        <w:rPr>
          <w:rFonts w:cs="Arial"/>
          <w:sz w:val="24"/>
          <w:szCs w:val="24"/>
        </w:rPr>
        <w:t xml:space="preserve">RP-161323, “LTE UE TRP and TRS and UTRA Hand Phantom related UE TRP and TRS Requirements,” Telecom Italia, Vodafone, 3GPP RAN #72, </w:t>
      </w:r>
      <w:r w:rsidRPr="00741043">
        <w:rPr>
          <w:rFonts w:cs="Arial"/>
          <w:sz w:val="24"/>
          <w:szCs w:val="24"/>
        </w:rPr>
        <w:t>June 2016</w:t>
      </w:r>
    </w:p>
    <w:p w14:paraId="3D34DF5B" w14:textId="3902F015" w:rsidR="007F37DF" w:rsidRPr="00741043" w:rsidRDefault="007F37DF" w:rsidP="007F37DF">
      <w:pPr>
        <w:rPr>
          <w:rFonts w:cs="Arial"/>
          <w:sz w:val="24"/>
          <w:szCs w:val="24"/>
        </w:rPr>
      </w:pPr>
      <w:r w:rsidRPr="00741043">
        <w:rPr>
          <w:rFonts w:cs="Arial"/>
          <w:sz w:val="24"/>
          <w:szCs w:val="24"/>
        </w:rPr>
        <w:t xml:space="preserve">[8] </w:t>
      </w:r>
      <w:r w:rsidR="009D5907">
        <w:rPr>
          <w:rFonts w:cs="Arial"/>
          <w:sz w:val="24"/>
          <w:szCs w:val="24"/>
        </w:rPr>
        <w:t xml:space="preserve">   </w:t>
      </w:r>
      <w:r w:rsidRPr="00741043">
        <w:rPr>
          <w:rFonts w:cs="Arial"/>
          <w:sz w:val="24"/>
          <w:szCs w:val="24"/>
        </w:rPr>
        <w:t>TS 37.144, “UE and MS GSM, UTRA and E-UTRA over the</w:t>
      </w:r>
      <w:r w:rsidR="00741043">
        <w:rPr>
          <w:rFonts w:cs="Arial"/>
          <w:sz w:val="24"/>
          <w:szCs w:val="24"/>
        </w:rPr>
        <w:t xml:space="preserve"> air </w:t>
      </w:r>
      <w:r w:rsidR="00630D19">
        <w:rPr>
          <w:rFonts w:cs="Arial"/>
          <w:sz w:val="24"/>
          <w:szCs w:val="24"/>
        </w:rPr>
        <w:t xml:space="preserve">     </w:t>
      </w:r>
      <w:r w:rsidR="009D5907">
        <w:rPr>
          <w:rFonts w:cs="Arial"/>
          <w:sz w:val="24"/>
          <w:szCs w:val="24"/>
        </w:rPr>
        <w:t xml:space="preserve">  </w:t>
      </w:r>
      <w:r w:rsidR="00CD4E93" w:rsidRPr="00741043">
        <w:rPr>
          <w:rFonts w:cs="Arial"/>
          <w:sz w:val="24"/>
          <w:szCs w:val="24"/>
        </w:rPr>
        <w:t>performance requirements,”</w:t>
      </w:r>
      <w:r w:rsidR="00741043">
        <w:rPr>
          <w:rFonts w:cs="Arial"/>
          <w:sz w:val="24"/>
          <w:szCs w:val="24"/>
        </w:rPr>
        <w:t xml:space="preserve"> </w:t>
      </w:r>
      <w:r w:rsidRPr="00741043">
        <w:rPr>
          <w:rFonts w:cs="Arial"/>
          <w:sz w:val="24"/>
          <w:szCs w:val="24"/>
        </w:rPr>
        <w:t>V14.2.0, December 2016</w:t>
      </w:r>
    </w:p>
    <w:p w14:paraId="30696E5E" w14:textId="77777777" w:rsidR="007F37DF" w:rsidRPr="00741043" w:rsidRDefault="007F37DF" w:rsidP="007F37DF">
      <w:pPr>
        <w:rPr>
          <w:rFonts w:cs="Arial"/>
          <w:sz w:val="24"/>
          <w:szCs w:val="24"/>
        </w:rPr>
      </w:pPr>
    </w:p>
    <w:p w14:paraId="62F91BA5" w14:textId="4C19395B" w:rsidR="007F37DF" w:rsidRPr="00741043" w:rsidRDefault="007F37DF" w:rsidP="005E3B0A">
      <w:pPr>
        <w:rPr>
          <w:rFonts w:cs="Arial"/>
          <w:sz w:val="24"/>
          <w:szCs w:val="24"/>
        </w:rPr>
      </w:pPr>
      <w:r w:rsidRPr="00741043">
        <w:rPr>
          <w:rFonts w:cs="Arial"/>
          <w:sz w:val="24"/>
          <w:szCs w:val="24"/>
        </w:rPr>
        <w:t xml:space="preserve">[9] </w:t>
      </w:r>
      <w:r w:rsidR="009D5907">
        <w:rPr>
          <w:rFonts w:cs="Arial"/>
          <w:sz w:val="24"/>
          <w:szCs w:val="24"/>
        </w:rPr>
        <w:t xml:space="preserve">   </w:t>
      </w:r>
      <w:r w:rsidRPr="00741043">
        <w:rPr>
          <w:rFonts w:cs="Arial"/>
          <w:sz w:val="24"/>
          <w:szCs w:val="24"/>
        </w:rPr>
        <w:t>R4-1610787, “LTE UE TRP and TRS Requirements for</w:t>
      </w:r>
      <w:r w:rsidR="00741043">
        <w:rPr>
          <w:rFonts w:cs="Arial"/>
          <w:sz w:val="24"/>
          <w:szCs w:val="24"/>
        </w:rPr>
        <w:t xml:space="preserve"> North American Bands,” Sprint,</w:t>
      </w:r>
      <w:r w:rsidRPr="00741043">
        <w:rPr>
          <w:rFonts w:cs="Arial"/>
          <w:sz w:val="24"/>
          <w:szCs w:val="24"/>
        </w:rPr>
        <w:t>AT&amp;T, Verizon, SouthernLINC, Bell Canada, Dish, 3GPP RAN4 #81, November 2016</w:t>
      </w:r>
    </w:p>
    <w:sectPr w:rsidR="007F37DF" w:rsidRPr="00741043" w:rsidSect="00A53DF3">
      <w:headerReference w:type="default" r:id="rId8"/>
      <w:footerReference w:type="default" r:id="rId9"/>
      <w:pgSz w:w="12240" w:h="15840" w:code="1"/>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90D8F" w14:textId="77777777" w:rsidR="000E71A0" w:rsidRDefault="000E71A0">
      <w:r>
        <w:separator/>
      </w:r>
    </w:p>
  </w:endnote>
  <w:endnote w:type="continuationSeparator" w:id="0">
    <w:p w14:paraId="7B8CCC55" w14:textId="77777777" w:rsidR="000E71A0" w:rsidRDefault="000E7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E1002EFF" w:usb1="C000605B" w:usb2="00000029" w:usb3="00000000" w:csb0="000101FF" w:csb1="00000000"/>
  </w:font>
  <w:font w:name="宋体">
    <w:charset w:val="86"/>
    <w:family w:val="auto"/>
    <w:pitch w:val="variable"/>
    <w:sig w:usb0="00000003" w:usb1="288F0000" w:usb2="00000016" w:usb3="00000000" w:csb0="00040001"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49BD8" w14:textId="4D2B8282" w:rsidR="004332FE" w:rsidRPr="004E0FB1" w:rsidRDefault="00B32066" w:rsidP="004E0FB1">
    <w:pPr>
      <w:pStyle w:val="Footer"/>
      <w:jc w:val="right"/>
    </w:pPr>
    <w:r>
      <w:rPr>
        <w:rStyle w:val="PageNumber"/>
      </w:rPr>
      <w:t>V1.0</w:t>
    </w:r>
    <w:r>
      <w:rPr>
        <w:rStyle w:val="PageNumber"/>
      </w:rPr>
      <w:tab/>
    </w:r>
    <w:r>
      <w:rPr>
        <w:rStyle w:val="PageNumber"/>
      </w:rPr>
      <w:tab/>
    </w:r>
    <w:r w:rsidR="004332FE">
      <w:rPr>
        <w:rStyle w:val="PageNumber"/>
      </w:rPr>
      <w:t xml:space="preserve">Page </w:t>
    </w:r>
    <w:r w:rsidR="004332FE">
      <w:rPr>
        <w:rStyle w:val="PageNumber"/>
      </w:rPr>
      <w:fldChar w:fldCharType="begin"/>
    </w:r>
    <w:r w:rsidR="004332FE">
      <w:rPr>
        <w:rStyle w:val="PageNumber"/>
      </w:rPr>
      <w:instrText xml:space="preserve"> PAGE </w:instrText>
    </w:r>
    <w:r w:rsidR="004332FE">
      <w:rPr>
        <w:rStyle w:val="PageNumber"/>
      </w:rPr>
      <w:fldChar w:fldCharType="separate"/>
    </w:r>
    <w:r w:rsidR="000E71A0">
      <w:rPr>
        <w:rStyle w:val="PageNumber"/>
        <w:noProof/>
      </w:rPr>
      <w:t>1</w:t>
    </w:r>
    <w:r w:rsidR="004332FE">
      <w:rPr>
        <w:rStyle w:val="PageNumber"/>
      </w:rPr>
      <w:fldChar w:fldCharType="end"/>
    </w:r>
    <w:r w:rsidR="004332FE">
      <w:rPr>
        <w:rStyle w:val="PageNumber"/>
      </w:rPr>
      <w:t xml:space="preserve"> of </w:t>
    </w:r>
    <w:r w:rsidR="004332FE">
      <w:rPr>
        <w:rStyle w:val="PageNumber"/>
      </w:rPr>
      <w:fldChar w:fldCharType="begin"/>
    </w:r>
    <w:r w:rsidR="004332FE">
      <w:rPr>
        <w:rStyle w:val="PageNumber"/>
      </w:rPr>
      <w:instrText xml:space="preserve"> NUMPAGES </w:instrText>
    </w:r>
    <w:r w:rsidR="004332FE">
      <w:rPr>
        <w:rStyle w:val="PageNumber"/>
      </w:rPr>
      <w:fldChar w:fldCharType="separate"/>
    </w:r>
    <w:r w:rsidR="000E71A0">
      <w:rPr>
        <w:rStyle w:val="PageNumber"/>
        <w:noProof/>
      </w:rPr>
      <w:t>1</w:t>
    </w:r>
    <w:r w:rsidR="004332F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D2B9C" w14:textId="77777777" w:rsidR="000E71A0" w:rsidRDefault="000E71A0">
      <w:r>
        <w:separator/>
      </w:r>
    </w:p>
  </w:footnote>
  <w:footnote w:type="continuationSeparator" w:id="0">
    <w:p w14:paraId="41972304" w14:textId="77777777" w:rsidR="000E71A0" w:rsidRDefault="000E71A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FD9B0" w14:textId="051DA85A" w:rsidR="004332FE" w:rsidRPr="00C65332" w:rsidRDefault="004332FE" w:rsidP="00C65332">
    <w:pPr>
      <w:rPr>
        <w:rFonts w:ascii="Times New Roman" w:hAnsi="Times New Roman"/>
        <w:b/>
        <w:sz w:val="24"/>
        <w:szCs w:val="24"/>
        <w:lang w:val="en-GB" w:eastAsia="en-GB"/>
      </w:rPr>
    </w:pPr>
    <w:r w:rsidRPr="00C65332">
      <w:rPr>
        <w:b/>
        <w:noProof/>
        <w:sz w:val="24"/>
        <w:szCs w:val="24"/>
        <w:lang w:val="sv-SE"/>
      </w:rPr>
      <w:t xml:space="preserve">3GPP TSG-RAN WG4 </w:t>
    </w:r>
    <w:r w:rsidRPr="00C65332">
      <w:rPr>
        <w:b/>
        <w:color w:val="000000"/>
        <w:sz w:val="24"/>
        <w:szCs w:val="24"/>
        <w:shd w:val="clear" w:color="auto" w:fill="FFFFFF"/>
        <w:lang w:val="en-GB" w:eastAsia="en-GB"/>
      </w:rPr>
      <w:t>#82</w:t>
    </w:r>
    <w:r w:rsidRPr="00C65332">
      <w:rPr>
        <w:rFonts w:ascii="Times New Roman" w:hAnsi="Times New Roman"/>
        <w:b/>
        <w:sz w:val="24"/>
        <w:szCs w:val="24"/>
        <w:lang w:val="en-GB" w:eastAsia="en-GB"/>
      </w:rPr>
      <w:tab/>
    </w:r>
    <w:r w:rsidRPr="00C65332">
      <w:rPr>
        <w:rFonts w:ascii="Times New Roman" w:hAnsi="Times New Roman"/>
        <w:b/>
        <w:sz w:val="24"/>
        <w:szCs w:val="24"/>
        <w:lang w:val="en-GB" w:eastAsia="en-GB"/>
      </w:rPr>
      <w:tab/>
    </w:r>
    <w:r w:rsidRPr="00C65332">
      <w:rPr>
        <w:rFonts w:ascii="Times New Roman" w:hAnsi="Times New Roman"/>
        <w:b/>
        <w:sz w:val="24"/>
        <w:szCs w:val="24"/>
        <w:lang w:val="en-GB" w:eastAsia="en-GB"/>
      </w:rPr>
      <w:tab/>
    </w:r>
    <w:r w:rsidRPr="00C65332">
      <w:rPr>
        <w:rFonts w:ascii="Times New Roman" w:hAnsi="Times New Roman"/>
        <w:b/>
        <w:sz w:val="24"/>
        <w:szCs w:val="24"/>
        <w:lang w:val="en-GB" w:eastAsia="en-GB"/>
      </w:rPr>
      <w:tab/>
    </w:r>
    <w:r w:rsidRPr="00C65332">
      <w:rPr>
        <w:rFonts w:ascii="Times New Roman" w:hAnsi="Times New Roman"/>
        <w:b/>
        <w:sz w:val="24"/>
        <w:szCs w:val="24"/>
        <w:lang w:val="en-GB" w:eastAsia="en-GB"/>
      </w:rPr>
      <w:tab/>
    </w:r>
    <w:r w:rsidRPr="00C65332">
      <w:rPr>
        <w:rFonts w:ascii="Times New Roman" w:hAnsi="Times New Roman"/>
        <w:b/>
        <w:sz w:val="24"/>
        <w:szCs w:val="24"/>
        <w:lang w:val="en-GB" w:eastAsia="en-GB"/>
      </w:rPr>
      <w:tab/>
    </w:r>
    <w:r w:rsidRPr="00C65332">
      <w:rPr>
        <w:b/>
        <w:noProof/>
        <w:sz w:val="24"/>
        <w:szCs w:val="24"/>
        <w:lang w:val="sv-SE"/>
      </w:rPr>
      <w:t>R4-</w:t>
    </w:r>
    <w:r>
      <w:rPr>
        <w:b/>
        <w:noProof/>
        <w:sz w:val="24"/>
        <w:szCs w:val="24"/>
        <w:lang w:val="sv-SE"/>
      </w:rPr>
      <w:t>1700</w:t>
    </w:r>
    <w:r w:rsidR="00880BA2">
      <w:rPr>
        <w:b/>
        <w:noProof/>
        <w:sz w:val="24"/>
        <w:szCs w:val="24"/>
        <w:lang w:val="sv-SE"/>
      </w:rPr>
      <w:t>442</w:t>
    </w:r>
  </w:p>
  <w:p w14:paraId="533F1B37" w14:textId="77777777" w:rsidR="004332FE" w:rsidRPr="007D36DB" w:rsidRDefault="004332FE" w:rsidP="007D36DB">
    <w:pPr>
      <w:pStyle w:val="Header"/>
      <w:spacing w:before="120" w:after="120"/>
      <w:rPr>
        <w:rFonts w:eastAsia="宋体" w:cs="Arial"/>
        <w:b/>
        <w:bCs/>
        <w:sz w:val="22"/>
        <w:szCs w:val="22"/>
        <w:lang w:eastAsia="zh-CN"/>
      </w:rPr>
    </w:pPr>
    <w:r>
      <w:rPr>
        <w:rFonts w:eastAsia="宋体" w:cs="Arial"/>
        <w:b/>
        <w:sz w:val="22"/>
        <w:szCs w:val="22"/>
        <w:lang w:eastAsia="zh-CN"/>
      </w:rPr>
      <w:t>Athens, Greece</w:t>
    </w:r>
    <w:r w:rsidRPr="007D36DB">
      <w:rPr>
        <w:rFonts w:eastAsia="宋体" w:cs="Arial" w:hint="eastAsia"/>
        <w:b/>
        <w:sz w:val="22"/>
        <w:szCs w:val="22"/>
        <w:lang w:eastAsia="zh-CN"/>
      </w:rPr>
      <w:t>,</w:t>
    </w:r>
    <w:r w:rsidRPr="007D36DB">
      <w:rPr>
        <w:rFonts w:cs="Arial"/>
        <w:b/>
        <w:bCs/>
        <w:sz w:val="22"/>
        <w:szCs w:val="22"/>
      </w:rPr>
      <w:t xml:space="preserve"> </w:t>
    </w:r>
    <w:r w:rsidRPr="007D36DB">
      <w:rPr>
        <w:rFonts w:eastAsia="宋体" w:cs="Arial" w:hint="eastAsia"/>
        <w:b/>
        <w:bCs/>
        <w:sz w:val="22"/>
        <w:szCs w:val="22"/>
        <w:lang w:eastAsia="zh-CN"/>
      </w:rPr>
      <w:t>1</w:t>
    </w:r>
    <w:r>
      <w:rPr>
        <w:rFonts w:eastAsia="宋体" w:cs="Arial" w:hint="eastAsia"/>
        <w:b/>
        <w:bCs/>
        <w:sz w:val="22"/>
        <w:szCs w:val="22"/>
        <w:lang w:eastAsia="zh-CN"/>
      </w:rPr>
      <w:t>3</w:t>
    </w:r>
    <w:r w:rsidRPr="00591F2F">
      <w:rPr>
        <w:rFonts w:eastAsia="宋体" w:cs="Arial" w:hint="eastAsia"/>
        <w:b/>
        <w:bCs/>
        <w:sz w:val="22"/>
        <w:szCs w:val="22"/>
        <w:vertAlign w:val="superscript"/>
        <w:lang w:eastAsia="zh-CN"/>
      </w:rPr>
      <w:t>th</w:t>
    </w:r>
    <w:r>
      <w:rPr>
        <w:rFonts w:eastAsia="宋体" w:cs="Arial" w:hint="eastAsia"/>
        <w:b/>
        <w:bCs/>
        <w:sz w:val="22"/>
        <w:szCs w:val="22"/>
        <w:lang w:eastAsia="zh-CN"/>
      </w:rPr>
      <w:t xml:space="preserve"> </w:t>
    </w:r>
    <w:r w:rsidRPr="007D36DB">
      <w:rPr>
        <w:rFonts w:cs="Arial"/>
        <w:b/>
        <w:bCs/>
        <w:sz w:val="22"/>
        <w:szCs w:val="22"/>
      </w:rPr>
      <w:t xml:space="preserve">- </w:t>
    </w:r>
    <w:r w:rsidRPr="007D36DB">
      <w:rPr>
        <w:rFonts w:eastAsia="宋体" w:cs="Arial" w:hint="eastAsia"/>
        <w:b/>
        <w:bCs/>
        <w:sz w:val="22"/>
        <w:szCs w:val="22"/>
        <w:lang w:eastAsia="zh-CN"/>
      </w:rPr>
      <w:t>1</w:t>
    </w:r>
    <w:r>
      <w:rPr>
        <w:rFonts w:eastAsia="宋体" w:cs="Arial" w:hint="eastAsia"/>
        <w:b/>
        <w:bCs/>
        <w:sz w:val="22"/>
        <w:szCs w:val="22"/>
        <w:lang w:eastAsia="zh-CN"/>
      </w:rPr>
      <w:t>7</w:t>
    </w:r>
    <w:r w:rsidRPr="007D36DB">
      <w:rPr>
        <w:rFonts w:cs="Arial"/>
        <w:b/>
        <w:bCs/>
        <w:sz w:val="22"/>
        <w:szCs w:val="22"/>
        <w:vertAlign w:val="superscript"/>
      </w:rPr>
      <w:t>th</w:t>
    </w:r>
    <w:r w:rsidRPr="007D36DB">
      <w:rPr>
        <w:rFonts w:cs="Arial"/>
        <w:b/>
        <w:bCs/>
        <w:sz w:val="22"/>
        <w:szCs w:val="22"/>
      </w:rPr>
      <w:t xml:space="preserve"> </w:t>
    </w:r>
    <w:r>
      <w:rPr>
        <w:rFonts w:eastAsia="宋体" w:cs="Arial" w:hint="eastAsia"/>
        <w:b/>
        <w:bCs/>
        <w:sz w:val="22"/>
        <w:szCs w:val="22"/>
        <w:lang w:eastAsia="zh-CN"/>
      </w:rPr>
      <w:t>Feb</w:t>
    </w:r>
    <w:r>
      <w:rPr>
        <w:rFonts w:cs="Arial"/>
        <w:b/>
        <w:bCs/>
        <w:sz w:val="22"/>
        <w:szCs w:val="22"/>
      </w:rPr>
      <w:t xml:space="preserve"> 2017</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AE7687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5C67819"/>
    <w:multiLevelType w:val="hybridMultilevel"/>
    <w:tmpl w:val="40E8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67E0E67"/>
    <w:multiLevelType w:val="hybridMultilevel"/>
    <w:tmpl w:val="72FA84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6EA3EA7"/>
    <w:multiLevelType w:val="hybridMultilevel"/>
    <w:tmpl w:val="ABE61FF0"/>
    <w:lvl w:ilvl="0" w:tplc="0409000F">
      <w:start w:val="1"/>
      <w:numFmt w:val="decimal"/>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799776F"/>
    <w:multiLevelType w:val="hybridMultilevel"/>
    <w:tmpl w:val="ABE61FF0"/>
    <w:lvl w:ilvl="0" w:tplc="0409000F">
      <w:start w:val="1"/>
      <w:numFmt w:val="decimal"/>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3B97958"/>
    <w:multiLevelType w:val="hybridMultilevel"/>
    <w:tmpl w:val="2F765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B566BD"/>
    <w:multiLevelType w:val="hybridMultilevel"/>
    <w:tmpl w:val="721066AE"/>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1"/>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A11"/>
    <w:rsid w:val="00000CC6"/>
    <w:rsid w:val="00003977"/>
    <w:rsid w:val="00032940"/>
    <w:rsid w:val="00035C54"/>
    <w:rsid w:val="00043A11"/>
    <w:rsid w:val="000512E0"/>
    <w:rsid w:val="000B1CA3"/>
    <w:rsid w:val="000B317B"/>
    <w:rsid w:val="000B54E9"/>
    <w:rsid w:val="000B6015"/>
    <w:rsid w:val="000C1DCE"/>
    <w:rsid w:val="000C66AE"/>
    <w:rsid w:val="000D28EE"/>
    <w:rsid w:val="000D2D33"/>
    <w:rsid w:val="000E46C8"/>
    <w:rsid w:val="000E6059"/>
    <w:rsid w:val="000E71A0"/>
    <w:rsid w:val="000F1CAA"/>
    <w:rsid w:val="001034F3"/>
    <w:rsid w:val="00113F0F"/>
    <w:rsid w:val="00115167"/>
    <w:rsid w:val="00117D2E"/>
    <w:rsid w:val="0012027E"/>
    <w:rsid w:val="00120FF1"/>
    <w:rsid w:val="00140548"/>
    <w:rsid w:val="001414DC"/>
    <w:rsid w:val="001477EB"/>
    <w:rsid w:val="00172553"/>
    <w:rsid w:val="001730F2"/>
    <w:rsid w:val="00173B20"/>
    <w:rsid w:val="001746E3"/>
    <w:rsid w:val="001A00FA"/>
    <w:rsid w:val="001A0E83"/>
    <w:rsid w:val="001B6B40"/>
    <w:rsid w:val="001D4000"/>
    <w:rsid w:val="002058D8"/>
    <w:rsid w:val="00214128"/>
    <w:rsid w:val="00230669"/>
    <w:rsid w:val="00237DBA"/>
    <w:rsid w:val="00243767"/>
    <w:rsid w:val="0025360F"/>
    <w:rsid w:val="0026611E"/>
    <w:rsid w:val="00287756"/>
    <w:rsid w:val="0029041C"/>
    <w:rsid w:val="002D0B3D"/>
    <w:rsid w:val="00312894"/>
    <w:rsid w:val="00344C2A"/>
    <w:rsid w:val="00361B46"/>
    <w:rsid w:val="0036650A"/>
    <w:rsid w:val="00390A85"/>
    <w:rsid w:val="00391CB3"/>
    <w:rsid w:val="00392FBA"/>
    <w:rsid w:val="003A16D7"/>
    <w:rsid w:val="003A2D92"/>
    <w:rsid w:val="003A7DF0"/>
    <w:rsid w:val="003B0F68"/>
    <w:rsid w:val="003D3952"/>
    <w:rsid w:val="00403263"/>
    <w:rsid w:val="004218B4"/>
    <w:rsid w:val="004332FE"/>
    <w:rsid w:val="00441BDF"/>
    <w:rsid w:val="00463011"/>
    <w:rsid w:val="00466C93"/>
    <w:rsid w:val="0047601F"/>
    <w:rsid w:val="0049175C"/>
    <w:rsid w:val="004B7A4B"/>
    <w:rsid w:val="004C1DB2"/>
    <w:rsid w:val="004C3A0A"/>
    <w:rsid w:val="004D6494"/>
    <w:rsid w:val="004E0FB1"/>
    <w:rsid w:val="00501862"/>
    <w:rsid w:val="00501925"/>
    <w:rsid w:val="005045FA"/>
    <w:rsid w:val="0051558A"/>
    <w:rsid w:val="00517381"/>
    <w:rsid w:val="00531802"/>
    <w:rsid w:val="005420AC"/>
    <w:rsid w:val="00550320"/>
    <w:rsid w:val="00570BCA"/>
    <w:rsid w:val="00591F2F"/>
    <w:rsid w:val="005926F8"/>
    <w:rsid w:val="005A643B"/>
    <w:rsid w:val="005E0EE9"/>
    <w:rsid w:val="005E3B0A"/>
    <w:rsid w:val="005E679E"/>
    <w:rsid w:val="005F0EED"/>
    <w:rsid w:val="00630D19"/>
    <w:rsid w:val="00655060"/>
    <w:rsid w:val="00655532"/>
    <w:rsid w:val="0066345B"/>
    <w:rsid w:val="00663472"/>
    <w:rsid w:val="00664FEF"/>
    <w:rsid w:val="00673D1A"/>
    <w:rsid w:val="00695518"/>
    <w:rsid w:val="006A1975"/>
    <w:rsid w:val="006A230F"/>
    <w:rsid w:val="006B544B"/>
    <w:rsid w:val="006E043C"/>
    <w:rsid w:val="006E1E86"/>
    <w:rsid w:val="00704AB0"/>
    <w:rsid w:val="00735356"/>
    <w:rsid w:val="00741043"/>
    <w:rsid w:val="007471E5"/>
    <w:rsid w:val="00756025"/>
    <w:rsid w:val="007714CE"/>
    <w:rsid w:val="0077202D"/>
    <w:rsid w:val="00775D46"/>
    <w:rsid w:val="00775DEE"/>
    <w:rsid w:val="00782D5D"/>
    <w:rsid w:val="0078713D"/>
    <w:rsid w:val="007902F3"/>
    <w:rsid w:val="00791ED6"/>
    <w:rsid w:val="007B12FD"/>
    <w:rsid w:val="007D36DB"/>
    <w:rsid w:val="007E169F"/>
    <w:rsid w:val="007E4B96"/>
    <w:rsid w:val="007E609F"/>
    <w:rsid w:val="007F0C03"/>
    <w:rsid w:val="007F2055"/>
    <w:rsid w:val="007F20B0"/>
    <w:rsid w:val="007F37DF"/>
    <w:rsid w:val="00804C7F"/>
    <w:rsid w:val="00812BC5"/>
    <w:rsid w:val="0081344E"/>
    <w:rsid w:val="00814CFF"/>
    <w:rsid w:val="00822825"/>
    <w:rsid w:val="00834F18"/>
    <w:rsid w:val="00836E0D"/>
    <w:rsid w:val="00850EC5"/>
    <w:rsid w:val="008569B6"/>
    <w:rsid w:val="00856C71"/>
    <w:rsid w:val="00857F38"/>
    <w:rsid w:val="00880BA2"/>
    <w:rsid w:val="00882D0F"/>
    <w:rsid w:val="00887C85"/>
    <w:rsid w:val="008A0ED6"/>
    <w:rsid w:val="008D5B56"/>
    <w:rsid w:val="008D7BC4"/>
    <w:rsid w:val="008E3312"/>
    <w:rsid w:val="008E6468"/>
    <w:rsid w:val="008F6448"/>
    <w:rsid w:val="009214D8"/>
    <w:rsid w:val="00922BD4"/>
    <w:rsid w:val="0095112E"/>
    <w:rsid w:val="00951993"/>
    <w:rsid w:val="0095602D"/>
    <w:rsid w:val="009633CC"/>
    <w:rsid w:val="00991419"/>
    <w:rsid w:val="009A0C28"/>
    <w:rsid w:val="009A2B12"/>
    <w:rsid w:val="009B672A"/>
    <w:rsid w:val="009D5907"/>
    <w:rsid w:val="009E352A"/>
    <w:rsid w:val="009F6F73"/>
    <w:rsid w:val="00A122DC"/>
    <w:rsid w:val="00A17728"/>
    <w:rsid w:val="00A2089A"/>
    <w:rsid w:val="00A22B0D"/>
    <w:rsid w:val="00A256B4"/>
    <w:rsid w:val="00A37B66"/>
    <w:rsid w:val="00A40D95"/>
    <w:rsid w:val="00A53DF3"/>
    <w:rsid w:val="00A85FF0"/>
    <w:rsid w:val="00A8639B"/>
    <w:rsid w:val="00A8639F"/>
    <w:rsid w:val="00A94446"/>
    <w:rsid w:val="00AA1C8C"/>
    <w:rsid w:val="00AC2E5F"/>
    <w:rsid w:val="00AC64DD"/>
    <w:rsid w:val="00AD414A"/>
    <w:rsid w:val="00AE5978"/>
    <w:rsid w:val="00AF095D"/>
    <w:rsid w:val="00B107F0"/>
    <w:rsid w:val="00B13151"/>
    <w:rsid w:val="00B22D1B"/>
    <w:rsid w:val="00B32066"/>
    <w:rsid w:val="00B37438"/>
    <w:rsid w:val="00B5341F"/>
    <w:rsid w:val="00B569D1"/>
    <w:rsid w:val="00B661F2"/>
    <w:rsid w:val="00BB2108"/>
    <w:rsid w:val="00BB2820"/>
    <w:rsid w:val="00BB57AB"/>
    <w:rsid w:val="00BC0330"/>
    <w:rsid w:val="00BD4CE9"/>
    <w:rsid w:val="00BE15FA"/>
    <w:rsid w:val="00BE5648"/>
    <w:rsid w:val="00BF20A2"/>
    <w:rsid w:val="00BF3862"/>
    <w:rsid w:val="00C12D13"/>
    <w:rsid w:val="00C15B45"/>
    <w:rsid w:val="00C3577E"/>
    <w:rsid w:val="00C61F84"/>
    <w:rsid w:val="00C65332"/>
    <w:rsid w:val="00C82628"/>
    <w:rsid w:val="00C84411"/>
    <w:rsid w:val="00C87A06"/>
    <w:rsid w:val="00C95ECA"/>
    <w:rsid w:val="00C96ABB"/>
    <w:rsid w:val="00C972D1"/>
    <w:rsid w:val="00CB16BF"/>
    <w:rsid w:val="00CB1E04"/>
    <w:rsid w:val="00CB38B4"/>
    <w:rsid w:val="00CB6CC0"/>
    <w:rsid w:val="00CC48FF"/>
    <w:rsid w:val="00CD0857"/>
    <w:rsid w:val="00CD2C1A"/>
    <w:rsid w:val="00CD4E93"/>
    <w:rsid w:val="00CE58AA"/>
    <w:rsid w:val="00D00BA4"/>
    <w:rsid w:val="00D01C9C"/>
    <w:rsid w:val="00D2102C"/>
    <w:rsid w:val="00D24E45"/>
    <w:rsid w:val="00D46092"/>
    <w:rsid w:val="00D65BF7"/>
    <w:rsid w:val="00D83BD7"/>
    <w:rsid w:val="00DC136A"/>
    <w:rsid w:val="00DC15E2"/>
    <w:rsid w:val="00DE48D6"/>
    <w:rsid w:val="00DF238A"/>
    <w:rsid w:val="00E062F4"/>
    <w:rsid w:val="00E06B23"/>
    <w:rsid w:val="00E2650D"/>
    <w:rsid w:val="00E432FB"/>
    <w:rsid w:val="00E45875"/>
    <w:rsid w:val="00E74772"/>
    <w:rsid w:val="00E766B8"/>
    <w:rsid w:val="00E83F4C"/>
    <w:rsid w:val="00E93004"/>
    <w:rsid w:val="00EA1867"/>
    <w:rsid w:val="00EB0FB6"/>
    <w:rsid w:val="00EB7F7C"/>
    <w:rsid w:val="00EC56F9"/>
    <w:rsid w:val="00ED0FFC"/>
    <w:rsid w:val="00ED4B41"/>
    <w:rsid w:val="00ED71BF"/>
    <w:rsid w:val="00EE14E7"/>
    <w:rsid w:val="00EF0072"/>
    <w:rsid w:val="00EF5897"/>
    <w:rsid w:val="00F12483"/>
    <w:rsid w:val="00F17526"/>
    <w:rsid w:val="00F23608"/>
    <w:rsid w:val="00F27491"/>
    <w:rsid w:val="00F311A0"/>
    <w:rsid w:val="00F35C8D"/>
    <w:rsid w:val="00F36918"/>
    <w:rsid w:val="00F4222D"/>
    <w:rsid w:val="00F42FC7"/>
    <w:rsid w:val="00F43372"/>
    <w:rsid w:val="00F84DEF"/>
    <w:rsid w:val="00F91D6F"/>
    <w:rsid w:val="00FB6688"/>
    <w:rsid w:val="00FB7636"/>
    <w:rsid w:val="00FC3827"/>
    <w:rsid w:val="00FD0642"/>
    <w:rsid w:val="00FD6BCA"/>
    <w:rsid w:val="00FE7E3C"/>
    <w:rsid w:val="00FF0BF6"/>
    <w:rsid w:val="00FF0CF4"/>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3B063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iPriority="99" w:unhideWhenUsed="1"/>
    <w:lsdException w:name="Note Level 2" w:semiHidden="1" w:uiPriority="1" w:unhideWhenUsed="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widowControl w:val="0"/>
    </w:pPr>
    <w:rPr>
      <w:rFonts w:ascii="Arial" w:hAnsi="Arial"/>
    </w:rPr>
  </w:style>
  <w:style w:type="paragraph" w:styleId="Heading1">
    <w:name w:val="heading 1"/>
    <w:basedOn w:val="Normal"/>
    <w:next w:val="Normal"/>
    <w:qFormat/>
    <w:pPr>
      <w:keepNext/>
      <w:widowControl/>
      <w:outlineLvl w:val="0"/>
    </w:pPr>
    <w:rPr>
      <w:b/>
      <w:sz w:val="24"/>
      <w:u w:val="single"/>
      <w:lang w:val="en-GB"/>
    </w:rPr>
  </w:style>
  <w:style w:type="paragraph" w:styleId="Heading2">
    <w:name w:val="heading 2"/>
    <w:basedOn w:val="Normal"/>
    <w:next w:val="Normal"/>
    <w:qFormat/>
    <w:pPr>
      <w:keepNext/>
      <w:widowControl/>
      <w:outlineLvl w:val="1"/>
    </w:pPr>
    <w:rPr>
      <w:b/>
      <w:lang w:val="en-GB"/>
    </w:rPr>
  </w:style>
  <w:style w:type="paragraph" w:styleId="Heading3">
    <w:name w:val="heading 3"/>
    <w:basedOn w:val="Normal"/>
    <w:next w:val="Normal"/>
    <w:qFormat/>
    <w:pPr>
      <w:keepNext/>
      <w:outlineLvl w:val="2"/>
    </w:pPr>
    <w:rPr>
      <w:b/>
      <w:bCs/>
      <w:sz w:val="24"/>
    </w:rPr>
  </w:style>
  <w:style w:type="paragraph" w:styleId="Heading4">
    <w:name w:val="heading 4"/>
    <w:basedOn w:val="Normal"/>
    <w:next w:val="Normal"/>
    <w:qFormat/>
    <w:pPr>
      <w:keepNext/>
      <w:outlineLvl w:val="3"/>
    </w:pPr>
    <w:rPr>
      <w:rFonts w:ascii="Helvetica" w:hAnsi="Helvetic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widowControl/>
      <w:jc w:val="center"/>
    </w:pPr>
    <w:rPr>
      <w:b/>
      <w:sz w:val="36"/>
      <w:lang w:val="en-GB"/>
    </w:rPr>
  </w:style>
  <w:style w:type="paragraph" w:styleId="Subtitle">
    <w:name w:val="Subtitle"/>
    <w:basedOn w:val="Normal"/>
    <w:qFormat/>
    <w:rPr>
      <w:b/>
      <w:bCs/>
      <w:sz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character" w:styleId="Hyperlink">
    <w:name w:val="Hyperlink"/>
    <w:rsid w:val="00C3577E"/>
    <w:rPr>
      <w:color w:val="0000FF"/>
      <w:u w:val="single"/>
    </w:rPr>
  </w:style>
  <w:style w:type="paragraph" w:styleId="BalloonText">
    <w:name w:val="Balloon Text"/>
    <w:basedOn w:val="Normal"/>
    <w:link w:val="BalloonTextChar"/>
    <w:rsid w:val="00F42FC7"/>
    <w:rPr>
      <w:rFonts w:ascii="Tahoma" w:hAnsi="Tahoma"/>
      <w:sz w:val="16"/>
      <w:szCs w:val="16"/>
      <w:lang w:val="x-none" w:eastAsia="x-none"/>
    </w:rPr>
  </w:style>
  <w:style w:type="character" w:customStyle="1" w:styleId="BalloonTextChar">
    <w:name w:val="Balloon Text Char"/>
    <w:link w:val="BalloonText"/>
    <w:rsid w:val="00F42FC7"/>
    <w:rPr>
      <w:rFonts w:ascii="Tahoma" w:hAnsi="Tahoma" w:cs="Tahoma"/>
      <w:sz w:val="16"/>
      <w:szCs w:val="16"/>
    </w:rPr>
  </w:style>
  <w:style w:type="character" w:customStyle="1" w:styleId="FooterChar">
    <w:name w:val="Footer Char"/>
    <w:link w:val="Footer"/>
    <w:uiPriority w:val="99"/>
    <w:rsid w:val="007F2055"/>
    <w:rPr>
      <w:rFonts w:ascii="Arial" w:hAnsi="Arial"/>
    </w:rPr>
  </w:style>
  <w:style w:type="character" w:styleId="CommentReference">
    <w:name w:val="annotation reference"/>
    <w:rsid w:val="00115167"/>
    <w:rPr>
      <w:sz w:val="18"/>
      <w:szCs w:val="18"/>
    </w:rPr>
  </w:style>
  <w:style w:type="paragraph" w:styleId="CommentText">
    <w:name w:val="annotation text"/>
    <w:basedOn w:val="Normal"/>
    <w:link w:val="CommentTextChar"/>
    <w:rsid w:val="00115167"/>
    <w:rPr>
      <w:sz w:val="24"/>
      <w:szCs w:val="24"/>
    </w:rPr>
  </w:style>
  <w:style w:type="character" w:customStyle="1" w:styleId="CommentTextChar">
    <w:name w:val="Comment Text Char"/>
    <w:link w:val="CommentText"/>
    <w:rsid w:val="00115167"/>
    <w:rPr>
      <w:rFonts w:ascii="Arial" w:hAnsi="Arial"/>
      <w:sz w:val="24"/>
      <w:szCs w:val="24"/>
    </w:rPr>
  </w:style>
  <w:style w:type="paragraph" w:styleId="CommentSubject">
    <w:name w:val="annotation subject"/>
    <w:basedOn w:val="CommentText"/>
    <w:next w:val="CommentText"/>
    <w:link w:val="CommentSubjectChar"/>
    <w:rsid w:val="00115167"/>
    <w:rPr>
      <w:b/>
      <w:bCs/>
      <w:sz w:val="20"/>
      <w:szCs w:val="20"/>
    </w:rPr>
  </w:style>
  <w:style w:type="character" w:customStyle="1" w:styleId="CommentSubjectChar">
    <w:name w:val="Comment Subject Char"/>
    <w:link w:val="CommentSubject"/>
    <w:rsid w:val="00115167"/>
    <w:rPr>
      <w:rFonts w:ascii="Arial" w:hAnsi="Arial"/>
      <w:b/>
      <w:bCs/>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639B"/>
    <w:rPr>
      <w:rFonts w:ascii="Arial" w:hAnsi="Arial"/>
    </w:rPr>
  </w:style>
  <w:style w:type="character" w:customStyle="1" w:styleId="textbodybold1">
    <w:name w:val="textbodybold1"/>
    <w:rsid w:val="007D36DB"/>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249303">
      <w:bodyDiv w:val="1"/>
      <w:marLeft w:val="0"/>
      <w:marRight w:val="0"/>
      <w:marTop w:val="0"/>
      <w:marBottom w:val="0"/>
      <w:divBdr>
        <w:top w:val="none" w:sz="0" w:space="0" w:color="auto"/>
        <w:left w:val="none" w:sz="0" w:space="0" w:color="auto"/>
        <w:bottom w:val="none" w:sz="0" w:space="0" w:color="auto"/>
        <w:right w:val="none" w:sz="0" w:space="0" w:color="auto"/>
      </w:divBdr>
    </w:div>
    <w:div w:id="72275198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1444</Words>
  <Characters>8236</Characters>
  <Application>Microsoft Macintosh Word</Application>
  <DocSecurity>0</DocSecurity>
  <Lines>68</Lines>
  <Paragraphs>19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CTIA Certification Working Group</vt:lpstr>
      <vt:lpstr>Summary</vt:lpstr>
    </vt:vector>
  </TitlesOfParts>
  <Company>CTIA</Company>
  <LinksUpToDate>false</LinksUpToDate>
  <CharactersWithSpaces>9661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CTIA Certification Working Group</dc:title>
  <dc:subject/>
  <dc:creator>CTIA</dc:creator>
  <cp:keywords/>
  <dc:description/>
  <cp:lastModifiedBy>Stuart Thomas</cp:lastModifiedBy>
  <cp:revision>14</cp:revision>
  <cp:lastPrinted>2003-04-07T02:38:00Z</cp:lastPrinted>
  <dcterms:created xsi:type="dcterms:W3CDTF">2017-02-03T03:45:00Z</dcterms:created>
  <dcterms:modified xsi:type="dcterms:W3CDTF">2017-02-03T04:09:00Z</dcterms:modified>
</cp:coreProperties>
</file>