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72C" w:rsidRPr="00CF06F7" w:rsidRDefault="007666E9" w:rsidP="008E772C">
      <w:pPr>
        <w:pStyle w:val="3GPPHeader"/>
        <w:spacing w:after="60"/>
        <w:rPr>
          <w:sz w:val="36"/>
          <w:szCs w:val="32"/>
          <w:highlight w:val="yellow"/>
          <w:lang w:val="en-US"/>
        </w:rPr>
      </w:pPr>
      <w:r>
        <w:rPr>
          <w:sz w:val="28"/>
          <w:lang w:val="en-US"/>
        </w:rPr>
        <w:t>3GPP TSG-RAN WG4 #81</w:t>
      </w:r>
      <w:r w:rsidR="008E772C" w:rsidRPr="00CF06F7">
        <w:rPr>
          <w:sz w:val="28"/>
          <w:lang w:val="en-US"/>
        </w:rPr>
        <w:tab/>
      </w:r>
      <w:r w:rsidR="008E772C" w:rsidRPr="00CF06F7">
        <w:rPr>
          <w:sz w:val="32"/>
          <w:szCs w:val="32"/>
          <w:lang w:val="en-US"/>
        </w:rPr>
        <w:t>Tdoc R4-</w:t>
      </w:r>
      <w:r w:rsidR="004A326B">
        <w:rPr>
          <w:sz w:val="32"/>
          <w:szCs w:val="32"/>
          <w:lang w:val="en-US"/>
        </w:rPr>
        <w:t>16</w:t>
      </w:r>
      <w:r w:rsidR="00A1123B">
        <w:rPr>
          <w:sz w:val="32"/>
          <w:szCs w:val="32"/>
          <w:lang w:val="en-US"/>
        </w:rPr>
        <w:t>10279</w:t>
      </w:r>
      <w:bookmarkStart w:id="0" w:name="_GoBack"/>
      <w:bookmarkEnd w:id="0"/>
    </w:p>
    <w:p w:rsidR="00E90E49" w:rsidRPr="007666E9" w:rsidRDefault="007666E9" w:rsidP="00357380">
      <w:pPr>
        <w:pStyle w:val="3GPPHeader"/>
        <w:rPr>
          <w:sz w:val="28"/>
          <w:lang w:val="en-US"/>
        </w:rPr>
      </w:pPr>
      <w:r w:rsidRPr="007666E9">
        <w:rPr>
          <w:rFonts w:cs="Arial"/>
          <w:sz w:val="28"/>
          <w:lang w:val="en-US"/>
        </w:rPr>
        <w:t>Reno, NV, USA, 14 – 18 November 2016</w:t>
      </w: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3F4AD2">
        <w:rPr>
          <w:sz w:val="22"/>
          <w:szCs w:val="22"/>
          <w:lang w:val="en-US"/>
        </w:rPr>
        <w:t>On mm-wave</w:t>
      </w:r>
      <w:r w:rsidR="00013942">
        <w:rPr>
          <w:sz w:val="22"/>
          <w:szCs w:val="22"/>
          <w:lang w:val="en-US"/>
        </w:rPr>
        <w:t xml:space="preserve"> </w:t>
      </w:r>
      <w:r w:rsidR="003F4AD2">
        <w:rPr>
          <w:sz w:val="22"/>
          <w:szCs w:val="22"/>
          <w:lang w:val="en-US"/>
        </w:rPr>
        <w:t>ACLR</w:t>
      </w:r>
      <w:r w:rsidR="0076037F">
        <w:rPr>
          <w:sz w:val="22"/>
          <w:szCs w:val="22"/>
          <w:lang w:val="en-US"/>
        </w:rPr>
        <w:t xml:space="preserve"> </w:t>
      </w:r>
      <w:r w:rsidR="009F7509">
        <w:rPr>
          <w:sz w:val="22"/>
          <w:szCs w:val="22"/>
          <w:lang w:val="en-US"/>
        </w:rPr>
        <w:t>for 45 and 70 GHz</w:t>
      </w:r>
    </w:p>
    <w:p w:rsidR="00DE761A" w:rsidRPr="0076037F" w:rsidRDefault="00DE761A" w:rsidP="00DE761A">
      <w:pPr>
        <w:pStyle w:val="3GPPHeader"/>
        <w:rPr>
          <w:sz w:val="22"/>
          <w:szCs w:val="22"/>
          <w:lang w:val="en-US"/>
        </w:rPr>
      </w:pPr>
      <w:r w:rsidRPr="0076037F">
        <w:rPr>
          <w:sz w:val="22"/>
          <w:szCs w:val="22"/>
          <w:lang w:val="en-US"/>
        </w:rPr>
        <w:t>Agenda Item:</w:t>
      </w:r>
      <w:r w:rsidRPr="0076037F">
        <w:rPr>
          <w:sz w:val="22"/>
          <w:szCs w:val="22"/>
          <w:lang w:val="en-US"/>
        </w:rPr>
        <w:tab/>
      </w:r>
      <w:r w:rsidR="004A326B">
        <w:rPr>
          <w:sz w:val="22"/>
          <w:szCs w:val="22"/>
          <w:lang w:val="en-US"/>
        </w:rPr>
        <w:t>11.5.1</w:t>
      </w:r>
    </w:p>
    <w:p w:rsidR="00E90E49" w:rsidRPr="00F6302A" w:rsidRDefault="00E90E49" w:rsidP="002957B7">
      <w:pPr>
        <w:pStyle w:val="3GPPHeader"/>
        <w:rPr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904F86">
        <w:rPr>
          <w:sz w:val="22"/>
          <w:szCs w:val="22"/>
          <w:lang w:val="en-US"/>
        </w:rPr>
        <w:t>Approval</w:t>
      </w: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F47AB8">
        <w:rPr>
          <w:lang w:val="en-US"/>
        </w:rPr>
        <w:t xml:space="preserve"> </w:t>
      </w:r>
    </w:p>
    <w:p w:rsidR="00AF6B86" w:rsidRDefault="004A326B" w:rsidP="0064069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During RAN4</w:t>
      </w:r>
      <w:r w:rsidR="00013942">
        <w:rPr>
          <w:sz w:val="22"/>
          <w:szCs w:val="22"/>
          <w:lang w:val="en-US"/>
        </w:rPr>
        <w:t>#80bis, a</w:t>
      </w:r>
      <w:r w:rsidR="00013942" w:rsidRPr="000C461F">
        <w:rPr>
          <w:sz w:val="22"/>
          <w:szCs w:val="22"/>
          <w:lang w:val="en-US"/>
        </w:rPr>
        <w:t xml:space="preserve"> </w:t>
      </w:r>
      <w:r w:rsidR="00256F3B" w:rsidRPr="000C461F">
        <w:rPr>
          <w:sz w:val="22"/>
          <w:szCs w:val="22"/>
          <w:lang w:val="en-US"/>
        </w:rPr>
        <w:t xml:space="preserve">discussion on mm-wave technologies including the </w:t>
      </w:r>
      <w:r w:rsidR="00640698">
        <w:rPr>
          <w:sz w:val="22"/>
          <w:szCs w:val="22"/>
          <w:lang w:val="en-US"/>
        </w:rPr>
        <w:t xml:space="preserve">mm-PA technologies </w:t>
      </w:r>
      <w:r w:rsidR="00013942">
        <w:rPr>
          <w:sz w:val="22"/>
          <w:szCs w:val="22"/>
          <w:lang w:val="en-US"/>
        </w:rPr>
        <w:t>and their capabilities with respect to achievable</w:t>
      </w:r>
      <w:r w:rsidR="006F572E">
        <w:rPr>
          <w:sz w:val="22"/>
          <w:szCs w:val="22"/>
          <w:lang w:val="en-US"/>
        </w:rPr>
        <w:t xml:space="preserve"> ACLR </w:t>
      </w:r>
      <w:r w:rsidR="00640698">
        <w:rPr>
          <w:sz w:val="22"/>
          <w:szCs w:val="22"/>
          <w:lang w:val="en-US"/>
        </w:rPr>
        <w:t>was initiated</w:t>
      </w:r>
      <w:r w:rsidR="00256F3B" w:rsidRPr="000C461F">
        <w:rPr>
          <w:sz w:val="22"/>
          <w:szCs w:val="22"/>
          <w:lang w:val="en-US"/>
        </w:rPr>
        <w:t xml:space="preserve"> [1</w:t>
      </w:r>
      <w:r w:rsidR="00AF6B86">
        <w:rPr>
          <w:sz w:val="22"/>
          <w:szCs w:val="22"/>
          <w:lang w:val="en-US"/>
        </w:rPr>
        <w:t xml:space="preserve">, </w:t>
      </w:r>
      <w:r w:rsidR="006F572E">
        <w:rPr>
          <w:sz w:val="22"/>
          <w:szCs w:val="22"/>
          <w:lang w:val="en-US"/>
        </w:rPr>
        <w:t>2</w:t>
      </w:r>
      <w:r w:rsidR="00AF6B86">
        <w:rPr>
          <w:sz w:val="22"/>
          <w:szCs w:val="22"/>
          <w:lang w:val="en-US"/>
        </w:rPr>
        <w:t xml:space="preserve"> &amp; 3</w:t>
      </w:r>
      <w:r w:rsidR="00256F3B" w:rsidRPr="000C461F">
        <w:rPr>
          <w:sz w:val="22"/>
          <w:szCs w:val="22"/>
          <w:lang w:val="en-US"/>
        </w:rPr>
        <w:t xml:space="preserve">]. </w:t>
      </w:r>
      <w:r w:rsidR="00013942">
        <w:rPr>
          <w:sz w:val="22"/>
          <w:szCs w:val="22"/>
          <w:lang w:val="en-US"/>
        </w:rPr>
        <w:t>in the context of that analysis, thus</w:t>
      </w:r>
      <w:r w:rsidR="00AF6B86">
        <w:rPr>
          <w:sz w:val="22"/>
          <w:szCs w:val="22"/>
          <w:lang w:val="en-US"/>
        </w:rPr>
        <w:t xml:space="preserve"> far only the achievable ACLR for</w:t>
      </w:r>
      <w:r w:rsidR="006F572E">
        <w:rPr>
          <w:sz w:val="22"/>
          <w:szCs w:val="22"/>
          <w:lang w:val="en-US"/>
        </w:rPr>
        <w:t xml:space="preserve"> 30 GHz</w:t>
      </w:r>
      <w:r w:rsidR="00430DC8">
        <w:rPr>
          <w:sz w:val="22"/>
          <w:szCs w:val="22"/>
          <w:lang w:val="en-US"/>
        </w:rPr>
        <w:t xml:space="preserve"> has been discussed.</w:t>
      </w:r>
      <w:r>
        <w:rPr>
          <w:sz w:val="22"/>
          <w:szCs w:val="22"/>
          <w:lang w:val="en-US"/>
        </w:rPr>
        <w:t xml:space="preserve"> T</w:t>
      </w:r>
      <w:r w:rsidR="006F572E">
        <w:rPr>
          <w:sz w:val="22"/>
          <w:szCs w:val="22"/>
          <w:lang w:val="en-US"/>
        </w:rPr>
        <w:t xml:space="preserve">here is a need to discuss and </w:t>
      </w:r>
      <w:r w:rsidR="00AF6B86">
        <w:rPr>
          <w:sz w:val="22"/>
          <w:szCs w:val="22"/>
          <w:lang w:val="en-US"/>
        </w:rPr>
        <w:t xml:space="preserve">conclude on </w:t>
      </w:r>
      <w:r w:rsidR="006F572E">
        <w:rPr>
          <w:sz w:val="22"/>
          <w:szCs w:val="22"/>
          <w:lang w:val="en-US"/>
        </w:rPr>
        <w:t>the ACLR for</w:t>
      </w:r>
      <w:r w:rsidR="00AF6B86">
        <w:rPr>
          <w:sz w:val="22"/>
          <w:szCs w:val="22"/>
          <w:lang w:val="en-US"/>
        </w:rPr>
        <w:t xml:space="preserve"> 45 GHz and 70 GHz respectively since</w:t>
      </w:r>
      <w:r w:rsidR="007666E9">
        <w:rPr>
          <w:sz w:val="22"/>
          <w:szCs w:val="22"/>
          <w:lang w:val="en-US"/>
        </w:rPr>
        <w:t xml:space="preserve"> ACLR indirectly and the corresponding spectrum emission mask </w:t>
      </w:r>
      <w:r w:rsidR="00013942">
        <w:rPr>
          <w:sz w:val="22"/>
          <w:szCs w:val="22"/>
          <w:lang w:val="en-US"/>
        </w:rPr>
        <w:t xml:space="preserve">up to 84GHz </w:t>
      </w:r>
      <w:r w:rsidR="00256F3B" w:rsidRPr="000C461F">
        <w:rPr>
          <w:sz w:val="22"/>
          <w:szCs w:val="22"/>
          <w:lang w:val="en-US"/>
        </w:rPr>
        <w:t xml:space="preserve">is one of the </w:t>
      </w:r>
      <w:r w:rsidR="00AF6B86">
        <w:rPr>
          <w:sz w:val="22"/>
          <w:szCs w:val="22"/>
          <w:lang w:val="en-US"/>
        </w:rPr>
        <w:t xml:space="preserve">requested </w:t>
      </w:r>
      <w:r w:rsidR="00256F3B" w:rsidRPr="000C461F">
        <w:rPr>
          <w:sz w:val="22"/>
          <w:szCs w:val="22"/>
          <w:lang w:val="en-US"/>
        </w:rPr>
        <w:t>compatibility parameters towards ITU-R</w:t>
      </w:r>
      <w:r w:rsidR="00AF6B86">
        <w:rPr>
          <w:sz w:val="22"/>
          <w:szCs w:val="22"/>
          <w:lang w:val="en-US"/>
        </w:rPr>
        <w:t>.</w:t>
      </w:r>
    </w:p>
    <w:p w:rsidR="006F572E" w:rsidRDefault="009F7509" w:rsidP="0064069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paper, based on the analysis for 30 GHz ACLR and the characteristics of different PA technologies over frequency, </w:t>
      </w:r>
      <w:r w:rsidR="00013942">
        <w:rPr>
          <w:sz w:val="22"/>
          <w:szCs w:val="22"/>
          <w:lang w:val="en-US"/>
        </w:rPr>
        <w:t>an estimate of the achievable ACLR at</w:t>
      </w:r>
      <w:r>
        <w:rPr>
          <w:sz w:val="22"/>
          <w:szCs w:val="22"/>
          <w:lang w:val="en-US"/>
        </w:rPr>
        <w:t xml:space="preserve"> 45 </w:t>
      </w:r>
      <w:r w:rsidR="00AF6B86">
        <w:rPr>
          <w:sz w:val="22"/>
          <w:szCs w:val="22"/>
          <w:lang w:val="en-US"/>
        </w:rPr>
        <w:t xml:space="preserve">GHz </w:t>
      </w:r>
      <w:r>
        <w:rPr>
          <w:sz w:val="22"/>
          <w:szCs w:val="22"/>
          <w:lang w:val="en-US"/>
        </w:rPr>
        <w:t xml:space="preserve">and 70 GHz </w:t>
      </w:r>
      <w:r w:rsidR="00013942">
        <w:rPr>
          <w:sz w:val="22"/>
          <w:szCs w:val="22"/>
          <w:lang w:val="en-US"/>
        </w:rPr>
        <w:t>considering technology constraints</w:t>
      </w:r>
      <w:r>
        <w:rPr>
          <w:sz w:val="22"/>
          <w:szCs w:val="22"/>
          <w:lang w:val="en-US"/>
        </w:rPr>
        <w:t xml:space="preserve"> is presented.</w:t>
      </w:r>
    </w:p>
    <w:p w:rsidR="00036CC6" w:rsidRDefault="00013942" w:rsidP="00036CC6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When replying to ITU-R, it is important not just to consider the outcome of the co-existence studies, but also the realistically achievable ACLR.</w:t>
      </w:r>
      <w:r w:rsidR="00036CC6">
        <w:rPr>
          <w:rFonts w:eastAsia="Malgun Gothic"/>
          <w:sz w:val="22"/>
          <w:szCs w:val="22"/>
          <w:lang w:val="en-US" w:eastAsia="ko-KR"/>
        </w:rPr>
        <w:t xml:space="preserve">  </w:t>
      </w:r>
    </w:p>
    <w:p w:rsidR="00036CC6" w:rsidRDefault="007666E9" w:rsidP="00036CC6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It is also important to consider TRP as proper metric for ACLR which has been extensively discussed in previous RAN4 meetings</w:t>
      </w:r>
      <w:r w:rsidR="00DD18C5">
        <w:rPr>
          <w:rFonts w:eastAsia="Malgun Gothic"/>
          <w:sz w:val="22"/>
          <w:szCs w:val="22"/>
          <w:lang w:val="en-US" w:eastAsia="ko-KR"/>
        </w:rPr>
        <w:t xml:space="preserve"> [4&amp;5]</w:t>
      </w:r>
      <w:r>
        <w:rPr>
          <w:rFonts w:eastAsia="Malgun Gothic"/>
          <w:sz w:val="22"/>
          <w:szCs w:val="22"/>
          <w:lang w:val="en-US" w:eastAsia="ko-KR"/>
        </w:rPr>
        <w:t>.</w:t>
      </w:r>
    </w:p>
    <w:p w:rsidR="00036CC6" w:rsidRPr="000C461F" w:rsidRDefault="00036CC6" w:rsidP="00640698">
      <w:pPr>
        <w:rPr>
          <w:sz w:val="22"/>
          <w:szCs w:val="22"/>
          <w:lang w:val="en-US"/>
        </w:rPr>
      </w:pPr>
    </w:p>
    <w:p w:rsidR="0096477F" w:rsidRDefault="00B16CE7" w:rsidP="0070334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AF6B86" w:rsidRDefault="009F7509" w:rsidP="009F750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AF6B86">
        <w:rPr>
          <w:sz w:val="22"/>
          <w:szCs w:val="22"/>
          <w:lang w:val="en-US"/>
        </w:rPr>
        <w:t>RAN4#79 the characteristics and relation between essential power amplifie</w:t>
      </w:r>
      <w:r w:rsidR="00013942">
        <w:rPr>
          <w:sz w:val="22"/>
          <w:szCs w:val="22"/>
          <w:lang w:val="en-US"/>
        </w:rPr>
        <w:t>r</w:t>
      </w:r>
      <w:r w:rsidR="00AF6B86">
        <w:rPr>
          <w:sz w:val="22"/>
          <w:szCs w:val="22"/>
          <w:lang w:val="en-US"/>
        </w:rPr>
        <w:t xml:space="preserve"> metrics such as output power, ACLR and power efficiency was presented. In RAN4</w:t>
      </w:r>
      <w:r>
        <w:rPr>
          <w:sz w:val="22"/>
          <w:szCs w:val="22"/>
          <w:lang w:val="en-US"/>
        </w:rPr>
        <w:t>#80</w:t>
      </w:r>
      <w:r w:rsidR="00013942">
        <w:rPr>
          <w:sz w:val="22"/>
          <w:szCs w:val="22"/>
          <w:lang w:val="en-US"/>
        </w:rPr>
        <w:t>bis</w:t>
      </w:r>
      <w:r>
        <w:rPr>
          <w:sz w:val="22"/>
          <w:szCs w:val="22"/>
          <w:lang w:val="en-US"/>
        </w:rPr>
        <w:t xml:space="preserve">, a comprehensive </w:t>
      </w:r>
      <w:r w:rsidR="00013942">
        <w:rPr>
          <w:sz w:val="22"/>
          <w:szCs w:val="22"/>
          <w:lang w:val="en-US"/>
        </w:rPr>
        <w:t xml:space="preserve">set of </w:t>
      </w:r>
      <w:r>
        <w:rPr>
          <w:sz w:val="22"/>
          <w:szCs w:val="22"/>
          <w:lang w:val="en-US"/>
        </w:rPr>
        <w:t>generalized memory polynomial PA model</w:t>
      </w:r>
      <w:r w:rsidR="00013942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for both sub-6 GHz as well as mm-waves were </w:t>
      </w:r>
      <w:r w:rsidR="00013942">
        <w:rPr>
          <w:sz w:val="22"/>
          <w:szCs w:val="22"/>
          <w:lang w:val="en-US"/>
        </w:rPr>
        <w:t>captured in the TR appendix</w:t>
      </w:r>
      <w:r w:rsidR="00AF6B86">
        <w:rPr>
          <w:sz w:val="22"/>
          <w:szCs w:val="22"/>
          <w:lang w:val="en-US"/>
        </w:rPr>
        <w:t>.</w:t>
      </w:r>
    </w:p>
    <w:p w:rsidR="00AC34B1" w:rsidRDefault="0095338E" w:rsidP="009F750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9F7509">
        <w:rPr>
          <w:sz w:val="22"/>
          <w:szCs w:val="22"/>
          <w:lang w:val="en-US"/>
        </w:rPr>
        <w:t>RAN4 #80bis</w:t>
      </w:r>
      <w:r w:rsidR="00430DC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</w:t>
      </w:r>
      <w:r w:rsidR="009F7509">
        <w:rPr>
          <w:sz w:val="22"/>
          <w:szCs w:val="22"/>
          <w:lang w:val="en-US"/>
        </w:rPr>
        <w:t>relation between achievable output power, ACLR</w:t>
      </w:r>
      <w:r w:rsidR="00430DC8">
        <w:rPr>
          <w:sz w:val="22"/>
          <w:szCs w:val="22"/>
          <w:lang w:val="en-US"/>
        </w:rPr>
        <w:t>,</w:t>
      </w:r>
      <w:r w:rsidR="009F7509">
        <w:rPr>
          <w:sz w:val="22"/>
          <w:szCs w:val="22"/>
          <w:lang w:val="en-US"/>
        </w:rPr>
        <w:t xml:space="preserve"> and efficiency w</w:t>
      </w:r>
      <w:r w:rsidR="00430DC8">
        <w:rPr>
          <w:sz w:val="22"/>
          <w:szCs w:val="22"/>
          <w:lang w:val="en-US"/>
        </w:rPr>
        <w:t>as</w:t>
      </w:r>
      <w:r w:rsidR="009F7509">
        <w:rPr>
          <w:sz w:val="22"/>
          <w:szCs w:val="22"/>
          <w:lang w:val="en-US"/>
        </w:rPr>
        <w:t xml:space="preserve"> presented</w:t>
      </w:r>
      <w:r w:rsidR="00430DC8">
        <w:rPr>
          <w:sz w:val="22"/>
          <w:szCs w:val="22"/>
          <w:lang w:val="en-US"/>
        </w:rPr>
        <w:t xml:space="preserve"> 30 GHz for ACLR values  around 30dB</w:t>
      </w:r>
      <w:r w:rsidR="009F7509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 xml:space="preserve"> </w:t>
      </w:r>
    </w:p>
    <w:p w:rsidR="009F7509" w:rsidRDefault="007666E9" w:rsidP="009F7509">
      <w:pPr>
        <w:rPr>
          <w:sz w:val="22"/>
          <w:szCs w:val="22"/>
          <w:lang w:val="en-US"/>
        </w:rPr>
      </w:pPr>
      <w:r w:rsidRPr="007666E9">
        <w:rPr>
          <w:sz w:val="22"/>
          <w:szCs w:val="22"/>
          <w:lang w:val="en-US"/>
        </w:rPr>
        <w:t xml:space="preserve">Even though similar technologies are used for BS and UE, for ACLR and also emission mask requirements, it is important to consider </w:t>
      </w:r>
      <w:r w:rsidR="0095338E" w:rsidRPr="007666E9">
        <w:rPr>
          <w:sz w:val="22"/>
          <w:szCs w:val="22"/>
          <w:lang w:val="en-US"/>
        </w:rPr>
        <w:t>different value</w:t>
      </w:r>
      <w:r w:rsidR="00430DC8">
        <w:rPr>
          <w:sz w:val="22"/>
          <w:szCs w:val="22"/>
          <w:lang w:val="en-US"/>
        </w:rPr>
        <w:t>s</w:t>
      </w:r>
      <w:r w:rsidR="0095338E" w:rsidRPr="007666E9">
        <w:rPr>
          <w:sz w:val="22"/>
          <w:szCs w:val="22"/>
          <w:lang w:val="en-US"/>
        </w:rPr>
        <w:t xml:space="preserve"> for UE </w:t>
      </w:r>
      <w:r w:rsidRPr="007666E9">
        <w:rPr>
          <w:sz w:val="22"/>
          <w:szCs w:val="22"/>
          <w:lang w:val="en-US"/>
        </w:rPr>
        <w:t xml:space="preserve">compared to BS </w:t>
      </w:r>
      <w:r w:rsidR="0095338E" w:rsidRPr="007666E9">
        <w:rPr>
          <w:sz w:val="22"/>
          <w:szCs w:val="22"/>
          <w:lang w:val="en-US"/>
        </w:rPr>
        <w:t xml:space="preserve">due to </w:t>
      </w:r>
      <w:r w:rsidRPr="007666E9">
        <w:rPr>
          <w:sz w:val="22"/>
          <w:szCs w:val="22"/>
          <w:lang w:val="en-US"/>
        </w:rPr>
        <w:t>need for</w:t>
      </w:r>
      <w:r w:rsidR="0095338E" w:rsidRPr="007666E9">
        <w:rPr>
          <w:sz w:val="22"/>
          <w:szCs w:val="22"/>
          <w:lang w:val="en-US"/>
        </w:rPr>
        <w:t xml:space="preserve"> higher </w:t>
      </w:r>
      <w:r w:rsidRPr="007666E9">
        <w:rPr>
          <w:sz w:val="22"/>
          <w:szCs w:val="22"/>
          <w:lang w:val="en-US"/>
        </w:rPr>
        <w:t xml:space="preserve">UE power </w:t>
      </w:r>
      <w:r w:rsidR="0095338E" w:rsidRPr="007666E9">
        <w:rPr>
          <w:sz w:val="22"/>
          <w:szCs w:val="22"/>
          <w:lang w:val="en-US"/>
        </w:rPr>
        <w:t>efficiency</w:t>
      </w:r>
      <w:r w:rsidR="00036CC6" w:rsidRPr="007666E9">
        <w:rPr>
          <w:sz w:val="22"/>
          <w:szCs w:val="22"/>
          <w:lang w:val="en-US"/>
        </w:rPr>
        <w:t xml:space="preserve"> </w:t>
      </w:r>
      <w:r w:rsidRPr="007666E9">
        <w:rPr>
          <w:sz w:val="22"/>
          <w:szCs w:val="22"/>
          <w:lang w:val="en-US"/>
        </w:rPr>
        <w:t>in relation to battery consumption.</w:t>
      </w:r>
    </w:p>
    <w:p w:rsidR="007D4708" w:rsidRPr="007D4708" w:rsidRDefault="007D4708" w:rsidP="007D4708">
      <w:pPr>
        <w:rPr>
          <w:rFonts w:eastAsia="Malgun Gothic" w:cs="Arial"/>
          <w:b/>
          <w:sz w:val="24"/>
          <w:szCs w:val="22"/>
          <w:lang w:eastAsia="ko-KR"/>
        </w:rPr>
      </w:pPr>
      <w:r w:rsidRPr="007D4708">
        <w:rPr>
          <w:rFonts w:eastAsia="Malgun Gothic" w:cs="Arial"/>
          <w:b/>
          <w:sz w:val="24"/>
          <w:szCs w:val="22"/>
          <w:lang w:eastAsia="ko-KR"/>
        </w:rPr>
        <w:t>Proposal 1:</w:t>
      </w:r>
    </w:p>
    <w:p w:rsidR="007D4708" w:rsidRPr="007D4708" w:rsidRDefault="007D4708" w:rsidP="009F7509">
      <w:pPr>
        <w:rPr>
          <w:b/>
          <w:sz w:val="22"/>
          <w:szCs w:val="22"/>
          <w:lang w:val="en-US"/>
        </w:rPr>
      </w:pPr>
      <w:r w:rsidRPr="007D4708">
        <w:rPr>
          <w:b/>
          <w:sz w:val="22"/>
          <w:szCs w:val="22"/>
          <w:lang w:val="en-US"/>
        </w:rPr>
        <w:t>For mm-wave frequencies</w:t>
      </w:r>
      <w:r>
        <w:rPr>
          <w:b/>
          <w:sz w:val="22"/>
          <w:szCs w:val="22"/>
          <w:lang w:val="en-US"/>
        </w:rPr>
        <w:t>, even</w:t>
      </w:r>
      <w:r w:rsidR="00013942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though similar technology can be used for BS and UE, the ACLR values should be different as for the UE, the need for higher power efficiency should be considered.</w:t>
      </w:r>
    </w:p>
    <w:p w:rsidR="009F7509" w:rsidRDefault="00002339" w:rsidP="009F7509">
      <w:pPr>
        <w:rPr>
          <w:sz w:val="22"/>
          <w:szCs w:val="22"/>
        </w:rPr>
      </w:pPr>
      <w:r>
        <w:rPr>
          <w:sz w:val="22"/>
          <w:szCs w:val="22"/>
        </w:rPr>
        <w:t xml:space="preserve">Considering the </w:t>
      </w:r>
      <w:r w:rsidR="0095338E">
        <w:rPr>
          <w:sz w:val="22"/>
          <w:szCs w:val="22"/>
        </w:rPr>
        <w:t xml:space="preserve">presented ACLR results for 30 GHz and the power amplifier characteristics over frequency and the agreement above, achievable ACLR values for </w:t>
      </w:r>
      <w:r w:rsidR="00013942">
        <w:rPr>
          <w:sz w:val="22"/>
          <w:szCs w:val="22"/>
        </w:rPr>
        <w:t xml:space="preserve">the BS for </w:t>
      </w:r>
      <w:r w:rsidR="0095338E">
        <w:rPr>
          <w:sz w:val="22"/>
          <w:szCs w:val="22"/>
        </w:rPr>
        <w:t>45 GHz and 70 GHz respectively are presented in the sub-cha</w:t>
      </w:r>
      <w:r w:rsidR="007666E9">
        <w:rPr>
          <w:sz w:val="22"/>
          <w:szCs w:val="22"/>
        </w:rPr>
        <w:t>pters below.</w:t>
      </w:r>
    </w:p>
    <w:p w:rsidR="0046366D" w:rsidRDefault="0046366D" w:rsidP="0046366D">
      <w:pPr>
        <w:pStyle w:val="Heading2"/>
        <w:rPr>
          <w:lang w:val="en-US"/>
        </w:rPr>
      </w:pPr>
      <w:r>
        <w:rPr>
          <w:lang w:val="en-US"/>
        </w:rPr>
        <w:lastRenderedPageBreak/>
        <w:t>PA trends versus frequency</w:t>
      </w:r>
    </w:p>
    <w:p w:rsidR="00C308C0" w:rsidRDefault="00C308C0" w:rsidP="00C308C0">
      <w:pPr>
        <w:rPr>
          <w:rFonts w:eastAsia="Malgun Gothic"/>
          <w:sz w:val="22"/>
          <w:szCs w:val="22"/>
          <w:lang w:val="en-US" w:eastAsia="ko-KR"/>
        </w:rPr>
      </w:pPr>
      <w:r>
        <w:rPr>
          <w:rFonts w:cs="Arial"/>
          <w:bCs/>
          <w:sz w:val="22"/>
          <w:szCs w:val="22"/>
        </w:rPr>
        <w:t xml:space="preserve">In [1], some detailed insight into power amplifier essential metrics such as output power and Power Added Efficiency (PAE) were presented. </w:t>
      </w:r>
      <w:r>
        <w:rPr>
          <w:rFonts w:eastAsia="Malgun Gothic"/>
          <w:sz w:val="22"/>
          <w:szCs w:val="22"/>
          <w:lang w:val="en-US" w:eastAsia="ko-KR"/>
        </w:rPr>
        <w:t>It was shown that, power amplifier</w:t>
      </w:r>
      <w:r w:rsidRPr="008B32CE">
        <w:rPr>
          <w:rFonts w:eastAsia="Malgun Gothic"/>
          <w:sz w:val="22"/>
          <w:szCs w:val="22"/>
          <w:lang w:val="en-US" w:eastAsia="ko-KR"/>
        </w:rPr>
        <w:t xml:space="preserve"> performance generally degrades with increasing frequency</w:t>
      </w:r>
      <w:r>
        <w:rPr>
          <w:rFonts w:eastAsia="Malgun Gothic"/>
          <w:sz w:val="22"/>
          <w:szCs w:val="22"/>
          <w:lang w:val="en-US" w:eastAsia="ko-KR"/>
        </w:rPr>
        <w:t xml:space="preserve"> e.g. </w:t>
      </w:r>
      <w:r w:rsidRPr="008B32CE">
        <w:rPr>
          <w:rFonts w:eastAsia="Malgun Gothic"/>
          <w:sz w:val="22"/>
          <w:szCs w:val="22"/>
          <w:lang w:val="en-US" w:eastAsia="ko-KR"/>
        </w:rPr>
        <w:t>power capability of power amplifiers for a given integrated circuit technology roug</w:t>
      </w:r>
      <w:r>
        <w:rPr>
          <w:rFonts w:eastAsia="Malgun Gothic"/>
          <w:sz w:val="22"/>
          <w:szCs w:val="22"/>
          <w:lang w:val="en-US" w:eastAsia="ko-KR"/>
        </w:rPr>
        <w:t>hly degrades by 20 dB per decade as well as the frequency dependent decay in PAE. The PAE data refers to operation at saturated output power</w:t>
      </w:r>
      <w:r w:rsidR="00013942">
        <w:rPr>
          <w:rFonts w:eastAsia="Malgun Gothic"/>
          <w:sz w:val="22"/>
          <w:szCs w:val="22"/>
          <w:lang w:val="en-US" w:eastAsia="ko-KR"/>
        </w:rPr>
        <w:t>,</w:t>
      </w:r>
      <w:r>
        <w:rPr>
          <w:rFonts w:eastAsia="Malgun Gothic"/>
          <w:sz w:val="22"/>
          <w:szCs w:val="22"/>
          <w:lang w:val="en-US" w:eastAsia="ko-KR"/>
        </w:rPr>
        <w:t xml:space="preserve"> and this only serves as a reference point for comparison but is by no means indicative of the PAE that is achievable when operating on modulated signals. </w:t>
      </w:r>
    </w:p>
    <w:p w:rsidR="00B43944" w:rsidRPr="00116D79" w:rsidRDefault="00C308C0" w:rsidP="0095338E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 xml:space="preserve">Figure 1 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shows </w:t>
      </w:r>
      <w:r w:rsidR="00116D79">
        <w:rPr>
          <w:rFonts w:eastAsia="Malgun Gothic"/>
          <w:sz w:val="22"/>
          <w:szCs w:val="22"/>
          <w:lang w:val="en-US" w:eastAsia="ko-KR"/>
        </w:rPr>
        <w:t>peak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 output power versus frequency based on the same data as in [1] but now </w:t>
      </w:r>
      <w:r w:rsidR="00116D79">
        <w:rPr>
          <w:rFonts w:eastAsia="Malgun Gothic"/>
          <w:sz w:val="22"/>
          <w:szCs w:val="22"/>
          <w:lang w:val="en-US" w:eastAsia="ko-KR"/>
        </w:rPr>
        <w:t>zoomed in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 to the frequency range 1-100GHz and only for CMOS and GaN technology </w:t>
      </w:r>
      <w:r w:rsidR="006E73F1">
        <w:rPr>
          <w:rFonts w:eastAsia="Malgun Gothic"/>
          <w:sz w:val="22"/>
          <w:szCs w:val="22"/>
          <w:lang w:val="en-US" w:eastAsia="ko-KR"/>
        </w:rPr>
        <w:t>(</w:t>
      </w:r>
      <w:r w:rsidR="001E39D4">
        <w:rPr>
          <w:rFonts w:eastAsia="Malgun Gothic"/>
          <w:sz w:val="22"/>
          <w:szCs w:val="22"/>
          <w:lang w:val="en-US" w:eastAsia="ko-KR"/>
        </w:rPr>
        <w:t>assumed to be the preferred choice for mmW PA implementation</w:t>
      </w:r>
      <w:r w:rsidR="006E73F1">
        <w:rPr>
          <w:rFonts w:eastAsia="Malgun Gothic"/>
          <w:sz w:val="22"/>
          <w:szCs w:val="22"/>
          <w:lang w:val="en-US" w:eastAsia="ko-KR"/>
        </w:rPr>
        <w:t>)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. </w:t>
      </w:r>
      <w:r w:rsidR="00015D8C">
        <w:rPr>
          <w:rFonts w:eastAsia="Malgun Gothic"/>
          <w:sz w:val="22"/>
          <w:szCs w:val="22"/>
          <w:lang w:val="en-US" w:eastAsia="ko-KR"/>
        </w:rPr>
        <w:t xml:space="preserve">The -20dB/decade slope is indicated by the dashed line. 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The published PAs used in figure 1 have been designed with different target specifications in mind and </w:t>
      </w:r>
      <w:r w:rsidR="00013942">
        <w:rPr>
          <w:rFonts w:eastAsia="Malgun Gothic"/>
          <w:sz w:val="22"/>
          <w:szCs w:val="22"/>
          <w:lang w:val="en-US" w:eastAsia="ko-KR"/>
        </w:rPr>
        <w:t xml:space="preserve">(considering also </w:t>
      </w:r>
      <w:r w:rsidR="001E39D4">
        <w:rPr>
          <w:rFonts w:eastAsia="Malgun Gothic"/>
          <w:sz w:val="22"/>
          <w:szCs w:val="22"/>
          <w:lang w:val="en-US" w:eastAsia="ko-KR"/>
        </w:rPr>
        <w:t>the limited number of sampled PAs in this frequency range</w:t>
      </w:r>
      <w:r w:rsidR="00013942">
        <w:rPr>
          <w:rFonts w:eastAsia="Malgun Gothic"/>
          <w:sz w:val="22"/>
          <w:szCs w:val="22"/>
          <w:lang w:val="en-US" w:eastAsia="ko-KR"/>
        </w:rPr>
        <w:t>)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 </w:t>
      </w:r>
      <w:r w:rsidR="00116D79">
        <w:rPr>
          <w:rFonts w:eastAsia="Malgun Gothic"/>
          <w:sz w:val="22"/>
          <w:szCs w:val="22"/>
          <w:lang w:val="en-US" w:eastAsia="ko-KR"/>
        </w:rPr>
        <w:t xml:space="preserve">it 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is not sufficient to </w:t>
      </w:r>
      <w:r w:rsidR="00116D79">
        <w:rPr>
          <w:rFonts w:eastAsia="Malgun Gothic"/>
          <w:sz w:val="22"/>
          <w:szCs w:val="22"/>
          <w:lang w:val="en-US" w:eastAsia="ko-KR"/>
        </w:rPr>
        <w:t xml:space="preserve">accurately verify </w:t>
      </w:r>
      <w:r w:rsidR="001E39D4">
        <w:rPr>
          <w:rFonts w:eastAsia="Malgun Gothic"/>
          <w:sz w:val="22"/>
          <w:szCs w:val="22"/>
          <w:lang w:val="en-US" w:eastAsia="ko-KR"/>
        </w:rPr>
        <w:t xml:space="preserve">the -20dB/decade slope. There are however well established fundamental limitations that </w:t>
      </w:r>
      <w:r w:rsidR="006E73F1">
        <w:rPr>
          <w:rFonts w:eastAsia="Malgun Gothic"/>
          <w:sz w:val="22"/>
          <w:szCs w:val="22"/>
          <w:lang w:val="en-US" w:eastAsia="ko-KR"/>
        </w:rPr>
        <w:t xml:space="preserve">predict this behavior </w:t>
      </w:r>
      <w:r w:rsidR="007666E9">
        <w:rPr>
          <w:rFonts w:eastAsia="Malgun Gothic"/>
          <w:sz w:val="22"/>
          <w:szCs w:val="22"/>
          <w:lang w:val="en-US" w:eastAsia="ko-KR"/>
        </w:rPr>
        <w:t xml:space="preserve">(Johnson limit) </w:t>
      </w:r>
      <w:r w:rsidR="006E73F1">
        <w:rPr>
          <w:rFonts w:eastAsia="Malgun Gothic"/>
          <w:sz w:val="22"/>
          <w:szCs w:val="22"/>
          <w:lang w:val="en-US" w:eastAsia="ko-KR"/>
        </w:rPr>
        <w:t xml:space="preserve">and it is also assumed in </w:t>
      </w:r>
      <w:r w:rsidR="00116D79">
        <w:rPr>
          <w:rFonts w:eastAsia="Malgun Gothic"/>
          <w:sz w:val="22"/>
          <w:szCs w:val="22"/>
          <w:lang w:val="en-US" w:eastAsia="ko-KR"/>
        </w:rPr>
        <w:t xml:space="preserve">the commonly referenced </w:t>
      </w:r>
      <w:r w:rsidR="00116D79" w:rsidRPr="00116D79">
        <w:rPr>
          <w:rFonts w:eastAsia="Malgun Gothic"/>
          <w:sz w:val="22"/>
          <w:szCs w:val="22"/>
          <w:lang w:val="en-US" w:eastAsia="ko-KR"/>
        </w:rPr>
        <w:t>International Technology Roadmap for Semiconductors</w:t>
      </w:r>
      <w:r w:rsidR="00DD18C5">
        <w:rPr>
          <w:rFonts w:eastAsia="Malgun Gothic"/>
          <w:sz w:val="22"/>
          <w:szCs w:val="22"/>
          <w:lang w:val="en-US" w:eastAsia="ko-KR"/>
        </w:rPr>
        <w:t xml:space="preserve"> [6</w:t>
      </w:r>
      <w:r w:rsidR="00116D79">
        <w:rPr>
          <w:rFonts w:eastAsia="Malgun Gothic"/>
          <w:sz w:val="22"/>
          <w:szCs w:val="22"/>
          <w:lang w:val="en-US" w:eastAsia="ko-KR"/>
        </w:rPr>
        <w:t>].</w:t>
      </w:r>
    </w:p>
    <w:p w:rsidR="00C308C0" w:rsidRDefault="00BA1E85" w:rsidP="00C308C0">
      <w:pPr>
        <w:keepNext/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9CE575" wp14:editId="201BBB48">
                <wp:simplePos x="0" y="0"/>
                <wp:positionH relativeFrom="column">
                  <wp:posOffset>635468</wp:posOffset>
                </wp:positionH>
                <wp:positionV relativeFrom="paragraph">
                  <wp:posOffset>464485</wp:posOffset>
                </wp:positionV>
                <wp:extent cx="4162926" cy="1684421"/>
                <wp:effectExtent l="0" t="0" r="28575" b="3048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2926" cy="168442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4771B6" id="Straight Connector 1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05pt,36.55pt" to="377.85pt,16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" strokecolor="black [3213]" strokeweight="1.5pt">
                <v:stroke dashstyle="dash"/>
              </v:line>
            </w:pict>
          </mc:Fallback>
        </mc:AlternateContent>
      </w:r>
      <w:r w:rsidR="00B43944">
        <w:rPr>
          <w:noProof/>
          <w:lang w:val="sv-SE" w:eastAsia="sv-SE"/>
        </w:rPr>
        <w:drawing>
          <wp:inline distT="0" distB="0" distL="0" distR="0" wp14:anchorId="62EC83B5" wp14:editId="2685ACB1">
            <wp:extent cx="6115049" cy="3697061"/>
            <wp:effectExtent l="0" t="0" r="635" b="5715"/>
            <wp:docPr id="5" name="Chart 5" title="Output power versus year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3944" w:rsidRPr="007666E9" w:rsidRDefault="00C308C0" w:rsidP="00C308C0">
      <w:pPr>
        <w:pStyle w:val="Caption"/>
        <w:jc w:val="both"/>
      </w:pPr>
      <w:r w:rsidRPr="007666E9">
        <w:t xml:space="preserve">Figure </w:t>
      </w:r>
      <w:r w:rsidRPr="007666E9">
        <w:fldChar w:fldCharType="begin"/>
      </w:r>
      <w:r w:rsidRPr="007666E9">
        <w:instrText xml:space="preserve"> SEQ Figure \* ARABIC </w:instrText>
      </w:r>
      <w:r w:rsidRPr="007666E9">
        <w:fldChar w:fldCharType="separate"/>
      </w:r>
      <w:r w:rsidR="00C77744" w:rsidRPr="007666E9">
        <w:rPr>
          <w:noProof/>
        </w:rPr>
        <w:t>1</w:t>
      </w:r>
      <w:r w:rsidRPr="007666E9">
        <w:fldChar w:fldCharType="end"/>
      </w:r>
      <w:r w:rsidRPr="007666E9">
        <w:t xml:space="preserve"> Power amplifier </w:t>
      </w:r>
      <w:r w:rsidR="00116D79" w:rsidRPr="007666E9">
        <w:t xml:space="preserve">peak </w:t>
      </w:r>
      <w:r w:rsidRPr="007666E9">
        <w:t>output power versus frequency for various semiconductor technologies. The dashed line illustrates the observed reduction in power capability versus frequency (-20 dB per decade). The data points are taken from an internal Ericsson survey of published microwave and mm-wave power amplifier circuits.</w:t>
      </w:r>
    </w:p>
    <w:p w:rsidR="00116D79" w:rsidRPr="007666E9" w:rsidRDefault="00A10059" w:rsidP="00116D79">
      <w:pPr>
        <w:rPr>
          <w:rFonts w:eastAsia="Malgun Gothic"/>
          <w:sz w:val="22"/>
          <w:szCs w:val="22"/>
          <w:lang w:val="en-US" w:eastAsia="ko-KR"/>
        </w:rPr>
      </w:pPr>
      <w:r w:rsidRPr="007666E9">
        <w:rPr>
          <w:rFonts w:eastAsia="Malgun Gothic"/>
          <w:sz w:val="22"/>
          <w:szCs w:val="22"/>
          <w:lang w:val="en-US" w:eastAsia="ko-KR"/>
        </w:rPr>
        <w:t xml:space="preserve">Figure </w:t>
      </w:r>
      <w:r w:rsidR="007666E9">
        <w:rPr>
          <w:rFonts w:eastAsia="Malgun Gothic"/>
          <w:sz w:val="22"/>
          <w:szCs w:val="22"/>
          <w:lang w:val="en-US" w:eastAsia="ko-KR"/>
        </w:rPr>
        <w:t>2</w:t>
      </w:r>
      <w:r w:rsidRPr="007666E9">
        <w:rPr>
          <w:rFonts w:eastAsia="Malgun Gothic"/>
          <w:sz w:val="22"/>
          <w:szCs w:val="22"/>
          <w:lang w:val="en-US" w:eastAsia="ko-KR"/>
        </w:rPr>
        <w:t xml:space="preserve"> shows</w:t>
      </w:r>
      <w:r w:rsidR="00116D79" w:rsidRPr="007666E9">
        <w:rPr>
          <w:sz w:val="22"/>
          <w:szCs w:val="22"/>
        </w:rPr>
        <w:t xml:space="preserve"> power added efficiency (PAE) </w:t>
      </w:r>
      <w:r w:rsidRPr="007666E9">
        <w:rPr>
          <w:sz w:val="22"/>
          <w:szCs w:val="22"/>
        </w:rPr>
        <w:t>at peak output power based o</w:t>
      </w:r>
      <w:r w:rsidRPr="007666E9">
        <w:rPr>
          <w:rFonts w:eastAsia="Malgun Gothic"/>
          <w:sz w:val="22"/>
          <w:szCs w:val="22"/>
          <w:lang w:val="en-US" w:eastAsia="ko-KR"/>
        </w:rPr>
        <w:t xml:space="preserve"> same data as in [1] but now zoomed in to the frequency range 1-100GHz and only for CMOS and GaN technology. </w:t>
      </w:r>
      <w:r w:rsidR="00015D8C" w:rsidRPr="007666E9">
        <w:rPr>
          <w:rFonts w:eastAsia="Malgun Gothic"/>
          <w:sz w:val="22"/>
          <w:szCs w:val="22"/>
          <w:lang w:val="en-US" w:eastAsia="ko-KR"/>
        </w:rPr>
        <w:t>In contrast to peak output power there is</w:t>
      </w:r>
      <w:r w:rsidRPr="007666E9">
        <w:rPr>
          <w:rFonts w:eastAsia="Malgun Gothic"/>
          <w:sz w:val="22"/>
          <w:szCs w:val="22"/>
          <w:lang w:val="en-US" w:eastAsia="ko-KR"/>
        </w:rPr>
        <w:t xml:space="preserve"> no simple</w:t>
      </w:r>
      <w:r w:rsidR="00015D8C" w:rsidRPr="007666E9">
        <w:rPr>
          <w:rFonts w:eastAsia="Malgun Gothic"/>
          <w:sz w:val="22"/>
          <w:szCs w:val="22"/>
          <w:lang w:val="en-US" w:eastAsia="ko-KR"/>
        </w:rPr>
        <w:t xml:space="preserve"> and fundamental relationship between</w:t>
      </w:r>
      <w:r w:rsidRPr="007666E9">
        <w:rPr>
          <w:rFonts w:eastAsia="Malgun Gothic"/>
          <w:sz w:val="22"/>
          <w:szCs w:val="22"/>
          <w:lang w:val="en-US" w:eastAsia="ko-KR"/>
        </w:rPr>
        <w:t xml:space="preserve"> PAE </w:t>
      </w:r>
      <w:r w:rsidR="00015D8C" w:rsidRPr="007666E9">
        <w:rPr>
          <w:rFonts w:eastAsia="Malgun Gothic"/>
          <w:sz w:val="22"/>
          <w:szCs w:val="22"/>
          <w:lang w:val="en-US" w:eastAsia="ko-KR"/>
        </w:rPr>
        <w:t xml:space="preserve">and frequency </w:t>
      </w:r>
      <w:r w:rsidRPr="007666E9">
        <w:rPr>
          <w:rFonts w:eastAsia="Malgun Gothic"/>
          <w:sz w:val="22"/>
          <w:szCs w:val="22"/>
          <w:lang w:val="en-US" w:eastAsia="ko-KR"/>
        </w:rPr>
        <w:t>as it depends on a multitude of parameters and design choices.</w:t>
      </w:r>
      <w:r w:rsidR="00015D8C" w:rsidRPr="007666E9">
        <w:rPr>
          <w:rFonts w:eastAsia="Malgun Gothic"/>
          <w:sz w:val="22"/>
          <w:szCs w:val="22"/>
          <w:lang w:val="en-US" w:eastAsia="ko-KR"/>
        </w:rPr>
        <w:t xml:space="preserve"> However, it is well understood that for increasing frequency the performance of PAs will be increasingly determined by passive circuit elements (designed as well as parasitic) that </w:t>
      </w:r>
      <w:r w:rsidR="00DC5AEB" w:rsidRPr="007666E9">
        <w:rPr>
          <w:rFonts w:eastAsia="Malgun Gothic"/>
          <w:sz w:val="22"/>
          <w:szCs w:val="22"/>
          <w:lang w:val="en-US" w:eastAsia="ko-KR"/>
        </w:rPr>
        <w:t>inevitibly will se</w:t>
      </w:r>
      <w:r w:rsidR="00013942">
        <w:rPr>
          <w:rFonts w:eastAsia="Malgun Gothic"/>
          <w:sz w:val="22"/>
          <w:szCs w:val="22"/>
          <w:lang w:val="en-US" w:eastAsia="ko-KR"/>
        </w:rPr>
        <w:t>e</w:t>
      </w:r>
      <w:r w:rsidR="00DC5AEB" w:rsidRPr="007666E9">
        <w:rPr>
          <w:rFonts w:eastAsia="Malgun Gothic"/>
          <w:sz w:val="22"/>
          <w:szCs w:val="22"/>
          <w:lang w:val="en-US" w:eastAsia="ko-KR"/>
        </w:rPr>
        <w:t xml:space="preserve"> increasing losses</w:t>
      </w:r>
      <w:r w:rsidR="00015D8C" w:rsidRPr="007666E9">
        <w:rPr>
          <w:rFonts w:eastAsia="Malgun Gothic"/>
          <w:sz w:val="22"/>
          <w:szCs w:val="22"/>
          <w:lang w:val="en-US" w:eastAsia="ko-KR"/>
        </w:rPr>
        <w:t xml:space="preserve">. </w:t>
      </w:r>
      <w:r w:rsidR="00DC5AEB" w:rsidRPr="007666E9">
        <w:rPr>
          <w:rFonts w:eastAsia="Malgun Gothic"/>
          <w:sz w:val="22"/>
          <w:szCs w:val="22"/>
          <w:lang w:val="en-US" w:eastAsia="ko-KR"/>
        </w:rPr>
        <w:t xml:space="preserve">Based on there sampled PAs in figure </w:t>
      </w:r>
      <w:r w:rsidR="007666E9">
        <w:rPr>
          <w:rFonts w:eastAsia="Malgun Gothic"/>
          <w:sz w:val="22"/>
          <w:szCs w:val="22"/>
          <w:lang w:val="en-US" w:eastAsia="ko-KR"/>
        </w:rPr>
        <w:t>2</w:t>
      </w:r>
      <w:r w:rsidR="00DC5AEB" w:rsidRPr="007666E9">
        <w:rPr>
          <w:rFonts w:eastAsia="Malgun Gothic"/>
          <w:sz w:val="22"/>
          <w:szCs w:val="22"/>
          <w:lang w:val="en-US" w:eastAsia="ko-KR"/>
        </w:rPr>
        <w:t xml:space="preserve"> a reasonable PAE degradation is 6dB/decade as indicated by the dashed line.</w:t>
      </w:r>
      <w:r w:rsidR="0032672C">
        <w:rPr>
          <w:rFonts w:eastAsia="Malgun Gothic"/>
          <w:sz w:val="22"/>
          <w:szCs w:val="22"/>
          <w:lang w:val="en-US" w:eastAsia="ko-KR"/>
        </w:rPr>
        <w:t xml:space="preserve"> Note that reported PAE levels </w:t>
      </w:r>
      <w:r w:rsidR="00430DC8">
        <w:rPr>
          <w:rFonts w:eastAsia="Malgun Gothic"/>
          <w:sz w:val="22"/>
          <w:szCs w:val="22"/>
          <w:lang w:val="en-US" w:eastAsia="ko-KR"/>
        </w:rPr>
        <w:t xml:space="preserve">generally </w:t>
      </w:r>
      <w:r w:rsidR="0032672C">
        <w:rPr>
          <w:rFonts w:eastAsia="Malgun Gothic"/>
          <w:sz w:val="22"/>
          <w:szCs w:val="22"/>
          <w:lang w:val="en-US" w:eastAsia="ko-KR"/>
        </w:rPr>
        <w:t>do not include losses in front-end components such as switches and filters.</w:t>
      </w:r>
    </w:p>
    <w:p w:rsidR="00116D79" w:rsidRPr="007666E9" w:rsidRDefault="00116D79" w:rsidP="00116D79">
      <w:pPr>
        <w:rPr>
          <w:sz w:val="22"/>
          <w:szCs w:val="22"/>
          <w:lang w:val="en-US"/>
        </w:rPr>
      </w:pPr>
    </w:p>
    <w:p w:rsidR="00B846E5" w:rsidRDefault="00B846E5" w:rsidP="0095338E">
      <w:pPr>
        <w:rPr>
          <w:lang w:val="en-US"/>
        </w:rPr>
      </w:pPr>
    </w:p>
    <w:p w:rsidR="00DC5AEB" w:rsidRDefault="00BA1E85" w:rsidP="00DC5AEB">
      <w:pPr>
        <w:keepNext/>
      </w:pPr>
      <w:r>
        <w:rPr>
          <w:noProof/>
          <w:lang w:val="sv-SE" w:eastAsia="sv-SE"/>
        </w:rPr>
        <w:drawing>
          <wp:inline distT="0" distB="0" distL="0" distR="0" wp14:anchorId="713ED864" wp14:editId="13006938">
            <wp:extent cx="6096000" cy="3687536"/>
            <wp:effectExtent l="0" t="0" r="0" b="8255"/>
            <wp:docPr id="9" name="Chart 9" title="Output power versus year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846E5" w:rsidRDefault="00DC5AEB" w:rsidP="00DC5AEB">
      <w:pPr>
        <w:pStyle w:val="Caption"/>
        <w:jc w:val="both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7744">
        <w:rPr>
          <w:noProof/>
        </w:rPr>
        <w:t>2</w:t>
      </w:r>
      <w:r>
        <w:fldChar w:fldCharType="end"/>
      </w:r>
      <w:r>
        <w:t xml:space="preserve"> Power added efficiency at peak output power versus frequency for various semiconductor technologies. The data points are taken from an internal Ericsson survey of published microwave and mm-wave power amplifier circuits.</w:t>
      </w:r>
    </w:p>
    <w:p w:rsidR="00DC5AEB" w:rsidRDefault="00DC5AEB" w:rsidP="0095338E">
      <w:pPr>
        <w:rPr>
          <w:lang w:val="en-US"/>
        </w:rPr>
      </w:pPr>
    </w:p>
    <w:p w:rsidR="00DC5AEB" w:rsidRDefault="00DC5AEB" w:rsidP="0095338E">
      <w:pPr>
        <w:rPr>
          <w:lang w:val="en-US"/>
        </w:rPr>
      </w:pPr>
    </w:p>
    <w:p w:rsidR="0046366D" w:rsidRDefault="0046366D" w:rsidP="0046366D">
      <w:pPr>
        <w:pStyle w:val="Heading2"/>
        <w:rPr>
          <w:lang w:val="en-US"/>
        </w:rPr>
      </w:pPr>
      <w:r>
        <w:rPr>
          <w:lang w:val="en-US"/>
        </w:rPr>
        <w:t xml:space="preserve">Achievable ACLR for 45 GHz </w:t>
      </w:r>
      <w:r w:rsidR="00DC5AEB">
        <w:rPr>
          <w:lang w:val="en-US"/>
        </w:rPr>
        <w:t xml:space="preserve">and 70 GHz </w:t>
      </w:r>
      <w:r>
        <w:rPr>
          <w:lang w:val="en-US"/>
        </w:rPr>
        <w:t>frequency range</w:t>
      </w:r>
      <w:r w:rsidR="00DC5AEB">
        <w:rPr>
          <w:lang w:val="en-US"/>
        </w:rPr>
        <w:t>s</w:t>
      </w:r>
    </w:p>
    <w:p w:rsidR="00D11FD6" w:rsidRPr="007666E9" w:rsidRDefault="007E6799" w:rsidP="0095338E">
      <w:pPr>
        <w:rPr>
          <w:sz w:val="22"/>
          <w:szCs w:val="22"/>
          <w:lang w:val="en-US"/>
        </w:rPr>
      </w:pPr>
      <w:r w:rsidRPr="007666E9">
        <w:rPr>
          <w:sz w:val="22"/>
          <w:szCs w:val="22"/>
          <w:lang w:val="en-US"/>
        </w:rPr>
        <w:t>To estimate attainable ACLR for 45 GHz and 70 GHz the PA models from [1] are re-simulated with output power and PAE degraded according to the discussion above</w:t>
      </w:r>
      <w:r w:rsidR="00CC7194" w:rsidRPr="007666E9">
        <w:rPr>
          <w:sz w:val="22"/>
          <w:szCs w:val="22"/>
          <w:lang w:val="en-US"/>
        </w:rPr>
        <w:t xml:space="preserve"> with a regular CP-OFDM input signal (without crest factor reduction)</w:t>
      </w:r>
      <w:r w:rsidRPr="007666E9">
        <w:rPr>
          <w:sz w:val="22"/>
          <w:szCs w:val="22"/>
          <w:lang w:val="en-US"/>
        </w:rPr>
        <w:t>. The</w:t>
      </w:r>
      <w:r w:rsidR="00D11FD6" w:rsidRPr="007666E9">
        <w:rPr>
          <w:sz w:val="22"/>
          <w:szCs w:val="22"/>
          <w:lang w:val="en-US"/>
        </w:rPr>
        <w:t xml:space="preserve"> </w:t>
      </w:r>
      <w:r w:rsidR="00CC7194" w:rsidRPr="007666E9">
        <w:rPr>
          <w:sz w:val="22"/>
          <w:szCs w:val="22"/>
          <w:lang w:val="en-US"/>
        </w:rPr>
        <w:t xml:space="preserve">frequency-dependent </w:t>
      </w:r>
      <w:r w:rsidR="00D11FD6" w:rsidRPr="007666E9">
        <w:rPr>
          <w:sz w:val="22"/>
          <w:szCs w:val="22"/>
          <w:lang w:val="en-US"/>
        </w:rPr>
        <w:t>degradation is specified in table 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1520"/>
        <w:gridCol w:w="1456"/>
        <w:gridCol w:w="1560"/>
      </w:tblGrid>
      <w:tr w:rsidR="00D11FD6" w:rsidRPr="007666E9" w:rsidTr="00D11FD6">
        <w:trPr>
          <w:jc w:val="center"/>
        </w:trPr>
        <w:tc>
          <w:tcPr>
            <w:tcW w:w="3369" w:type="dxa"/>
          </w:tcPr>
          <w:p w:rsidR="00D11FD6" w:rsidRPr="007666E9" w:rsidRDefault="00D11FD6" w:rsidP="0095338E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520" w:type="dxa"/>
          </w:tcPr>
          <w:p w:rsidR="00D11FD6" w:rsidRPr="007666E9" w:rsidRDefault="00D11FD6" w:rsidP="00D11FD6">
            <w:pPr>
              <w:jc w:val="center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30 GHz</w:t>
            </w:r>
          </w:p>
        </w:tc>
        <w:tc>
          <w:tcPr>
            <w:tcW w:w="1456" w:type="dxa"/>
          </w:tcPr>
          <w:p w:rsidR="00D11FD6" w:rsidRPr="007666E9" w:rsidRDefault="00D11FD6" w:rsidP="00D11FD6">
            <w:pPr>
              <w:jc w:val="center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45 GHz</w:t>
            </w:r>
          </w:p>
        </w:tc>
        <w:tc>
          <w:tcPr>
            <w:tcW w:w="1560" w:type="dxa"/>
          </w:tcPr>
          <w:p w:rsidR="00D11FD6" w:rsidRPr="007666E9" w:rsidRDefault="00D11FD6" w:rsidP="00D11FD6">
            <w:pPr>
              <w:jc w:val="center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70 GHz</w:t>
            </w:r>
          </w:p>
        </w:tc>
      </w:tr>
      <w:tr w:rsidR="00D11FD6" w:rsidRPr="007666E9" w:rsidTr="00D11FD6">
        <w:trPr>
          <w:jc w:val="center"/>
        </w:trPr>
        <w:tc>
          <w:tcPr>
            <w:tcW w:w="3369" w:type="dxa"/>
          </w:tcPr>
          <w:p w:rsidR="00D11FD6" w:rsidRPr="007666E9" w:rsidRDefault="00D11FD6" w:rsidP="0095338E">
            <w:pPr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Output power degradation</w:t>
            </w:r>
          </w:p>
        </w:tc>
        <w:tc>
          <w:tcPr>
            <w:tcW w:w="1520" w:type="dxa"/>
          </w:tcPr>
          <w:p w:rsidR="00D11FD6" w:rsidRPr="007666E9" w:rsidRDefault="00D11FD6" w:rsidP="00D11FD6">
            <w:pPr>
              <w:jc w:val="right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0 dB</w:t>
            </w:r>
          </w:p>
        </w:tc>
        <w:tc>
          <w:tcPr>
            <w:tcW w:w="1456" w:type="dxa"/>
          </w:tcPr>
          <w:p w:rsidR="00D11FD6" w:rsidRPr="007666E9" w:rsidRDefault="00D11FD6" w:rsidP="00D11FD6">
            <w:pPr>
              <w:jc w:val="right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3.52 dB</w:t>
            </w:r>
          </w:p>
        </w:tc>
        <w:tc>
          <w:tcPr>
            <w:tcW w:w="1560" w:type="dxa"/>
          </w:tcPr>
          <w:p w:rsidR="00D11FD6" w:rsidRPr="007666E9" w:rsidRDefault="00D11FD6" w:rsidP="00D11FD6">
            <w:pPr>
              <w:jc w:val="right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7.36 dB</w:t>
            </w:r>
          </w:p>
        </w:tc>
      </w:tr>
      <w:tr w:rsidR="00D11FD6" w:rsidRPr="007666E9" w:rsidTr="00D11FD6">
        <w:trPr>
          <w:jc w:val="center"/>
        </w:trPr>
        <w:tc>
          <w:tcPr>
            <w:tcW w:w="3369" w:type="dxa"/>
          </w:tcPr>
          <w:p w:rsidR="00D11FD6" w:rsidRPr="007666E9" w:rsidRDefault="00D11FD6" w:rsidP="0095338E">
            <w:pPr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PAE degrdation</w:t>
            </w:r>
          </w:p>
        </w:tc>
        <w:tc>
          <w:tcPr>
            <w:tcW w:w="1520" w:type="dxa"/>
          </w:tcPr>
          <w:p w:rsidR="00D11FD6" w:rsidRPr="007666E9" w:rsidRDefault="00D11FD6" w:rsidP="00D11FD6">
            <w:pPr>
              <w:jc w:val="right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0 dB</w:t>
            </w:r>
          </w:p>
        </w:tc>
        <w:tc>
          <w:tcPr>
            <w:tcW w:w="1456" w:type="dxa"/>
          </w:tcPr>
          <w:p w:rsidR="00D11FD6" w:rsidRPr="007666E9" w:rsidRDefault="00D11FD6" w:rsidP="00D11FD6">
            <w:pPr>
              <w:jc w:val="right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1.06 dB</w:t>
            </w:r>
          </w:p>
        </w:tc>
        <w:tc>
          <w:tcPr>
            <w:tcW w:w="1560" w:type="dxa"/>
          </w:tcPr>
          <w:p w:rsidR="00D11FD6" w:rsidRPr="007666E9" w:rsidRDefault="00D11FD6" w:rsidP="00D11FD6">
            <w:pPr>
              <w:keepNext/>
              <w:jc w:val="right"/>
              <w:rPr>
                <w:sz w:val="22"/>
                <w:szCs w:val="22"/>
                <w:lang w:val="en-US"/>
              </w:rPr>
            </w:pPr>
            <w:r w:rsidRPr="007666E9">
              <w:rPr>
                <w:sz w:val="22"/>
                <w:szCs w:val="22"/>
                <w:lang w:val="en-US"/>
              </w:rPr>
              <w:t>2.21 dB</w:t>
            </w:r>
          </w:p>
        </w:tc>
      </w:tr>
    </w:tbl>
    <w:p w:rsidR="00D11FD6" w:rsidRPr="007666E9" w:rsidRDefault="00D11FD6">
      <w:pPr>
        <w:pStyle w:val="Caption"/>
        <w:rPr>
          <w:sz w:val="22"/>
          <w:szCs w:val="22"/>
        </w:rPr>
      </w:pPr>
      <w:r w:rsidRPr="007666E9">
        <w:rPr>
          <w:sz w:val="22"/>
          <w:szCs w:val="22"/>
        </w:rPr>
        <w:t xml:space="preserve">Table </w:t>
      </w:r>
      <w:r w:rsidRPr="007666E9">
        <w:rPr>
          <w:sz w:val="22"/>
          <w:szCs w:val="22"/>
        </w:rPr>
        <w:fldChar w:fldCharType="begin"/>
      </w:r>
      <w:r w:rsidRPr="007666E9">
        <w:rPr>
          <w:sz w:val="22"/>
          <w:szCs w:val="22"/>
        </w:rPr>
        <w:instrText xml:space="preserve"> SEQ Table \* ARABIC </w:instrText>
      </w:r>
      <w:r w:rsidRPr="007666E9">
        <w:rPr>
          <w:sz w:val="22"/>
          <w:szCs w:val="22"/>
        </w:rPr>
        <w:fldChar w:fldCharType="separate"/>
      </w:r>
      <w:r w:rsidRPr="007666E9">
        <w:rPr>
          <w:noProof/>
          <w:sz w:val="22"/>
          <w:szCs w:val="22"/>
        </w:rPr>
        <w:t>1</w:t>
      </w:r>
      <w:r w:rsidRPr="007666E9">
        <w:rPr>
          <w:sz w:val="22"/>
          <w:szCs w:val="22"/>
        </w:rPr>
        <w:fldChar w:fldCharType="end"/>
      </w:r>
      <w:r w:rsidRPr="007666E9">
        <w:rPr>
          <w:sz w:val="22"/>
          <w:szCs w:val="22"/>
        </w:rPr>
        <w:t xml:space="preserve"> Power and PAE degradation vs. frequency.</w:t>
      </w:r>
    </w:p>
    <w:p w:rsidR="0046366D" w:rsidRPr="007666E9" w:rsidRDefault="007E6799" w:rsidP="0095338E">
      <w:pPr>
        <w:rPr>
          <w:sz w:val="22"/>
          <w:szCs w:val="22"/>
          <w:lang w:val="en-US"/>
        </w:rPr>
      </w:pPr>
      <w:r w:rsidRPr="007666E9">
        <w:rPr>
          <w:sz w:val="22"/>
          <w:szCs w:val="22"/>
          <w:lang w:val="en-US"/>
        </w:rPr>
        <w:t xml:space="preserve">  </w:t>
      </w:r>
    </w:p>
    <w:p w:rsidR="000E744A" w:rsidRPr="007666E9" w:rsidRDefault="00B5298C" w:rsidP="0095338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Figure 3</w:t>
      </w:r>
      <w:r w:rsidR="00DD18C5">
        <w:rPr>
          <w:sz w:val="22"/>
          <w:szCs w:val="22"/>
          <w:lang w:val="en-US"/>
        </w:rPr>
        <w:t xml:space="preserve"> where the relation between output power and ACLR is give</w:t>
      </w:r>
      <w:r w:rsidR="00430DC8">
        <w:rPr>
          <w:sz w:val="22"/>
          <w:szCs w:val="22"/>
          <w:lang w:val="en-US"/>
        </w:rPr>
        <w:t>n</w:t>
      </w:r>
      <w:r>
        <w:rPr>
          <w:sz w:val="22"/>
          <w:szCs w:val="22"/>
          <w:lang w:val="en-US"/>
        </w:rPr>
        <w:t>,</w:t>
      </w:r>
      <w:r w:rsidR="000E744A" w:rsidRPr="007666E9">
        <w:rPr>
          <w:sz w:val="22"/>
          <w:szCs w:val="22"/>
          <w:lang w:val="en-US"/>
        </w:rPr>
        <w:t xml:space="preserve"> there is a 5dB reduction in </w:t>
      </w:r>
      <w:r w:rsidR="00430DC8">
        <w:rPr>
          <w:sz w:val="22"/>
          <w:szCs w:val="22"/>
          <w:lang w:val="en-US"/>
        </w:rPr>
        <w:t>output power</w:t>
      </w:r>
      <w:r w:rsidR="00430DC8" w:rsidRPr="007666E9">
        <w:rPr>
          <w:sz w:val="22"/>
          <w:szCs w:val="22"/>
          <w:lang w:val="en-US"/>
        </w:rPr>
        <w:t xml:space="preserve"> </w:t>
      </w:r>
      <w:r w:rsidR="000E744A" w:rsidRPr="007666E9">
        <w:rPr>
          <w:sz w:val="22"/>
          <w:szCs w:val="22"/>
          <w:lang w:val="en-US"/>
        </w:rPr>
        <w:t>for a given ACLR when going form 30GHz to 70GHz.  Alternative</w:t>
      </w:r>
      <w:r w:rsidR="00430DC8">
        <w:rPr>
          <w:sz w:val="22"/>
          <w:szCs w:val="22"/>
          <w:lang w:val="en-US"/>
        </w:rPr>
        <w:t>ly</w:t>
      </w:r>
      <w:r w:rsidR="000E744A" w:rsidRPr="007666E9">
        <w:rPr>
          <w:sz w:val="22"/>
          <w:szCs w:val="22"/>
          <w:lang w:val="en-US"/>
        </w:rPr>
        <w:t xml:space="preserve">, for a given </w:t>
      </w:r>
      <w:r w:rsidR="00430DC8">
        <w:rPr>
          <w:sz w:val="22"/>
          <w:szCs w:val="22"/>
          <w:lang w:val="en-US"/>
        </w:rPr>
        <w:t>output power</w:t>
      </w:r>
      <w:r w:rsidR="000E744A" w:rsidRPr="007666E9">
        <w:rPr>
          <w:sz w:val="22"/>
          <w:szCs w:val="22"/>
          <w:lang w:val="en-US"/>
        </w:rPr>
        <w:t xml:space="preserve"> there is a 15dB </w:t>
      </w:r>
      <w:r w:rsidR="001666D1" w:rsidRPr="007666E9">
        <w:rPr>
          <w:sz w:val="22"/>
          <w:szCs w:val="22"/>
          <w:lang w:val="en-US"/>
        </w:rPr>
        <w:t>drop in ACLR when going from 30GHz to 70GHz.</w:t>
      </w:r>
    </w:p>
    <w:p w:rsidR="000E744A" w:rsidRPr="007666E9" w:rsidRDefault="00B5298C" w:rsidP="0095338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Figure</w:t>
      </w:r>
      <w:r w:rsidR="00430DC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="00DD18C5">
        <w:rPr>
          <w:sz w:val="22"/>
          <w:szCs w:val="22"/>
          <w:lang w:val="en-US"/>
        </w:rPr>
        <w:t xml:space="preserve"> where the relation between ACLR and PAE is given</w:t>
      </w:r>
      <w:r>
        <w:rPr>
          <w:sz w:val="22"/>
          <w:szCs w:val="22"/>
          <w:lang w:val="en-US"/>
        </w:rPr>
        <w:t>,</w:t>
      </w:r>
      <w:r w:rsidR="00D75B79">
        <w:rPr>
          <w:sz w:val="22"/>
          <w:szCs w:val="22"/>
          <w:lang w:val="en-US"/>
        </w:rPr>
        <w:t xml:space="preserve"> for ACLR&lt;35dB and</w:t>
      </w:r>
      <w:r w:rsidR="000E744A" w:rsidRPr="007666E9">
        <w:rPr>
          <w:sz w:val="22"/>
          <w:szCs w:val="22"/>
          <w:lang w:val="en-US"/>
        </w:rPr>
        <w:t xml:space="preserve"> for a given PAE in this ACLR range, going from 30GHz to 70GHz, corresponds to </w:t>
      </w:r>
      <w:r w:rsidR="00430DC8">
        <w:rPr>
          <w:sz w:val="22"/>
          <w:szCs w:val="22"/>
          <w:lang w:val="en-US"/>
        </w:rPr>
        <w:t xml:space="preserve">roughly </w:t>
      </w:r>
      <w:r w:rsidR="000E744A" w:rsidRPr="007666E9">
        <w:rPr>
          <w:sz w:val="22"/>
          <w:szCs w:val="22"/>
          <w:lang w:val="en-US"/>
        </w:rPr>
        <w:t>6dB worse ACLR.</w:t>
      </w:r>
    </w:p>
    <w:p w:rsidR="00C77744" w:rsidRDefault="00272F4F" w:rsidP="00C77744">
      <w:pPr>
        <w:keepNext/>
      </w:pPr>
      <w:r w:rsidRPr="00272F4F">
        <w:rPr>
          <w:noProof/>
          <w:lang w:val="sv-SE" w:eastAsia="sv-SE"/>
        </w:rPr>
        <w:lastRenderedPageBreak/>
        <w:drawing>
          <wp:inline distT="0" distB="0" distL="0" distR="0" wp14:anchorId="11D14A9C" wp14:editId="2527FE2B">
            <wp:extent cx="5325745" cy="399478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39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44A" w:rsidRDefault="00C77744" w:rsidP="00C77744">
      <w:pPr>
        <w:pStyle w:val="Caption"/>
        <w:jc w:val="both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of CMOS and GaN power amplifier model</w:t>
      </w:r>
      <w:r w:rsidR="00F12D15">
        <w:t>s</w:t>
      </w:r>
      <w:r>
        <w:t xml:space="preserve"> </w:t>
      </w:r>
      <w:r w:rsidR="00F12D15">
        <w:t xml:space="preserve">showing </w:t>
      </w:r>
      <w:r>
        <w:t>ACLR as a function of output</w:t>
      </w:r>
      <w:r w:rsidR="00F12D15">
        <w:t xml:space="preserve"> power for three different frequencies.</w:t>
      </w:r>
    </w:p>
    <w:p w:rsidR="00C77744" w:rsidRDefault="00272F4F" w:rsidP="00C77744">
      <w:pPr>
        <w:keepNext/>
      </w:pPr>
      <w:r w:rsidRPr="00272F4F">
        <w:rPr>
          <w:noProof/>
          <w:lang w:val="sv-SE" w:eastAsia="sv-SE"/>
        </w:rPr>
        <w:drawing>
          <wp:inline distT="0" distB="0" distL="0" distR="0" wp14:anchorId="0A4E73A4" wp14:editId="7EB72102">
            <wp:extent cx="5325745" cy="39947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399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44A" w:rsidRDefault="00C77744" w:rsidP="00C77744">
      <w:pPr>
        <w:pStyle w:val="Caption"/>
        <w:jc w:val="both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 w:rsidR="00F12D15" w:rsidRPr="00F12D15">
        <w:t xml:space="preserve"> </w:t>
      </w:r>
      <w:r w:rsidR="00F12D15">
        <w:t>Simulation of CMOS and GaN power amplifier models showing PAE as a function of ACLR for three different frequencies</w:t>
      </w:r>
    </w:p>
    <w:p w:rsidR="00DD18C5" w:rsidRPr="00DD18C5" w:rsidRDefault="00B5298C" w:rsidP="00036CC6">
      <w:pPr>
        <w:rPr>
          <w:rFonts w:eastAsia="Malgun Gothic" w:cs="Arial"/>
          <w:sz w:val="22"/>
          <w:szCs w:val="22"/>
          <w:lang w:eastAsia="ko-KR"/>
        </w:rPr>
      </w:pPr>
      <w:r w:rsidRPr="00DD18C5">
        <w:rPr>
          <w:rFonts w:eastAsia="Malgun Gothic" w:cs="Arial"/>
          <w:sz w:val="22"/>
          <w:szCs w:val="22"/>
          <w:lang w:eastAsia="ko-KR"/>
        </w:rPr>
        <w:lastRenderedPageBreak/>
        <w:t xml:space="preserve">For a reasonable trade-off between output power, ACLR and PAE for example frequency ranges of of 30 GHz, 45 GHz and 70 GHz, </w:t>
      </w:r>
      <w:r w:rsidR="00DD18C5" w:rsidRPr="00DD18C5">
        <w:rPr>
          <w:rFonts w:eastAsia="Malgun Gothic" w:cs="Arial"/>
          <w:sz w:val="22"/>
          <w:szCs w:val="22"/>
          <w:lang w:eastAsia="ko-KR"/>
        </w:rPr>
        <w:t>the following proposal should be adopted</w:t>
      </w:r>
    </w:p>
    <w:p w:rsidR="00DD18C5" w:rsidRPr="00DD18C5" w:rsidRDefault="00DD18C5" w:rsidP="00036CC6">
      <w:pPr>
        <w:rPr>
          <w:rFonts w:eastAsia="Malgun Gothic" w:cs="Arial"/>
          <w:b/>
          <w:sz w:val="22"/>
          <w:szCs w:val="22"/>
          <w:lang w:eastAsia="ko-KR"/>
        </w:rPr>
      </w:pPr>
      <w:r w:rsidRPr="00DD18C5">
        <w:rPr>
          <w:rFonts w:eastAsia="Malgun Gothic" w:cs="Arial"/>
          <w:b/>
          <w:sz w:val="22"/>
          <w:szCs w:val="22"/>
          <w:lang w:eastAsia="ko-KR"/>
        </w:rPr>
        <w:t>Proposal 1:</w:t>
      </w:r>
    </w:p>
    <w:p w:rsidR="00036CC6" w:rsidRPr="00DD18C5" w:rsidRDefault="00B5298C" w:rsidP="00036CC6">
      <w:pPr>
        <w:rPr>
          <w:rFonts w:eastAsia="Malgun Gothic" w:cs="Arial"/>
          <w:b/>
          <w:sz w:val="22"/>
          <w:szCs w:val="22"/>
          <w:lang w:eastAsia="ko-KR"/>
        </w:rPr>
      </w:pP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BS ACLR </w:t>
      </w:r>
      <w:r w:rsidR="00DD18C5" w:rsidRPr="00DD18C5">
        <w:rPr>
          <w:rFonts w:eastAsia="Malgun Gothic" w:cs="Arial"/>
          <w:b/>
          <w:sz w:val="22"/>
          <w:szCs w:val="22"/>
          <w:lang w:eastAsia="ko-KR"/>
        </w:rPr>
        <w:t xml:space="preserve">level </w:t>
      </w:r>
      <w:r w:rsidRPr="00DD18C5">
        <w:rPr>
          <w:rFonts w:eastAsia="Malgun Gothic" w:cs="Arial"/>
          <w:b/>
          <w:sz w:val="22"/>
          <w:szCs w:val="22"/>
          <w:lang w:eastAsia="ko-KR"/>
        </w:rPr>
        <w:t xml:space="preserve">of 30, 27 and 24 dB </w:t>
      </w:r>
      <w:r w:rsidR="00DD18C5" w:rsidRPr="00DD18C5">
        <w:rPr>
          <w:rFonts w:eastAsia="Malgun Gothic" w:cs="Arial"/>
          <w:b/>
          <w:sz w:val="22"/>
          <w:szCs w:val="22"/>
          <w:lang w:eastAsia="ko-KR"/>
        </w:rPr>
        <w:t xml:space="preserve">for example frequency ranges of 30 GHz, 45 GHz and 70 GHz respectively </w:t>
      </w:r>
      <w:r w:rsidRPr="00DD18C5">
        <w:rPr>
          <w:rFonts w:eastAsia="Malgun Gothic" w:cs="Arial"/>
          <w:b/>
          <w:sz w:val="22"/>
          <w:szCs w:val="22"/>
          <w:lang w:eastAsia="ko-KR"/>
        </w:rPr>
        <w:t>should be adopted</w:t>
      </w:r>
      <w:r w:rsidR="00DD18C5">
        <w:rPr>
          <w:rFonts w:eastAsia="Malgun Gothic" w:cs="Arial"/>
          <w:b/>
          <w:sz w:val="22"/>
          <w:szCs w:val="22"/>
          <w:lang w:eastAsia="ko-KR"/>
        </w:rPr>
        <w:t>.</w:t>
      </w:r>
    </w:p>
    <w:p w:rsidR="00036CC6" w:rsidRPr="00230C11" w:rsidRDefault="00036CC6" w:rsidP="00B80F18">
      <w:pPr>
        <w:rPr>
          <w:rFonts w:eastAsia="Malgun Gothic" w:cs="Arial"/>
          <w:b/>
          <w:sz w:val="24"/>
          <w:szCs w:val="22"/>
          <w:lang w:eastAsia="ko-KR"/>
        </w:rPr>
      </w:pPr>
    </w:p>
    <w:p w:rsidR="00C01F33" w:rsidRDefault="00C01F33" w:rsidP="000C461F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:rsidR="00C36A39" w:rsidRDefault="00D140F6" w:rsidP="002957B7">
      <w:pPr>
        <w:rPr>
          <w:sz w:val="22"/>
          <w:lang w:val="en-US"/>
        </w:rPr>
      </w:pPr>
      <w:r w:rsidRPr="00D140F6">
        <w:rPr>
          <w:sz w:val="22"/>
          <w:szCs w:val="22"/>
          <w:lang w:val="en-US"/>
        </w:rPr>
        <w:t xml:space="preserve">In this paper, </w:t>
      </w:r>
      <w:r w:rsidR="00036CC6">
        <w:rPr>
          <w:sz w:val="22"/>
          <w:szCs w:val="22"/>
          <w:lang w:val="en-US"/>
        </w:rPr>
        <w:t>we elaborate more</w:t>
      </w:r>
      <w:r w:rsidRPr="00D140F6">
        <w:rPr>
          <w:sz w:val="22"/>
          <w:szCs w:val="22"/>
          <w:lang w:val="en-US"/>
        </w:rPr>
        <w:t xml:space="preserve"> on mm-wave ACLR</w:t>
      </w:r>
      <w:r w:rsidR="00036CC6">
        <w:rPr>
          <w:sz w:val="22"/>
          <w:szCs w:val="22"/>
          <w:lang w:val="en-US"/>
        </w:rPr>
        <w:t xml:space="preserve"> covering achievable levels at 45 GHz and 70 GHz respectively. </w:t>
      </w:r>
      <w:r w:rsidRPr="00D140F6">
        <w:rPr>
          <w:sz w:val="22"/>
          <w:szCs w:val="22"/>
          <w:lang w:val="en-US"/>
        </w:rPr>
        <w:t xml:space="preserve">Based on the previous discussions in relation </w:t>
      </w:r>
      <w:r w:rsidR="004A326B">
        <w:rPr>
          <w:sz w:val="22"/>
          <w:szCs w:val="22"/>
          <w:lang w:val="en-US"/>
        </w:rPr>
        <w:t xml:space="preserve">to </w:t>
      </w:r>
      <w:r w:rsidR="00036CC6">
        <w:rPr>
          <w:sz w:val="22"/>
          <w:szCs w:val="22"/>
          <w:lang w:val="en-US"/>
        </w:rPr>
        <w:t xml:space="preserve">ACLR for 30 GHz and the </w:t>
      </w:r>
      <w:r w:rsidRPr="00D140F6">
        <w:rPr>
          <w:sz w:val="22"/>
          <w:szCs w:val="22"/>
          <w:lang w:val="en-US"/>
        </w:rPr>
        <w:t xml:space="preserve">power amplifier </w:t>
      </w:r>
      <w:r>
        <w:rPr>
          <w:sz w:val="22"/>
          <w:szCs w:val="22"/>
          <w:lang w:val="en-US"/>
        </w:rPr>
        <w:t xml:space="preserve">important performance </w:t>
      </w:r>
      <w:r w:rsidRPr="00D140F6">
        <w:rPr>
          <w:sz w:val="22"/>
          <w:szCs w:val="22"/>
          <w:lang w:val="en-US"/>
        </w:rPr>
        <w:t>characteristics</w:t>
      </w:r>
      <w:r>
        <w:rPr>
          <w:sz w:val="22"/>
          <w:szCs w:val="22"/>
          <w:lang w:val="en-US"/>
        </w:rPr>
        <w:t xml:space="preserve"> </w:t>
      </w:r>
      <w:r w:rsidR="003275CD">
        <w:rPr>
          <w:sz w:val="22"/>
          <w:szCs w:val="22"/>
          <w:lang w:val="en-US"/>
        </w:rPr>
        <w:t>over frequency</w:t>
      </w:r>
      <w:r w:rsidR="004A326B">
        <w:rPr>
          <w:sz w:val="22"/>
          <w:szCs w:val="22"/>
          <w:lang w:val="en-US"/>
        </w:rPr>
        <w:t>,</w:t>
      </w:r>
      <w:r w:rsidR="003275CD">
        <w:rPr>
          <w:sz w:val="22"/>
          <w:szCs w:val="22"/>
          <w:lang w:val="en-US"/>
        </w:rPr>
        <w:t xml:space="preserve"> </w:t>
      </w:r>
      <w:r w:rsidR="00036CC6">
        <w:rPr>
          <w:sz w:val="22"/>
          <w:szCs w:val="22"/>
          <w:lang w:val="en-US"/>
        </w:rPr>
        <w:t>achievable</w:t>
      </w:r>
      <w:r w:rsidR="004A326B">
        <w:rPr>
          <w:sz w:val="22"/>
          <w:szCs w:val="22"/>
          <w:lang w:val="en-US"/>
        </w:rPr>
        <w:t xml:space="preserve"> BS</w:t>
      </w:r>
      <w:r w:rsidR="00036CC6">
        <w:rPr>
          <w:sz w:val="22"/>
          <w:szCs w:val="22"/>
          <w:lang w:val="en-US"/>
        </w:rPr>
        <w:t xml:space="preserve"> ACLR values for 45 GHz and 75 GHz of </w:t>
      </w:r>
      <w:r w:rsidR="00DD18C5">
        <w:rPr>
          <w:sz w:val="22"/>
          <w:szCs w:val="22"/>
          <w:lang w:val="en-US"/>
        </w:rPr>
        <w:t>27 dB</w:t>
      </w:r>
      <w:r w:rsidR="00036CC6">
        <w:rPr>
          <w:sz w:val="22"/>
          <w:szCs w:val="22"/>
          <w:lang w:val="en-US"/>
        </w:rPr>
        <w:t xml:space="preserve"> and </w:t>
      </w:r>
      <w:r w:rsidR="00DD18C5">
        <w:rPr>
          <w:sz w:val="22"/>
          <w:szCs w:val="22"/>
          <w:lang w:val="en-US"/>
        </w:rPr>
        <w:t>24 dB</w:t>
      </w:r>
      <w:r w:rsidR="00036CC6">
        <w:rPr>
          <w:sz w:val="22"/>
          <w:szCs w:val="22"/>
          <w:lang w:val="en-US"/>
        </w:rPr>
        <w:t xml:space="preserve"> respectively were presented.</w:t>
      </w:r>
    </w:p>
    <w:p w:rsidR="006502E3" w:rsidRDefault="00036CC6" w:rsidP="002957B7">
      <w:pPr>
        <w:rPr>
          <w:sz w:val="22"/>
          <w:lang w:val="en-US"/>
        </w:rPr>
      </w:pPr>
      <w:r>
        <w:rPr>
          <w:sz w:val="22"/>
          <w:lang w:val="en-US"/>
        </w:rPr>
        <w:t>Similar to the discussions in relation to ACLR for 30 GHz, t</w:t>
      </w:r>
      <w:r w:rsidR="00D140F6">
        <w:rPr>
          <w:sz w:val="22"/>
          <w:lang w:val="en-US"/>
        </w:rPr>
        <w:t xml:space="preserve">he </w:t>
      </w:r>
      <w:r w:rsidR="006502E3">
        <w:rPr>
          <w:sz w:val="22"/>
          <w:lang w:val="en-US"/>
        </w:rPr>
        <w:t>achievable typical values for ACLR</w:t>
      </w:r>
      <w:r w:rsidR="00D140F6">
        <w:rPr>
          <w:sz w:val="22"/>
          <w:lang w:val="en-US"/>
        </w:rPr>
        <w:t xml:space="preserve"> shown in this paper should be </w:t>
      </w:r>
      <w:r w:rsidR="006502E3">
        <w:rPr>
          <w:sz w:val="22"/>
          <w:lang w:val="en-US"/>
        </w:rPr>
        <w:t>taken to account</w:t>
      </w:r>
      <w:r w:rsidR="00D140F6">
        <w:rPr>
          <w:sz w:val="22"/>
          <w:lang w:val="en-US"/>
        </w:rPr>
        <w:t xml:space="preserve"> in </w:t>
      </w:r>
      <w:r w:rsidR="006502E3">
        <w:rPr>
          <w:sz w:val="22"/>
          <w:lang w:val="en-US"/>
        </w:rPr>
        <w:t>addition to co-existence study results before concluding the parameter values for ITU-R.</w:t>
      </w:r>
    </w:p>
    <w:p w:rsidR="00C36A39" w:rsidRDefault="00C36A39" w:rsidP="002957B7">
      <w:pPr>
        <w:rPr>
          <w:sz w:val="22"/>
          <w:lang w:val="en-US"/>
        </w:rPr>
      </w:pPr>
      <w:r>
        <w:rPr>
          <w:sz w:val="22"/>
          <w:lang w:val="en-US"/>
        </w:rPr>
        <w:t>We thus propose the following:</w:t>
      </w:r>
    </w:p>
    <w:p w:rsidR="00003BB1" w:rsidRPr="007D4708" w:rsidRDefault="00003BB1" w:rsidP="00003BB1">
      <w:pPr>
        <w:rPr>
          <w:rFonts w:eastAsia="Malgun Gothic" w:cs="Arial"/>
          <w:b/>
          <w:sz w:val="24"/>
          <w:szCs w:val="22"/>
          <w:lang w:eastAsia="ko-KR"/>
        </w:rPr>
      </w:pPr>
      <w:r w:rsidRPr="007D4708">
        <w:rPr>
          <w:rFonts w:eastAsia="Malgun Gothic" w:cs="Arial"/>
          <w:b/>
          <w:sz w:val="24"/>
          <w:szCs w:val="22"/>
          <w:lang w:eastAsia="ko-KR"/>
        </w:rPr>
        <w:t>Proposal 1:</w:t>
      </w:r>
    </w:p>
    <w:p w:rsidR="00003BB1" w:rsidRPr="007D4708" w:rsidRDefault="00003BB1" w:rsidP="00003BB1">
      <w:pPr>
        <w:rPr>
          <w:b/>
          <w:sz w:val="22"/>
          <w:szCs w:val="22"/>
          <w:lang w:val="en-US"/>
        </w:rPr>
      </w:pPr>
      <w:r w:rsidRPr="007D4708">
        <w:rPr>
          <w:b/>
          <w:sz w:val="22"/>
          <w:szCs w:val="22"/>
          <w:lang w:val="en-US"/>
        </w:rPr>
        <w:t>For mm-wave frequencies</w:t>
      </w:r>
      <w:r>
        <w:rPr>
          <w:b/>
          <w:sz w:val="22"/>
          <w:szCs w:val="22"/>
          <w:lang w:val="en-US"/>
        </w:rPr>
        <w:t>, even though similar technology can be used for BS and UE, the ACLR values should be different as for the UE, the need for higher power efficiency should be considered.</w:t>
      </w:r>
    </w:p>
    <w:p w:rsidR="00003BB1" w:rsidRDefault="00003BB1" w:rsidP="002957B7">
      <w:pPr>
        <w:rPr>
          <w:sz w:val="22"/>
          <w:lang w:val="en-US"/>
        </w:rPr>
      </w:pPr>
    </w:p>
    <w:p w:rsidR="00036CC6" w:rsidRPr="00230C11" w:rsidRDefault="00036CC6" w:rsidP="00036CC6">
      <w:pPr>
        <w:rPr>
          <w:rFonts w:eastAsia="Malgun Gothic" w:cs="Arial"/>
          <w:b/>
          <w:sz w:val="24"/>
          <w:szCs w:val="22"/>
          <w:lang w:eastAsia="ko-KR"/>
        </w:rPr>
      </w:pPr>
      <w:r w:rsidRPr="00230C11">
        <w:rPr>
          <w:rFonts w:eastAsia="Malgun Gothic" w:cs="Arial"/>
          <w:b/>
          <w:sz w:val="24"/>
          <w:szCs w:val="22"/>
          <w:lang w:eastAsia="ko-KR"/>
        </w:rPr>
        <w:t xml:space="preserve">Proposal </w:t>
      </w:r>
      <w:r w:rsidR="00003BB1">
        <w:rPr>
          <w:rFonts w:eastAsia="Malgun Gothic" w:cs="Arial"/>
          <w:b/>
          <w:sz w:val="24"/>
          <w:szCs w:val="22"/>
          <w:lang w:eastAsia="ko-KR"/>
        </w:rPr>
        <w:t>2</w:t>
      </w:r>
      <w:r>
        <w:rPr>
          <w:rFonts w:eastAsia="Malgun Gothic" w:cs="Arial"/>
          <w:b/>
          <w:sz w:val="24"/>
          <w:szCs w:val="22"/>
          <w:lang w:eastAsia="ko-KR"/>
        </w:rPr>
        <w:t>:</w:t>
      </w:r>
    </w:p>
    <w:p w:rsidR="001F4736" w:rsidRPr="00003BB1" w:rsidRDefault="00430DC8" w:rsidP="003F4423">
      <w:pPr>
        <w:rPr>
          <w:rFonts w:cs="Arial"/>
          <w:sz w:val="22"/>
          <w:szCs w:val="22"/>
        </w:rPr>
      </w:pPr>
      <w:r w:rsidRPr="00DD18C5">
        <w:rPr>
          <w:rFonts w:eastAsia="Malgun Gothic" w:cs="Arial"/>
          <w:b/>
          <w:sz w:val="22"/>
          <w:szCs w:val="22"/>
          <w:lang w:eastAsia="ko-KR"/>
        </w:rPr>
        <w:t>BS ACLR level of 30, 27 and 24 dB for example frequency ranges of 30 GHz, 45 GHz and 70 GHz respectively should be adopted</w:t>
      </w:r>
      <w:r>
        <w:rPr>
          <w:rFonts w:eastAsia="Malgun Gothic" w:cs="Arial"/>
          <w:b/>
          <w:sz w:val="22"/>
          <w:szCs w:val="22"/>
          <w:lang w:eastAsia="ko-KR"/>
        </w:rPr>
        <w:t>.</w:t>
      </w:r>
    </w:p>
    <w:p w:rsidR="00F507D1" w:rsidRPr="00CC1AF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CC1AFA">
        <w:rPr>
          <w:lang w:val="en-US"/>
        </w:rPr>
        <w:t>References</w:t>
      </w:r>
    </w:p>
    <w:p w:rsidR="00912459" w:rsidRPr="00EE08BB" w:rsidRDefault="00912459" w:rsidP="007574AE">
      <w:pPr>
        <w:pStyle w:val="BodyText"/>
        <w:rPr>
          <w:rFonts w:cs="Arial"/>
          <w:sz w:val="22"/>
          <w:szCs w:val="22"/>
          <w:lang w:val="en-US"/>
        </w:rPr>
      </w:pPr>
      <w:r w:rsidRPr="001F4736">
        <w:rPr>
          <w:rFonts w:cs="Arial"/>
          <w:sz w:val="22"/>
          <w:szCs w:val="22"/>
          <w:lang w:val="en-US"/>
        </w:rPr>
        <w:t>[1]</w:t>
      </w:r>
      <w:r w:rsidR="007574AE" w:rsidRPr="001F4736">
        <w:rPr>
          <w:rFonts w:cs="Arial"/>
          <w:sz w:val="22"/>
          <w:szCs w:val="22"/>
          <w:lang w:val="en-US"/>
        </w:rPr>
        <w:tab/>
      </w:r>
      <w:r w:rsidR="007574AE" w:rsidRPr="00EE08BB">
        <w:rPr>
          <w:rFonts w:cs="Arial"/>
          <w:sz w:val="22"/>
          <w:szCs w:val="22"/>
          <w:lang w:val="en-US"/>
        </w:rPr>
        <w:t>R4-</w:t>
      </w:r>
      <w:r w:rsidR="00033580" w:rsidRPr="00EE08BB">
        <w:rPr>
          <w:rFonts w:cs="Arial"/>
          <w:sz w:val="22"/>
          <w:szCs w:val="22"/>
          <w:lang w:val="en-US"/>
        </w:rPr>
        <w:t>16</w:t>
      </w:r>
      <w:r w:rsidR="000C461F" w:rsidRPr="00EE08BB">
        <w:rPr>
          <w:rFonts w:cs="Arial"/>
          <w:sz w:val="22"/>
          <w:szCs w:val="22"/>
          <w:lang w:val="en-US"/>
        </w:rPr>
        <w:t>4226</w:t>
      </w:r>
      <w:r w:rsidR="007574AE" w:rsidRPr="00EE08BB">
        <w:rPr>
          <w:rFonts w:cs="Arial"/>
          <w:sz w:val="22"/>
          <w:szCs w:val="22"/>
          <w:lang w:val="en-US"/>
        </w:rPr>
        <w:t>, “</w:t>
      </w:r>
      <w:r w:rsidR="003275CD" w:rsidRPr="00EE08BB">
        <w:rPr>
          <w:rFonts w:cs="Arial"/>
          <w:sz w:val="22"/>
          <w:szCs w:val="22"/>
          <w:lang w:val="en-US"/>
        </w:rPr>
        <w:t>O</w:t>
      </w:r>
      <w:r w:rsidR="000C461F" w:rsidRPr="00EE08BB">
        <w:rPr>
          <w:rFonts w:cs="Arial"/>
          <w:sz w:val="22"/>
          <w:szCs w:val="22"/>
          <w:lang w:val="en-US"/>
        </w:rPr>
        <w:t>n mm-wave technology</w:t>
      </w:r>
      <w:r w:rsidR="007574AE" w:rsidRPr="00EE08BB">
        <w:rPr>
          <w:rFonts w:cs="Arial"/>
          <w:sz w:val="22"/>
          <w:szCs w:val="22"/>
          <w:lang w:val="en-US"/>
        </w:rPr>
        <w:t>”, Ericsson</w:t>
      </w:r>
    </w:p>
    <w:p w:rsidR="00C308C0" w:rsidRDefault="00E662D6" w:rsidP="00C308C0">
      <w:pPr>
        <w:pStyle w:val="BodyText"/>
        <w:rPr>
          <w:rFonts w:cs="Arial"/>
          <w:sz w:val="22"/>
          <w:szCs w:val="22"/>
          <w:lang w:val="en-US"/>
        </w:rPr>
      </w:pPr>
      <w:r w:rsidRPr="00EE08BB">
        <w:rPr>
          <w:rFonts w:cs="Arial"/>
          <w:sz w:val="22"/>
          <w:szCs w:val="22"/>
          <w:lang w:val="en-US"/>
        </w:rPr>
        <w:t>[2]</w:t>
      </w:r>
      <w:r w:rsidRPr="00EE08BB">
        <w:rPr>
          <w:rFonts w:cs="Arial"/>
          <w:sz w:val="22"/>
          <w:szCs w:val="22"/>
          <w:lang w:val="en-US"/>
        </w:rPr>
        <w:tab/>
        <w:t>R4-16</w:t>
      </w:r>
      <w:r w:rsidR="00EE08BB" w:rsidRPr="00EE08BB">
        <w:rPr>
          <w:rFonts w:cs="Arial"/>
          <w:sz w:val="22"/>
          <w:szCs w:val="22"/>
          <w:lang w:val="en-US"/>
        </w:rPr>
        <w:t>5901</w:t>
      </w:r>
      <w:r w:rsidRPr="00EE08BB">
        <w:rPr>
          <w:rFonts w:cs="Arial"/>
          <w:sz w:val="22"/>
          <w:szCs w:val="22"/>
          <w:lang w:val="en-US"/>
        </w:rPr>
        <w:t>, “</w:t>
      </w:r>
      <w:r w:rsidR="00EE08BB" w:rsidRPr="00EE08BB">
        <w:rPr>
          <w:rFonts w:cs="Arial"/>
          <w:sz w:val="22"/>
          <w:szCs w:val="22"/>
          <w:lang w:val="en-US"/>
        </w:rPr>
        <w:t>Further elaboration on PA models for NR</w:t>
      </w:r>
      <w:r w:rsidRPr="00EE08BB">
        <w:rPr>
          <w:rFonts w:cs="Arial"/>
          <w:sz w:val="22"/>
          <w:szCs w:val="22"/>
          <w:lang w:val="en-US"/>
        </w:rPr>
        <w:t>”, Ericsson</w:t>
      </w:r>
    </w:p>
    <w:p w:rsidR="00D75B79" w:rsidRDefault="00D75B79" w:rsidP="00D75B79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tab/>
        <w:t>R4-168391, “On mm-wave ACLR”, Ericsson</w:t>
      </w:r>
    </w:p>
    <w:p w:rsidR="002957B7" w:rsidRPr="00EE08BB" w:rsidRDefault="00C308C0" w:rsidP="00FC78D8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[</w:t>
      </w:r>
      <w:r w:rsidR="00D75B79">
        <w:rPr>
          <w:rFonts w:cs="Arial"/>
          <w:sz w:val="22"/>
          <w:szCs w:val="22"/>
          <w:lang w:val="en-US"/>
        </w:rPr>
        <w:t>3</w:t>
      </w:r>
      <w:r w:rsidR="002957B7" w:rsidRPr="00EE08BB">
        <w:rPr>
          <w:rFonts w:cs="Arial"/>
          <w:sz w:val="22"/>
          <w:szCs w:val="22"/>
          <w:lang w:val="en-US"/>
        </w:rPr>
        <w:t>]</w:t>
      </w:r>
      <w:r w:rsidR="002957B7" w:rsidRPr="00EE08BB">
        <w:rPr>
          <w:rFonts w:cs="Arial"/>
          <w:sz w:val="22"/>
          <w:szCs w:val="22"/>
          <w:lang w:val="en-US"/>
        </w:rPr>
        <w:tab/>
        <w:t>R4-16</w:t>
      </w:r>
      <w:r w:rsidR="00FC78D8" w:rsidRPr="00EE08BB">
        <w:rPr>
          <w:rFonts w:cs="Arial"/>
          <w:sz w:val="22"/>
          <w:szCs w:val="22"/>
          <w:lang w:val="en-US"/>
        </w:rPr>
        <w:t>5895</w:t>
      </w:r>
      <w:r w:rsidR="002957B7" w:rsidRPr="00EE08BB">
        <w:rPr>
          <w:rFonts w:cs="Arial"/>
          <w:sz w:val="22"/>
          <w:szCs w:val="22"/>
          <w:lang w:val="en-US"/>
        </w:rPr>
        <w:t>, “</w:t>
      </w:r>
      <w:r w:rsidR="00FC78D8" w:rsidRPr="00EE08BB">
        <w:rPr>
          <w:rFonts w:cs="Arial"/>
          <w:sz w:val="22"/>
          <w:szCs w:val="22"/>
          <w:lang w:val="en-US" w:eastAsia="sv-SE"/>
        </w:rPr>
        <w:t>Further simulations on ACLR spatial pattern and co-existence</w:t>
      </w:r>
      <w:r w:rsidR="002957B7" w:rsidRPr="00EE08BB">
        <w:rPr>
          <w:rFonts w:cs="Arial"/>
          <w:sz w:val="22"/>
          <w:szCs w:val="22"/>
          <w:lang w:val="en-US"/>
        </w:rPr>
        <w:t>”, Ericsson</w:t>
      </w:r>
    </w:p>
    <w:p w:rsidR="007E6799" w:rsidRDefault="00D75B79" w:rsidP="00FC78D8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[5</w:t>
      </w:r>
      <w:r w:rsidR="00FC78D8" w:rsidRPr="00EE08BB">
        <w:rPr>
          <w:rFonts w:cs="Arial"/>
          <w:sz w:val="22"/>
          <w:szCs w:val="22"/>
          <w:lang w:val="en-US"/>
        </w:rPr>
        <w:t>]</w:t>
      </w:r>
      <w:r w:rsidR="00FC78D8" w:rsidRPr="00EE08BB">
        <w:rPr>
          <w:rFonts w:cs="Arial"/>
          <w:sz w:val="22"/>
          <w:szCs w:val="22"/>
          <w:lang w:val="en-US"/>
        </w:rPr>
        <w:tab/>
        <w:t>R4</w:t>
      </w:r>
      <w:r w:rsidR="00EE08BB" w:rsidRPr="00EE08BB">
        <w:rPr>
          <w:rFonts w:cs="Arial"/>
          <w:sz w:val="22"/>
          <w:szCs w:val="22"/>
          <w:lang w:val="en-US"/>
        </w:rPr>
        <w:t>-165896, “Metric for unwanted emissions and ACLR”, Ericsson</w:t>
      </w:r>
    </w:p>
    <w:p w:rsidR="006E73F1" w:rsidRDefault="00D75B79" w:rsidP="006E73F1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[6</w:t>
      </w:r>
      <w:r w:rsidR="006E73F1">
        <w:rPr>
          <w:rFonts w:cs="Arial"/>
          <w:sz w:val="22"/>
          <w:szCs w:val="22"/>
          <w:lang w:val="en-US"/>
        </w:rPr>
        <w:t>]</w:t>
      </w:r>
      <w:r w:rsidR="006E73F1">
        <w:rPr>
          <w:rFonts w:cs="Arial"/>
          <w:sz w:val="22"/>
          <w:szCs w:val="22"/>
          <w:lang w:val="en-US"/>
        </w:rPr>
        <w:tab/>
      </w:r>
      <w:r w:rsidR="00116D79">
        <w:rPr>
          <w:rFonts w:cs="Arial"/>
          <w:sz w:val="22"/>
          <w:szCs w:val="22"/>
          <w:lang w:val="en-US"/>
        </w:rPr>
        <w:t xml:space="preserve">International Technology Roadmap for Semiconductors, 2013 edition, System Drivers. </w:t>
      </w:r>
      <w:hyperlink r:id="rId12" w:history="1">
        <w:r w:rsidR="00116D79" w:rsidRPr="00594A52">
          <w:rPr>
            <w:rStyle w:val="Hyperlink"/>
            <w:rFonts w:cs="Arial"/>
            <w:sz w:val="22"/>
            <w:szCs w:val="22"/>
            <w:lang w:val="en-US"/>
          </w:rPr>
          <w:t>http://www.itrs2.net</w:t>
        </w:r>
      </w:hyperlink>
    </w:p>
    <w:p w:rsidR="00116D79" w:rsidRPr="006E73F1" w:rsidRDefault="00116D79" w:rsidP="006E73F1">
      <w:pPr>
        <w:rPr>
          <w:rFonts w:cs="Arial"/>
          <w:sz w:val="22"/>
          <w:szCs w:val="22"/>
          <w:lang w:val="en-US"/>
        </w:rPr>
      </w:pPr>
    </w:p>
    <w:p w:rsidR="006E73F1" w:rsidRPr="002957B7" w:rsidRDefault="006E73F1" w:rsidP="006E73F1">
      <w:pPr>
        <w:rPr>
          <w:rFonts w:cs="Arial"/>
          <w:sz w:val="22"/>
          <w:szCs w:val="22"/>
          <w:lang w:val="en-US"/>
        </w:rPr>
      </w:pPr>
    </w:p>
    <w:sectPr w:rsidR="006E73F1" w:rsidRPr="002957B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615" w:rsidRDefault="008F5615">
      <w:r>
        <w:separator/>
      </w:r>
    </w:p>
  </w:endnote>
  <w:endnote w:type="continuationSeparator" w:id="0">
    <w:p w:rsidR="008F5615" w:rsidRDefault="008F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B3" w:rsidRDefault="00BA36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1123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1123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615" w:rsidRDefault="008F5615">
      <w:r>
        <w:separator/>
      </w:r>
    </w:p>
  </w:footnote>
  <w:footnote w:type="continuationSeparator" w:id="0">
    <w:p w:rsidR="008F5615" w:rsidRDefault="008F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36B3" w:rsidRDefault="00BA36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052B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00D89"/>
    <w:multiLevelType w:val="hybridMultilevel"/>
    <w:tmpl w:val="F3FA6446"/>
    <w:lvl w:ilvl="0" w:tplc="041D000F">
      <w:start w:val="1"/>
      <w:numFmt w:val="decimal"/>
      <w:lvlText w:val="%1.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44A53"/>
    <w:multiLevelType w:val="hybridMultilevel"/>
    <w:tmpl w:val="EF367F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A2AF1"/>
    <w:multiLevelType w:val="hybridMultilevel"/>
    <w:tmpl w:val="3F38CDA6"/>
    <w:lvl w:ilvl="0" w:tplc="FB2433B6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2001B"/>
    <w:multiLevelType w:val="hybridMultilevel"/>
    <w:tmpl w:val="19B8F8CE"/>
    <w:lvl w:ilvl="0" w:tplc="2D3E0B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031626"/>
    <w:multiLevelType w:val="hybridMultilevel"/>
    <w:tmpl w:val="AE22F34A"/>
    <w:lvl w:ilvl="0" w:tplc="041D0005">
      <w:start w:val="1"/>
      <w:numFmt w:val="bullet"/>
      <w:lvlText w:val=""/>
      <w:lvlJc w:val="left"/>
      <w:pPr>
        <w:tabs>
          <w:tab w:val="num" w:pos="-913"/>
        </w:tabs>
        <w:ind w:left="-913" w:hanging="39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"/>
        </w:tabs>
        <w:ind w:left="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37"/>
        </w:tabs>
        <w:ind w:left="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8"/>
  </w:num>
  <w:num w:numId="8">
    <w:abstractNumId w:val="15"/>
  </w:num>
  <w:num w:numId="9">
    <w:abstractNumId w:val="12"/>
  </w:num>
  <w:num w:numId="10">
    <w:abstractNumId w:val="10"/>
  </w:num>
  <w:num w:numId="11">
    <w:abstractNumId w:val="11"/>
  </w:num>
  <w:num w:numId="12">
    <w:abstractNumId w:val="16"/>
  </w:num>
  <w:num w:numId="13">
    <w:abstractNumId w:val="17"/>
  </w:num>
  <w:num w:numId="14">
    <w:abstractNumId w:val="9"/>
  </w:num>
  <w:num w:numId="15">
    <w:abstractNumId w:val="13"/>
  </w:num>
  <w:num w:numId="16">
    <w:abstractNumId w:val="31"/>
  </w:num>
  <w:num w:numId="17">
    <w:abstractNumId w:val="32"/>
  </w:num>
  <w:num w:numId="18">
    <w:abstractNumId w:val="34"/>
  </w:num>
  <w:num w:numId="19">
    <w:abstractNumId w:val="29"/>
  </w:num>
  <w:num w:numId="20">
    <w:abstractNumId w:val="18"/>
  </w:num>
  <w:num w:numId="21">
    <w:abstractNumId w:val="27"/>
  </w:num>
  <w:num w:numId="22">
    <w:abstractNumId w:val="22"/>
  </w:num>
  <w:num w:numId="23">
    <w:abstractNumId w:val="8"/>
  </w:num>
  <w:num w:numId="24">
    <w:abstractNumId w:val="36"/>
  </w:num>
  <w:num w:numId="25">
    <w:abstractNumId w:val="7"/>
  </w:num>
  <w:num w:numId="26">
    <w:abstractNumId w:val="24"/>
  </w:num>
  <w:num w:numId="27">
    <w:abstractNumId w:val="19"/>
  </w:num>
  <w:num w:numId="28">
    <w:abstractNumId w:val="35"/>
  </w:num>
  <w:num w:numId="29">
    <w:abstractNumId w:val="30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37"/>
  </w:num>
  <w:num w:numId="33">
    <w:abstractNumId w:val="6"/>
  </w:num>
  <w:num w:numId="34">
    <w:abstractNumId w:val="33"/>
  </w:num>
  <w:num w:numId="35">
    <w:abstractNumId w:val="5"/>
  </w:num>
  <w:num w:numId="36">
    <w:abstractNumId w:val="0"/>
  </w:num>
  <w:num w:numId="37">
    <w:abstractNumId w:val="4"/>
  </w:num>
  <w:num w:numId="3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339"/>
    <w:rsid w:val="00002A37"/>
    <w:rsid w:val="00003BB1"/>
    <w:rsid w:val="000053C3"/>
    <w:rsid w:val="00006446"/>
    <w:rsid w:val="00006896"/>
    <w:rsid w:val="00007CDC"/>
    <w:rsid w:val="00011B28"/>
    <w:rsid w:val="00013942"/>
    <w:rsid w:val="00015D15"/>
    <w:rsid w:val="00015D8C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3F9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A5C"/>
    <w:rsid w:val="000B2719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4797"/>
    <w:rsid w:val="000D5E12"/>
    <w:rsid w:val="000D627C"/>
    <w:rsid w:val="000E0527"/>
    <w:rsid w:val="000E1E92"/>
    <w:rsid w:val="000E5BBE"/>
    <w:rsid w:val="000E744A"/>
    <w:rsid w:val="000F06D6"/>
    <w:rsid w:val="000F0EB1"/>
    <w:rsid w:val="000F1106"/>
    <w:rsid w:val="000F3BE9"/>
    <w:rsid w:val="000F3F6C"/>
    <w:rsid w:val="000F6DF3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16D79"/>
    <w:rsid w:val="001202C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59C1"/>
    <w:rsid w:val="001666D1"/>
    <w:rsid w:val="00170E72"/>
    <w:rsid w:val="00173A8E"/>
    <w:rsid w:val="0018143F"/>
    <w:rsid w:val="001855B2"/>
    <w:rsid w:val="00186501"/>
    <w:rsid w:val="00190AC1"/>
    <w:rsid w:val="0019341A"/>
    <w:rsid w:val="00194785"/>
    <w:rsid w:val="00197DF9"/>
    <w:rsid w:val="001A1987"/>
    <w:rsid w:val="001A2564"/>
    <w:rsid w:val="001A6173"/>
    <w:rsid w:val="001A6CBA"/>
    <w:rsid w:val="001B077C"/>
    <w:rsid w:val="001B0D97"/>
    <w:rsid w:val="001B1866"/>
    <w:rsid w:val="001B4A28"/>
    <w:rsid w:val="001B5A5D"/>
    <w:rsid w:val="001C0955"/>
    <w:rsid w:val="001C1CE5"/>
    <w:rsid w:val="001C3985"/>
    <w:rsid w:val="001C3D2A"/>
    <w:rsid w:val="001C4F57"/>
    <w:rsid w:val="001D2A34"/>
    <w:rsid w:val="001D3506"/>
    <w:rsid w:val="001D51BA"/>
    <w:rsid w:val="001D6342"/>
    <w:rsid w:val="001D6D53"/>
    <w:rsid w:val="001D7E2C"/>
    <w:rsid w:val="001E0723"/>
    <w:rsid w:val="001E3357"/>
    <w:rsid w:val="001E39D4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972"/>
    <w:rsid w:val="00256F3B"/>
    <w:rsid w:val="00257543"/>
    <w:rsid w:val="002617E7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2F4F"/>
    <w:rsid w:val="00273278"/>
    <w:rsid w:val="002737F4"/>
    <w:rsid w:val="00276DDC"/>
    <w:rsid w:val="002805F5"/>
    <w:rsid w:val="00280751"/>
    <w:rsid w:val="00280F19"/>
    <w:rsid w:val="0028280A"/>
    <w:rsid w:val="00282BC7"/>
    <w:rsid w:val="002869BE"/>
    <w:rsid w:val="00286ACD"/>
    <w:rsid w:val="00287745"/>
    <w:rsid w:val="00287838"/>
    <w:rsid w:val="002907B5"/>
    <w:rsid w:val="00292EB7"/>
    <w:rsid w:val="002957B7"/>
    <w:rsid w:val="00296227"/>
    <w:rsid w:val="00296F44"/>
    <w:rsid w:val="0029777D"/>
    <w:rsid w:val="002A055E"/>
    <w:rsid w:val="002A1D4E"/>
    <w:rsid w:val="002A2869"/>
    <w:rsid w:val="002A5DEB"/>
    <w:rsid w:val="002B1119"/>
    <w:rsid w:val="002B24D6"/>
    <w:rsid w:val="002B3AEF"/>
    <w:rsid w:val="002C41E6"/>
    <w:rsid w:val="002C434C"/>
    <w:rsid w:val="002C43A4"/>
    <w:rsid w:val="002C651D"/>
    <w:rsid w:val="002D05DC"/>
    <w:rsid w:val="002D071A"/>
    <w:rsid w:val="002D34B2"/>
    <w:rsid w:val="002D5715"/>
    <w:rsid w:val="002D7637"/>
    <w:rsid w:val="002E17F2"/>
    <w:rsid w:val="002E7CAE"/>
    <w:rsid w:val="002F2771"/>
    <w:rsid w:val="002F37A9"/>
    <w:rsid w:val="00301CE6"/>
    <w:rsid w:val="0030254A"/>
    <w:rsid w:val="0030256B"/>
    <w:rsid w:val="00304492"/>
    <w:rsid w:val="003045A7"/>
    <w:rsid w:val="003045F0"/>
    <w:rsid w:val="0030501F"/>
    <w:rsid w:val="00307BA1"/>
    <w:rsid w:val="0031158D"/>
    <w:rsid w:val="00311702"/>
    <w:rsid w:val="00311E82"/>
    <w:rsid w:val="00313FD6"/>
    <w:rsid w:val="003143BD"/>
    <w:rsid w:val="00314F53"/>
    <w:rsid w:val="003170FD"/>
    <w:rsid w:val="003203ED"/>
    <w:rsid w:val="00322C9F"/>
    <w:rsid w:val="0032363B"/>
    <w:rsid w:val="00323A6C"/>
    <w:rsid w:val="00324D23"/>
    <w:rsid w:val="0032670E"/>
    <w:rsid w:val="0032672C"/>
    <w:rsid w:val="003275CD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6C17"/>
    <w:rsid w:val="00357380"/>
    <w:rsid w:val="003602D9"/>
    <w:rsid w:val="003604CE"/>
    <w:rsid w:val="00360518"/>
    <w:rsid w:val="00370E47"/>
    <w:rsid w:val="00371E71"/>
    <w:rsid w:val="0037282D"/>
    <w:rsid w:val="003742AC"/>
    <w:rsid w:val="003753B8"/>
    <w:rsid w:val="00377CE1"/>
    <w:rsid w:val="00380575"/>
    <w:rsid w:val="00381482"/>
    <w:rsid w:val="0038436F"/>
    <w:rsid w:val="00385BF0"/>
    <w:rsid w:val="003939FF"/>
    <w:rsid w:val="003A2223"/>
    <w:rsid w:val="003A2A0F"/>
    <w:rsid w:val="003A341F"/>
    <w:rsid w:val="003A45A1"/>
    <w:rsid w:val="003A4B1B"/>
    <w:rsid w:val="003A5B0A"/>
    <w:rsid w:val="003A6BAC"/>
    <w:rsid w:val="003A7EF3"/>
    <w:rsid w:val="003B159C"/>
    <w:rsid w:val="003B369F"/>
    <w:rsid w:val="003B36A3"/>
    <w:rsid w:val="003B5AFA"/>
    <w:rsid w:val="003B7FE5"/>
    <w:rsid w:val="003C11C8"/>
    <w:rsid w:val="003C2702"/>
    <w:rsid w:val="003C32AD"/>
    <w:rsid w:val="003C7806"/>
    <w:rsid w:val="003D109F"/>
    <w:rsid w:val="003D2478"/>
    <w:rsid w:val="003D5B1F"/>
    <w:rsid w:val="003D69A8"/>
    <w:rsid w:val="003E15FA"/>
    <w:rsid w:val="003E55E4"/>
    <w:rsid w:val="003E74E3"/>
    <w:rsid w:val="003E77A3"/>
    <w:rsid w:val="003F05C7"/>
    <w:rsid w:val="003F0A21"/>
    <w:rsid w:val="003F2CD4"/>
    <w:rsid w:val="003F4423"/>
    <w:rsid w:val="003F4AD2"/>
    <w:rsid w:val="003F6BBE"/>
    <w:rsid w:val="004000E8"/>
    <w:rsid w:val="00402E2B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7248"/>
    <w:rsid w:val="00430DC8"/>
    <w:rsid w:val="00435B86"/>
    <w:rsid w:val="00437447"/>
    <w:rsid w:val="004375FD"/>
    <w:rsid w:val="0044128F"/>
    <w:rsid w:val="00441A92"/>
    <w:rsid w:val="00442816"/>
    <w:rsid w:val="00442F9E"/>
    <w:rsid w:val="00444425"/>
    <w:rsid w:val="00444F56"/>
    <w:rsid w:val="00446379"/>
    <w:rsid w:val="00446488"/>
    <w:rsid w:val="00447D28"/>
    <w:rsid w:val="004501CA"/>
    <w:rsid w:val="004517AA"/>
    <w:rsid w:val="0045259B"/>
    <w:rsid w:val="00452CAC"/>
    <w:rsid w:val="0045372C"/>
    <w:rsid w:val="00457565"/>
    <w:rsid w:val="00457B71"/>
    <w:rsid w:val="0046226E"/>
    <w:rsid w:val="004629F7"/>
    <w:rsid w:val="0046366D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2BC5"/>
    <w:rsid w:val="004964F1"/>
    <w:rsid w:val="004A16BC"/>
    <w:rsid w:val="004A2B94"/>
    <w:rsid w:val="004A326B"/>
    <w:rsid w:val="004A520D"/>
    <w:rsid w:val="004A795F"/>
    <w:rsid w:val="004A7B30"/>
    <w:rsid w:val="004B2F82"/>
    <w:rsid w:val="004B7C0C"/>
    <w:rsid w:val="004C3898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4B59"/>
    <w:rsid w:val="00536759"/>
    <w:rsid w:val="00537C62"/>
    <w:rsid w:val="00544144"/>
    <w:rsid w:val="00546970"/>
    <w:rsid w:val="00550C36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7DB"/>
    <w:rsid w:val="005C74FB"/>
    <w:rsid w:val="005D1602"/>
    <w:rsid w:val="005D64F2"/>
    <w:rsid w:val="005E385F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11B83"/>
    <w:rsid w:val="00613257"/>
    <w:rsid w:val="0061715B"/>
    <w:rsid w:val="00620A71"/>
    <w:rsid w:val="00620D80"/>
    <w:rsid w:val="006234A6"/>
    <w:rsid w:val="00630001"/>
    <w:rsid w:val="006311B3"/>
    <w:rsid w:val="00631DB5"/>
    <w:rsid w:val="0063284C"/>
    <w:rsid w:val="006328CB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1772"/>
    <w:rsid w:val="006C308E"/>
    <w:rsid w:val="006C5EC9"/>
    <w:rsid w:val="006C6059"/>
    <w:rsid w:val="006C7522"/>
    <w:rsid w:val="006D371D"/>
    <w:rsid w:val="006D6F08"/>
    <w:rsid w:val="006E062C"/>
    <w:rsid w:val="006E0B7C"/>
    <w:rsid w:val="006E28B7"/>
    <w:rsid w:val="006E3310"/>
    <w:rsid w:val="006E4E39"/>
    <w:rsid w:val="006E565E"/>
    <w:rsid w:val="006E673D"/>
    <w:rsid w:val="006E73F1"/>
    <w:rsid w:val="006E7D3B"/>
    <w:rsid w:val="006F1B70"/>
    <w:rsid w:val="006F341D"/>
    <w:rsid w:val="006F3CDE"/>
    <w:rsid w:val="006F572E"/>
    <w:rsid w:val="006F58D4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B89"/>
    <w:rsid w:val="007139C5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71E1"/>
    <w:rsid w:val="007574AE"/>
    <w:rsid w:val="0076037F"/>
    <w:rsid w:val="007604B2"/>
    <w:rsid w:val="00763C05"/>
    <w:rsid w:val="0076472B"/>
    <w:rsid w:val="00765281"/>
    <w:rsid w:val="00765717"/>
    <w:rsid w:val="007666E9"/>
    <w:rsid w:val="00766BAD"/>
    <w:rsid w:val="007727A5"/>
    <w:rsid w:val="00772EBA"/>
    <w:rsid w:val="007755F2"/>
    <w:rsid w:val="00776971"/>
    <w:rsid w:val="00776BC6"/>
    <w:rsid w:val="0078177E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58A6"/>
    <w:rsid w:val="007A71CF"/>
    <w:rsid w:val="007B0805"/>
    <w:rsid w:val="007B3D2D"/>
    <w:rsid w:val="007B50AE"/>
    <w:rsid w:val="007B51DF"/>
    <w:rsid w:val="007B5987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4708"/>
    <w:rsid w:val="007D54CB"/>
    <w:rsid w:val="007D5901"/>
    <w:rsid w:val="007D7526"/>
    <w:rsid w:val="007E4610"/>
    <w:rsid w:val="007E4715"/>
    <w:rsid w:val="007E505B"/>
    <w:rsid w:val="007E6799"/>
    <w:rsid w:val="007E7091"/>
    <w:rsid w:val="007E7996"/>
    <w:rsid w:val="007F7373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5FFB"/>
    <w:rsid w:val="00856911"/>
    <w:rsid w:val="0086086E"/>
    <w:rsid w:val="00866AC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F18"/>
    <w:rsid w:val="00882183"/>
    <w:rsid w:val="0089088A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573"/>
    <w:rsid w:val="008D0F5E"/>
    <w:rsid w:val="008D34F1"/>
    <w:rsid w:val="008D39D8"/>
    <w:rsid w:val="008D6D1A"/>
    <w:rsid w:val="008E0927"/>
    <w:rsid w:val="008E1909"/>
    <w:rsid w:val="008E772C"/>
    <w:rsid w:val="008F1EAB"/>
    <w:rsid w:val="008F2F68"/>
    <w:rsid w:val="008F33DC"/>
    <w:rsid w:val="008F3468"/>
    <w:rsid w:val="008F3C3D"/>
    <w:rsid w:val="008F477F"/>
    <w:rsid w:val="008F5615"/>
    <w:rsid w:val="00902350"/>
    <w:rsid w:val="0090336B"/>
    <w:rsid w:val="00904F86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31BD9"/>
    <w:rsid w:val="00934F5C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430A"/>
    <w:rsid w:val="0096477F"/>
    <w:rsid w:val="0096554B"/>
    <w:rsid w:val="0096584A"/>
    <w:rsid w:val="00970096"/>
    <w:rsid w:val="00971F08"/>
    <w:rsid w:val="0097603D"/>
    <w:rsid w:val="009763A2"/>
    <w:rsid w:val="00976949"/>
    <w:rsid w:val="00980477"/>
    <w:rsid w:val="00982877"/>
    <w:rsid w:val="00985253"/>
    <w:rsid w:val="009853B3"/>
    <w:rsid w:val="00990630"/>
    <w:rsid w:val="00991761"/>
    <w:rsid w:val="00991E53"/>
    <w:rsid w:val="00994DCA"/>
    <w:rsid w:val="009960A2"/>
    <w:rsid w:val="009960EC"/>
    <w:rsid w:val="009970DD"/>
    <w:rsid w:val="009A0FBA"/>
    <w:rsid w:val="009A1601"/>
    <w:rsid w:val="009A3AE5"/>
    <w:rsid w:val="009A4514"/>
    <w:rsid w:val="009A462D"/>
    <w:rsid w:val="009A55CA"/>
    <w:rsid w:val="009A5CBA"/>
    <w:rsid w:val="009A69E6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3A12"/>
    <w:rsid w:val="009F48B2"/>
    <w:rsid w:val="009F5422"/>
    <w:rsid w:val="009F7509"/>
    <w:rsid w:val="00A048A8"/>
    <w:rsid w:val="00A10059"/>
    <w:rsid w:val="00A101F1"/>
    <w:rsid w:val="00A1123B"/>
    <w:rsid w:val="00A11CD5"/>
    <w:rsid w:val="00A1232E"/>
    <w:rsid w:val="00A13E54"/>
    <w:rsid w:val="00A14648"/>
    <w:rsid w:val="00A17F63"/>
    <w:rsid w:val="00A217D2"/>
    <w:rsid w:val="00A2193B"/>
    <w:rsid w:val="00A2351A"/>
    <w:rsid w:val="00A264A9"/>
    <w:rsid w:val="00A27785"/>
    <w:rsid w:val="00A30187"/>
    <w:rsid w:val="00A3448A"/>
    <w:rsid w:val="00A36297"/>
    <w:rsid w:val="00A4140B"/>
    <w:rsid w:val="00A41E2B"/>
    <w:rsid w:val="00A45B74"/>
    <w:rsid w:val="00A52E1D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B99"/>
    <w:rsid w:val="00A739D0"/>
    <w:rsid w:val="00A761D4"/>
    <w:rsid w:val="00A77EC4"/>
    <w:rsid w:val="00A80CB6"/>
    <w:rsid w:val="00A838DB"/>
    <w:rsid w:val="00A86418"/>
    <w:rsid w:val="00A9086D"/>
    <w:rsid w:val="00A92879"/>
    <w:rsid w:val="00A9442A"/>
    <w:rsid w:val="00A95F36"/>
    <w:rsid w:val="00AA016F"/>
    <w:rsid w:val="00AA1ED6"/>
    <w:rsid w:val="00AA51D6"/>
    <w:rsid w:val="00AB0BC8"/>
    <w:rsid w:val="00AB11CA"/>
    <w:rsid w:val="00AB14D9"/>
    <w:rsid w:val="00AB2374"/>
    <w:rsid w:val="00AB4AB8"/>
    <w:rsid w:val="00AB655E"/>
    <w:rsid w:val="00AC007F"/>
    <w:rsid w:val="00AC0E8B"/>
    <w:rsid w:val="00AC25F9"/>
    <w:rsid w:val="00AC2ECD"/>
    <w:rsid w:val="00AC3119"/>
    <w:rsid w:val="00AC34B1"/>
    <w:rsid w:val="00AC3CD2"/>
    <w:rsid w:val="00AC49FB"/>
    <w:rsid w:val="00AC52D1"/>
    <w:rsid w:val="00AC5A10"/>
    <w:rsid w:val="00AD0AA3"/>
    <w:rsid w:val="00AD2642"/>
    <w:rsid w:val="00AD3F94"/>
    <w:rsid w:val="00AD47C7"/>
    <w:rsid w:val="00AD4A5A"/>
    <w:rsid w:val="00AD4F3C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763F"/>
    <w:rsid w:val="00B27AAC"/>
    <w:rsid w:val="00B30929"/>
    <w:rsid w:val="00B372AA"/>
    <w:rsid w:val="00B40445"/>
    <w:rsid w:val="00B406C2"/>
    <w:rsid w:val="00B41888"/>
    <w:rsid w:val="00B42FAD"/>
    <w:rsid w:val="00B43944"/>
    <w:rsid w:val="00B45A52"/>
    <w:rsid w:val="00B46175"/>
    <w:rsid w:val="00B5151A"/>
    <w:rsid w:val="00B5298C"/>
    <w:rsid w:val="00B5330B"/>
    <w:rsid w:val="00B55695"/>
    <w:rsid w:val="00B60EE5"/>
    <w:rsid w:val="00B664C7"/>
    <w:rsid w:val="00B71CF5"/>
    <w:rsid w:val="00B739F6"/>
    <w:rsid w:val="00B76696"/>
    <w:rsid w:val="00B80F18"/>
    <w:rsid w:val="00B81A6C"/>
    <w:rsid w:val="00B82E07"/>
    <w:rsid w:val="00B83D6A"/>
    <w:rsid w:val="00B8443A"/>
    <w:rsid w:val="00B846E5"/>
    <w:rsid w:val="00B85DE5"/>
    <w:rsid w:val="00B90F73"/>
    <w:rsid w:val="00B93B59"/>
    <w:rsid w:val="00B9406A"/>
    <w:rsid w:val="00B94077"/>
    <w:rsid w:val="00BA1E85"/>
    <w:rsid w:val="00BA2280"/>
    <w:rsid w:val="00BA2A08"/>
    <w:rsid w:val="00BA36B3"/>
    <w:rsid w:val="00BA56D2"/>
    <w:rsid w:val="00BA6C5F"/>
    <w:rsid w:val="00BA71DA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6B5E"/>
    <w:rsid w:val="00BE7406"/>
    <w:rsid w:val="00BE7603"/>
    <w:rsid w:val="00BF0C5C"/>
    <w:rsid w:val="00BF3279"/>
    <w:rsid w:val="00BF74C7"/>
    <w:rsid w:val="00BF79BF"/>
    <w:rsid w:val="00C015F1"/>
    <w:rsid w:val="00C01F33"/>
    <w:rsid w:val="00C02CC6"/>
    <w:rsid w:val="00C040F7"/>
    <w:rsid w:val="00C044AB"/>
    <w:rsid w:val="00C05706"/>
    <w:rsid w:val="00C05F16"/>
    <w:rsid w:val="00C07377"/>
    <w:rsid w:val="00C10478"/>
    <w:rsid w:val="00C12107"/>
    <w:rsid w:val="00C14D4B"/>
    <w:rsid w:val="00C14EE3"/>
    <w:rsid w:val="00C154BB"/>
    <w:rsid w:val="00C16F68"/>
    <w:rsid w:val="00C27925"/>
    <w:rsid w:val="00C279B5"/>
    <w:rsid w:val="00C27C45"/>
    <w:rsid w:val="00C308C0"/>
    <w:rsid w:val="00C36A39"/>
    <w:rsid w:val="00C3719D"/>
    <w:rsid w:val="00C41999"/>
    <w:rsid w:val="00C505CC"/>
    <w:rsid w:val="00C5308F"/>
    <w:rsid w:val="00C543F2"/>
    <w:rsid w:val="00C54995"/>
    <w:rsid w:val="00C54D41"/>
    <w:rsid w:val="00C60783"/>
    <w:rsid w:val="00C64672"/>
    <w:rsid w:val="00C65D02"/>
    <w:rsid w:val="00C70697"/>
    <w:rsid w:val="00C71700"/>
    <w:rsid w:val="00C72EF4"/>
    <w:rsid w:val="00C75D2F"/>
    <w:rsid w:val="00C767BE"/>
    <w:rsid w:val="00C76E3C"/>
    <w:rsid w:val="00C77744"/>
    <w:rsid w:val="00C77BFD"/>
    <w:rsid w:val="00C81568"/>
    <w:rsid w:val="00C9027A"/>
    <w:rsid w:val="00C9068E"/>
    <w:rsid w:val="00C93C4B"/>
    <w:rsid w:val="00C944AB"/>
    <w:rsid w:val="00C95B40"/>
    <w:rsid w:val="00C97623"/>
    <w:rsid w:val="00CA1ED8"/>
    <w:rsid w:val="00CA7418"/>
    <w:rsid w:val="00CB1729"/>
    <w:rsid w:val="00CB1F63"/>
    <w:rsid w:val="00CB7170"/>
    <w:rsid w:val="00CC040E"/>
    <w:rsid w:val="00CC111F"/>
    <w:rsid w:val="00CC1AFA"/>
    <w:rsid w:val="00CC2011"/>
    <w:rsid w:val="00CC3EA0"/>
    <w:rsid w:val="00CC3F1F"/>
    <w:rsid w:val="00CC7003"/>
    <w:rsid w:val="00CC7194"/>
    <w:rsid w:val="00CC7B45"/>
    <w:rsid w:val="00CD1188"/>
    <w:rsid w:val="00CD2ED1"/>
    <w:rsid w:val="00CD337B"/>
    <w:rsid w:val="00CD6F46"/>
    <w:rsid w:val="00CE0ACD"/>
    <w:rsid w:val="00CE7561"/>
    <w:rsid w:val="00CF06F7"/>
    <w:rsid w:val="00CF1354"/>
    <w:rsid w:val="00CF3B1F"/>
    <w:rsid w:val="00CF3BF6"/>
    <w:rsid w:val="00CF57DA"/>
    <w:rsid w:val="00CF625B"/>
    <w:rsid w:val="00CF687E"/>
    <w:rsid w:val="00CF7866"/>
    <w:rsid w:val="00D0349B"/>
    <w:rsid w:val="00D05EEE"/>
    <w:rsid w:val="00D10249"/>
    <w:rsid w:val="00D115C3"/>
    <w:rsid w:val="00D11897"/>
    <w:rsid w:val="00D11FD6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65B5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6CA"/>
    <w:rsid w:val="00D61AF5"/>
    <w:rsid w:val="00D652B5"/>
    <w:rsid w:val="00D66155"/>
    <w:rsid w:val="00D704C3"/>
    <w:rsid w:val="00D708B0"/>
    <w:rsid w:val="00D70FCF"/>
    <w:rsid w:val="00D72D5E"/>
    <w:rsid w:val="00D75B79"/>
    <w:rsid w:val="00D778CF"/>
    <w:rsid w:val="00D77B1D"/>
    <w:rsid w:val="00D8021F"/>
    <w:rsid w:val="00D80383"/>
    <w:rsid w:val="00D823C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5417"/>
    <w:rsid w:val="00DA56E8"/>
    <w:rsid w:val="00DA69B6"/>
    <w:rsid w:val="00DB0009"/>
    <w:rsid w:val="00DB27F0"/>
    <w:rsid w:val="00DB377D"/>
    <w:rsid w:val="00DC0024"/>
    <w:rsid w:val="00DC0EB4"/>
    <w:rsid w:val="00DC2D36"/>
    <w:rsid w:val="00DC4220"/>
    <w:rsid w:val="00DC53EF"/>
    <w:rsid w:val="00DC5AEB"/>
    <w:rsid w:val="00DC6D39"/>
    <w:rsid w:val="00DD15E5"/>
    <w:rsid w:val="00DD18C5"/>
    <w:rsid w:val="00DD5DFE"/>
    <w:rsid w:val="00DD62A6"/>
    <w:rsid w:val="00DE35AD"/>
    <w:rsid w:val="00DE5608"/>
    <w:rsid w:val="00DE58D0"/>
    <w:rsid w:val="00DE654F"/>
    <w:rsid w:val="00DE761A"/>
    <w:rsid w:val="00DF0B6E"/>
    <w:rsid w:val="00DF15E0"/>
    <w:rsid w:val="00DF36BF"/>
    <w:rsid w:val="00DF37A0"/>
    <w:rsid w:val="00E03A43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58EC"/>
    <w:rsid w:val="00E76D42"/>
    <w:rsid w:val="00E8234C"/>
    <w:rsid w:val="00E83AA9"/>
    <w:rsid w:val="00E85928"/>
    <w:rsid w:val="00E85D78"/>
    <w:rsid w:val="00E87822"/>
    <w:rsid w:val="00E90395"/>
    <w:rsid w:val="00E90E49"/>
    <w:rsid w:val="00E917F9"/>
    <w:rsid w:val="00E9291C"/>
    <w:rsid w:val="00E938DD"/>
    <w:rsid w:val="00E93FFE"/>
    <w:rsid w:val="00E94F8A"/>
    <w:rsid w:val="00E955DA"/>
    <w:rsid w:val="00E97C43"/>
    <w:rsid w:val="00EA7A41"/>
    <w:rsid w:val="00EB048A"/>
    <w:rsid w:val="00EB077B"/>
    <w:rsid w:val="00EB4EA2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8BB"/>
    <w:rsid w:val="00EE4D9A"/>
    <w:rsid w:val="00EE79C1"/>
    <w:rsid w:val="00EF18FE"/>
    <w:rsid w:val="00EF33DE"/>
    <w:rsid w:val="00EF5787"/>
    <w:rsid w:val="00EF60D0"/>
    <w:rsid w:val="00F0528D"/>
    <w:rsid w:val="00F06C67"/>
    <w:rsid w:val="00F06DFD"/>
    <w:rsid w:val="00F071D1"/>
    <w:rsid w:val="00F07533"/>
    <w:rsid w:val="00F10629"/>
    <w:rsid w:val="00F12D15"/>
    <w:rsid w:val="00F136FF"/>
    <w:rsid w:val="00F15FA5"/>
    <w:rsid w:val="00F209B7"/>
    <w:rsid w:val="00F2376F"/>
    <w:rsid w:val="00F243D8"/>
    <w:rsid w:val="00F25E7C"/>
    <w:rsid w:val="00F30828"/>
    <w:rsid w:val="00F30D8B"/>
    <w:rsid w:val="00F313D6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5F72"/>
    <w:rsid w:val="00F607C5"/>
    <w:rsid w:val="00F60DEA"/>
    <w:rsid w:val="00F6302A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6985"/>
    <w:rsid w:val="00F96D4C"/>
    <w:rsid w:val="00F97838"/>
    <w:rsid w:val="00FA2BB3"/>
    <w:rsid w:val="00FA72DB"/>
    <w:rsid w:val="00FB30FA"/>
    <w:rsid w:val="00FB430F"/>
    <w:rsid w:val="00FB4C80"/>
    <w:rsid w:val="00FB528C"/>
    <w:rsid w:val="00FB63A7"/>
    <w:rsid w:val="00FB6A6A"/>
    <w:rsid w:val="00FC7429"/>
    <w:rsid w:val="00FC78D8"/>
    <w:rsid w:val="00FD07F6"/>
    <w:rsid w:val="00FD1EC8"/>
    <w:rsid w:val="00FD47ED"/>
    <w:rsid w:val="00FD5669"/>
    <w:rsid w:val="00FD59B3"/>
    <w:rsid w:val="00FD61E8"/>
    <w:rsid w:val="00FD74DB"/>
    <w:rsid w:val="00FD7660"/>
    <w:rsid w:val="00FE0655"/>
    <w:rsid w:val="00FE1F23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551195"/>
  <w15:docId w15:val="{C6F20609-F2C1-4D89-B549-0C7F0212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09BE"/>
    <w:pPr>
      <w:jc w:val="center"/>
    </w:pPr>
  </w:style>
  <w:style w:type="paragraph" w:customStyle="1" w:styleId="TAH">
    <w:name w:val="TAH"/>
    <w:basedOn w:val="TAC"/>
    <w:rsid w:val="009E09BE"/>
    <w:rPr>
      <w:b/>
    </w:rPr>
  </w:style>
  <w:style w:type="paragraph" w:customStyle="1" w:styleId="TAN">
    <w:name w:val="TAN"/>
    <w:basedOn w:val="TAL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rs2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ecslsun\Documents\projects\3GPP\November2016\mmW_PA_data_20161017_larsfix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ecslsun\Documents\projects\3GPP\November2016\mmW_PA_data_20161017_larsfix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311618487135475"/>
          <c:y val="0.12447749879210385"/>
          <c:w val="0.68058578317848673"/>
          <c:h val="0.79657814364113577"/>
        </c:manualLayout>
      </c:layout>
      <c:scatterChart>
        <c:scatterStyle val="lineMarker"/>
        <c:varyColors val="0"/>
        <c:ser>
          <c:idx val="0"/>
          <c:order val="0"/>
          <c:tx>
            <c:strRef>
              <c:f>PA!$A$8</c:f>
              <c:strCache>
                <c:ptCount val="1"/>
                <c:pt idx="0">
                  <c:v>CMOS Bulk</c:v>
                </c:pt>
              </c:strCache>
            </c:strRef>
          </c:tx>
          <c:spPr>
            <a:ln w="28575">
              <a:noFill/>
            </a:ln>
          </c:spPr>
          <c:xVal>
            <c:numRef>
              <c:f>PA!$O$9:$O$29</c:f>
              <c:numCache>
                <c:formatCode>General</c:formatCode>
                <c:ptCount val="21"/>
                <c:pt idx="0">
                  <c:v>60</c:v>
                </c:pt>
                <c:pt idx="1">
                  <c:v>79</c:v>
                </c:pt>
                <c:pt idx="2">
                  <c:v>60</c:v>
                </c:pt>
                <c:pt idx="3">
                  <c:v>60</c:v>
                </c:pt>
                <c:pt idx="4">
                  <c:v>60.5</c:v>
                </c:pt>
                <c:pt idx="5">
                  <c:v>60</c:v>
                </c:pt>
                <c:pt idx="6">
                  <c:v>60</c:v>
                </c:pt>
                <c:pt idx="7">
                  <c:v>60</c:v>
                </c:pt>
                <c:pt idx="8">
                  <c:v>60</c:v>
                </c:pt>
                <c:pt idx="9">
                  <c:v>54.55</c:v>
                </c:pt>
                <c:pt idx="10">
                  <c:v>60</c:v>
                </c:pt>
                <c:pt idx="11">
                  <c:v>87</c:v>
                </c:pt>
                <c:pt idx="12">
                  <c:v>60</c:v>
                </c:pt>
                <c:pt idx="13">
                  <c:v>24</c:v>
                </c:pt>
                <c:pt idx="14">
                  <c:v>24</c:v>
                </c:pt>
                <c:pt idx="15">
                  <c:v>109</c:v>
                </c:pt>
                <c:pt idx="16">
                  <c:v>60</c:v>
                </c:pt>
                <c:pt idx="17">
                  <c:v>52</c:v>
                </c:pt>
                <c:pt idx="18">
                  <c:v>30</c:v>
                </c:pt>
                <c:pt idx="19">
                  <c:v>92.5</c:v>
                </c:pt>
                <c:pt idx="20">
                  <c:v>63</c:v>
                </c:pt>
              </c:numCache>
            </c:numRef>
          </c:xVal>
          <c:yVal>
            <c:numRef>
              <c:f>PA!$T$9:$T$29</c:f>
              <c:numCache>
                <c:formatCode>General</c:formatCode>
                <c:ptCount val="21"/>
                <c:pt idx="0">
                  <c:v>17.399999999999999</c:v>
                </c:pt>
                <c:pt idx="1">
                  <c:v>19.3</c:v>
                </c:pt>
                <c:pt idx="2">
                  <c:v>19.899999999999999</c:v>
                </c:pt>
                <c:pt idx="3">
                  <c:v>17.7</c:v>
                </c:pt>
                <c:pt idx="4">
                  <c:v>16.600000000000001</c:v>
                </c:pt>
                <c:pt idx="5">
                  <c:v>14.85</c:v>
                </c:pt>
                <c:pt idx="6">
                  <c:v>18.5</c:v>
                </c:pt>
                <c:pt idx="7">
                  <c:v>13.8</c:v>
                </c:pt>
                <c:pt idx="8">
                  <c:v>18</c:v>
                </c:pt>
                <c:pt idx="9">
                  <c:v>13.5</c:v>
                </c:pt>
                <c:pt idx="10">
                  <c:v>19</c:v>
                </c:pt>
                <c:pt idx="11">
                  <c:v>18</c:v>
                </c:pt>
                <c:pt idx="12">
                  <c:v>22.6</c:v>
                </c:pt>
                <c:pt idx="13">
                  <c:v>19</c:v>
                </c:pt>
                <c:pt idx="14">
                  <c:v>16</c:v>
                </c:pt>
                <c:pt idx="15">
                  <c:v>14.8</c:v>
                </c:pt>
                <c:pt idx="16">
                  <c:v>11.4</c:v>
                </c:pt>
                <c:pt idx="17">
                  <c:v>11</c:v>
                </c:pt>
                <c:pt idx="18">
                  <c:v>9.5</c:v>
                </c:pt>
                <c:pt idx="19">
                  <c:v>14.8</c:v>
                </c:pt>
                <c:pt idx="20">
                  <c:v>13.4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8DD-4021-81B6-7695DB41E6B8}"/>
            </c:ext>
          </c:extLst>
        </c:ser>
        <c:ser>
          <c:idx val="1"/>
          <c:order val="1"/>
          <c:tx>
            <c:strRef>
              <c:f>PA!$A$33</c:f>
              <c:strCache>
                <c:ptCount val="1"/>
                <c:pt idx="0">
                  <c:v>CMOS SOI</c:v>
                </c:pt>
              </c:strCache>
            </c:strRef>
          </c:tx>
          <c:spPr>
            <a:ln w="28575">
              <a:noFill/>
            </a:ln>
          </c:spPr>
          <c:xVal>
            <c:numRef>
              <c:f>PA!$O$34:$O$52</c:f>
              <c:numCache>
                <c:formatCode>General</c:formatCode>
                <c:ptCount val="15"/>
                <c:pt idx="0">
                  <c:v>45</c:v>
                </c:pt>
                <c:pt idx="1">
                  <c:v>60</c:v>
                </c:pt>
                <c:pt idx="2">
                  <c:v>60</c:v>
                </c:pt>
                <c:pt idx="3">
                  <c:v>60</c:v>
                </c:pt>
                <c:pt idx="4">
                  <c:v>45</c:v>
                </c:pt>
                <c:pt idx="5">
                  <c:v>45</c:v>
                </c:pt>
                <c:pt idx="6">
                  <c:v>45</c:v>
                </c:pt>
                <c:pt idx="7">
                  <c:v>89</c:v>
                </c:pt>
                <c:pt idx="8">
                  <c:v>47</c:v>
                </c:pt>
                <c:pt idx="9">
                  <c:v>53</c:v>
                </c:pt>
                <c:pt idx="10">
                  <c:v>45</c:v>
                </c:pt>
                <c:pt idx="11">
                  <c:v>90</c:v>
                </c:pt>
                <c:pt idx="12">
                  <c:v>16</c:v>
                </c:pt>
                <c:pt idx="13">
                  <c:v>74</c:v>
                </c:pt>
                <c:pt idx="14">
                  <c:v>39.5</c:v>
                </c:pt>
              </c:numCache>
            </c:numRef>
          </c:xVal>
          <c:yVal>
            <c:numRef>
              <c:f>PA!$T$34:$T$52</c:f>
              <c:numCache>
                <c:formatCode>General</c:formatCode>
                <c:ptCount val="15"/>
                <c:pt idx="0">
                  <c:v>18</c:v>
                </c:pt>
                <c:pt idx="1">
                  <c:v>10.5</c:v>
                </c:pt>
                <c:pt idx="2">
                  <c:v>14.5</c:v>
                </c:pt>
                <c:pt idx="3">
                  <c:v>16.5</c:v>
                </c:pt>
                <c:pt idx="4">
                  <c:v>18.2</c:v>
                </c:pt>
                <c:pt idx="5">
                  <c:v>19</c:v>
                </c:pt>
                <c:pt idx="6">
                  <c:v>18.600000000000001</c:v>
                </c:pt>
                <c:pt idx="7">
                  <c:v>17</c:v>
                </c:pt>
                <c:pt idx="8">
                  <c:v>15.9</c:v>
                </c:pt>
                <c:pt idx="9">
                  <c:v>19.8</c:v>
                </c:pt>
                <c:pt idx="10">
                  <c:v>21.6</c:v>
                </c:pt>
                <c:pt idx="11">
                  <c:v>15.8</c:v>
                </c:pt>
                <c:pt idx="12">
                  <c:v>26.1</c:v>
                </c:pt>
                <c:pt idx="13">
                  <c:v>17.2</c:v>
                </c:pt>
                <c:pt idx="14">
                  <c:v>27.2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8DD-4021-81B6-7695DB41E6B8}"/>
            </c:ext>
          </c:extLst>
        </c:ser>
        <c:ser>
          <c:idx val="6"/>
          <c:order val="6"/>
          <c:tx>
            <c:strRef>
              <c:f>PA!$A$112</c:f>
              <c:strCache>
                <c:ptCount val="1"/>
                <c:pt idx="0">
                  <c:v>GaN HEMT</c:v>
                </c:pt>
              </c:strCache>
            </c:strRef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B050"/>
              </a:solidFill>
            </c:spPr>
          </c:marker>
          <c:xVal>
            <c:numRef>
              <c:f>PA!$O$113:$O$124</c:f>
              <c:numCache>
                <c:formatCode>General</c:formatCode>
                <c:ptCount val="12"/>
                <c:pt idx="0">
                  <c:v>10</c:v>
                </c:pt>
                <c:pt idx="1">
                  <c:v>40</c:v>
                </c:pt>
                <c:pt idx="2">
                  <c:v>13</c:v>
                </c:pt>
                <c:pt idx="3">
                  <c:v>91</c:v>
                </c:pt>
                <c:pt idx="4">
                  <c:v>30</c:v>
                </c:pt>
                <c:pt idx="5">
                  <c:v>2.15</c:v>
                </c:pt>
                <c:pt idx="6">
                  <c:v>90</c:v>
                </c:pt>
                <c:pt idx="7">
                  <c:v>30</c:v>
                </c:pt>
                <c:pt idx="8">
                  <c:v>8</c:v>
                </c:pt>
                <c:pt idx="9">
                  <c:v>32</c:v>
                </c:pt>
                <c:pt idx="10">
                  <c:v>88</c:v>
                </c:pt>
                <c:pt idx="11">
                  <c:v>90</c:v>
                </c:pt>
              </c:numCache>
            </c:numRef>
          </c:xVal>
          <c:yVal>
            <c:numRef>
              <c:f>PA!$T$113:$T$124</c:f>
              <c:numCache>
                <c:formatCode>General</c:formatCode>
                <c:ptCount val="12"/>
                <c:pt idx="0">
                  <c:v>36.4</c:v>
                </c:pt>
                <c:pt idx="1">
                  <c:v>25</c:v>
                </c:pt>
                <c:pt idx="2">
                  <c:v>36.6</c:v>
                </c:pt>
                <c:pt idx="3">
                  <c:v>32.299999999999997</c:v>
                </c:pt>
                <c:pt idx="4">
                  <c:v>37.634279935629372</c:v>
                </c:pt>
                <c:pt idx="5">
                  <c:v>54.471580313422194</c:v>
                </c:pt>
                <c:pt idx="6">
                  <c:v>30</c:v>
                </c:pt>
                <c:pt idx="7" formatCode="0">
                  <c:v>36</c:v>
                </c:pt>
                <c:pt idx="8" formatCode="0">
                  <c:v>42</c:v>
                </c:pt>
                <c:pt idx="9" formatCode="0">
                  <c:v>33.5</c:v>
                </c:pt>
                <c:pt idx="10" formatCode="0">
                  <c:v>28.93</c:v>
                </c:pt>
                <c:pt idx="11" formatCode="0">
                  <c:v>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8DD-4021-81B6-7695DB41E6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0553856"/>
        <c:axId val="80555392"/>
        <c:extLst>
          <c:ext xmlns:c15="http://schemas.microsoft.com/office/drawing/2012/chart" uri="{02D57815-91ED-43cb-92C2-25804820EDAC}">
            <c15:filteredScatterSeries>
              <c15:ser>
                <c:idx val="5"/>
                <c:order val="2"/>
                <c:tx>
                  <c:strRef>
                    <c:extLst>
                      <c:ext uri="{02D57815-91ED-43cb-92C2-25804820EDAC}">
                        <c15:formulaRef>
                          <c15:sqref>PA!$A$94</c15:sqref>
                        </c15:formulaRef>
                      </c:ext>
                    </c:extLst>
                    <c:strCache>
                      <c:ptCount val="1"/>
                      <c:pt idx="0">
                        <c:v>SiGe HBT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trendline>
                  <c:name>SiGe HBT Trend</c:name>
                  <c:spPr>
                    <a:ln w="19050">
                      <a:solidFill>
                        <a:schemeClr val="accent6"/>
                      </a:solidFill>
                    </a:ln>
                  </c:spPr>
                  <c:trendlineType val="log"/>
                  <c:dispRSqr val="0"/>
                  <c:dispEq val="0"/>
                </c:trendline>
                <c:xVal>
                  <c:numRef>
                    <c:extLst>
                      <c:ext uri="{02D57815-91ED-43cb-92C2-25804820EDAC}">
                        <c15:formulaRef>
                          <c15:sqref>PA!$O$95:$O$108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42</c:v>
                      </c:pt>
                      <c:pt idx="1">
                        <c:v>60</c:v>
                      </c:pt>
                      <c:pt idx="2">
                        <c:v>60</c:v>
                      </c:pt>
                      <c:pt idx="3">
                        <c:v>77</c:v>
                      </c:pt>
                      <c:pt idx="4">
                        <c:v>77</c:v>
                      </c:pt>
                      <c:pt idx="5">
                        <c:v>78</c:v>
                      </c:pt>
                      <c:pt idx="6">
                        <c:v>78</c:v>
                      </c:pt>
                      <c:pt idx="7">
                        <c:v>40</c:v>
                      </c:pt>
                      <c:pt idx="8">
                        <c:v>41</c:v>
                      </c:pt>
                      <c:pt idx="9">
                        <c:v>60</c:v>
                      </c:pt>
                      <c:pt idx="10">
                        <c:v>73.5</c:v>
                      </c:pt>
                      <c:pt idx="11">
                        <c:v>8.75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PA!$T$95:$T$108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28.5</c:v>
                      </c:pt>
                      <c:pt idx="1">
                        <c:v>16.8</c:v>
                      </c:pt>
                      <c:pt idx="2">
                        <c:v>15.7</c:v>
                      </c:pt>
                      <c:pt idx="3">
                        <c:v>14.5</c:v>
                      </c:pt>
                      <c:pt idx="4">
                        <c:v>15</c:v>
                      </c:pt>
                      <c:pt idx="5">
                        <c:v>14</c:v>
                      </c:pt>
                      <c:pt idx="6">
                        <c:v>14.3</c:v>
                      </c:pt>
                      <c:pt idx="7">
                        <c:v>22.5</c:v>
                      </c:pt>
                      <c:pt idx="8">
                        <c:v>23</c:v>
                      </c:pt>
                      <c:pt idx="9">
                        <c:v>16.8</c:v>
                      </c:pt>
                      <c:pt idx="10">
                        <c:v>20.100000000000001</c:v>
                      </c:pt>
                      <c:pt idx="11">
                        <c:v>27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4-C8DD-4021-81B6-7695DB41E6B8}"/>
                  </c:ext>
                </c:extLst>
              </c15:ser>
            </c15:filteredScatterSeries>
            <c15:filteredScatterSeries>
              <c15:ser>
                <c:idx val="2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PA!$A$56</c15:sqref>
                        </c15:formulaRef>
                      </c:ext>
                    </c:extLst>
                    <c:strCache>
                      <c:ptCount val="1"/>
                      <c:pt idx="0">
                        <c:v>GaAs HEMT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PA!$O$57:$O$67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59</c:v>
                      </c:pt>
                      <c:pt idx="1">
                        <c:v>26</c:v>
                      </c:pt>
                      <c:pt idx="2">
                        <c:v>96</c:v>
                      </c:pt>
                      <c:pt idx="3">
                        <c:v>77</c:v>
                      </c:pt>
                      <c:pt idx="4">
                        <c:v>94</c:v>
                      </c:pt>
                      <c:pt idx="5">
                        <c:v>13.9</c:v>
                      </c:pt>
                      <c:pt idx="6">
                        <c:v>78</c:v>
                      </c:pt>
                      <c:pt idx="7">
                        <c:v>44</c:v>
                      </c:pt>
                      <c:pt idx="8">
                        <c:v>79</c:v>
                      </c:pt>
                      <c:pt idx="9">
                        <c:v>30</c:v>
                      </c:pt>
                      <c:pt idx="10">
                        <c:v>26.4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PA!$T$57:$T$67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20</c:v>
                      </c:pt>
                      <c:pt idx="1">
                        <c:v>23.5</c:v>
                      </c:pt>
                      <c:pt idx="2">
                        <c:v>24</c:v>
                      </c:pt>
                      <c:pt idx="3">
                        <c:v>21.5</c:v>
                      </c:pt>
                      <c:pt idx="4">
                        <c:v>24.7</c:v>
                      </c:pt>
                      <c:pt idx="5">
                        <c:v>38.200000000000003</c:v>
                      </c:pt>
                      <c:pt idx="6">
                        <c:v>24</c:v>
                      </c:pt>
                      <c:pt idx="7">
                        <c:v>35.5</c:v>
                      </c:pt>
                      <c:pt idx="8">
                        <c:v>20</c:v>
                      </c:pt>
                      <c:pt idx="9">
                        <c:v>30.5</c:v>
                      </c:pt>
                      <c:pt idx="10">
                        <c:v>25.3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C8DD-4021-81B6-7695DB41E6B8}"/>
                  </c:ext>
                </c:extLst>
              </c15:ser>
            </c15:filteredScatterSeries>
            <c15:filteredScatterSeries>
              <c15:ser>
                <c:idx val="3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PA!$A$70</c15:sqref>
                        </c15:formulaRef>
                      </c:ext>
                    </c:extLst>
                    <c:strCache>
                      <c:ptCount val="1"/>
                      <c:pt idx="0">
                        <c:v>InP HBT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trendline>
                  <c:name>InP HBT Trend</c:name>
                  <c:spPr>
                    <a:ln w="19050">
                      <a:solidFill>
                        <a:schemeClr val="bg1">
                          <a:lumMod val="50000"/>
                        </a:schemeClr>
                      </a:solidFill>
                    </a:ln>
                  </c:spPr>
                  <c:trendlineType val="log"/>
                  <c:dispRSqr val="0"/>
                  <c:dispEq val="0"/>
                </c:trendline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PA!$O$71:$O$83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21</c:v>
                      </c:pt>
                      <c:pt idx="1">
                        <c:v>38</c:v>
                      </c:pt>
                      <c:pt idx="2">
                        <c:v>20</c:v>
                      </c:pt>
                      <c:pt idx="3">
                        <c:v>80</c:v>
                      </c:pt>
                      <c:pt idx="4">
                        <c:v>220</c:v>
                      </c:pt>
                      <c:pt idx="5">
                        <c:v>630</c:v>
                      </c:pt>
                      <c:pt idx="6">
                        <c:v>600</c:v>
                      </c:pt>
                      <c:pt idx="7">
                        <c:v>85</c:v>
                      </c:pt>
                      <c:pt idx="8">
                        <c:v>75</c:v>
                      </c:pt>
                      <c:pt idx="9">
                        <c:v>324</c:v>
                      </c:pt>
                      <c:pt idx="10">
                        <c:v>20</c:v>
                      </c:pt>
                      <c:pt idx="11">
                        <c:v>176</c:v>
                      </c:pt>
                      <c:pt idx="12">
                        <c:v>86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PA!$T$71:$T$83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24.8</c:v>
                      </c:pt>
                      <c:pt idx="1">
                        <c:v>30.6</c:v>
                      </c:pt>
                      <c:pt idx="2">
                        <c:v>32</c:v>
                      </c:pt>
                      <c:pt idx="3">
                        <c:v>19.7</c:v>
                      </c:pt>
                      <c:pt idx="4">
                        <c:v>17.8</c:v>
                      </c:pt>
                      <c:pt idx="5">
                        <c:v>-4</c:v>
                      </c:pt>
                      <c:pt idx="6">
                        <c:v>2.8</c:v>
                      </c:pt>
                      <c:pt idx="7">
                        <c:v>16</c:v>
                      </c:pt>
                      <c:pt idx="8">
                        <c:v>19</c:v>
                      </c:pt>
                      <c:pt idx="9">
                        <c:v>1.1299999999999999</c:v>
                      </c:pt>
                      <c:pt idx="10" formatCode="0">
                        <c:v>27.1</c:v>
                      </c:pt>
                      <c:pt idx="11" formatCode="0">
                        <c:v>10</c:v>
                      </c:pt>
                      <c:pt idx="12" formatCode="0">
                        <c:v>22.75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7-C8DD-4021-81B6-7695DB41E6B8}"/>
                  </c:ext>
                </c:extLst>
              </c15:ser>
            </c15:filteredScatterSeries>
            <c15:filteredScatterSeries>
              <c15:ser>
                <c:idx val="4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PA!$A$87</c15:sqref>
                        </c15:formulaRef>
                      </c:ext>
                    </c:extLst>
                    <c:strCache>
                      <c:ptCount val="1"/>
                      <c:pt idx="0">
                        <c:v>InP HEMT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PA!$O$88:$O$90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45</c:v>
                      </c:pt>
                      <c:pt idx="1">
                        <c:v>217</c:v>
                      </c:pt>
                      <c:pt idx="2">
                        <c:v>95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PA!$T$88:$T$90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 formatCode="0.00">
                        <c:v>28</c:v>
                      </c:pt>
                      <c:pt idx="1">
                        <c:v>16</c:v>
                      </c:pt>
                      <c:pt idx="2">
                        <c:v>26.3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C8DD-4021-81B6-7695DB41E6B8}"/>
                  </c:ext>
                </c:extLst>
              </c15:ser>
            </c15:filteredScatterSeries>
          </c:ext>
        </c:extLst>
      </c:scatterChart>
      <c:valAx>
        <c:axId val="80553856"/>
        <c:scaling>
          <c:logBase val="10"/>
          <c:orientation val="minMax"/>
          <c:max val="100"/>
          <c:min val="10"/>
        </c:scaling>
        <c:delete val="0"/>
        <c:axPos val="b"/>
        <c:numFmt formatCode="General" sourceLinked="1"/>
        <c:majorTickMark val="out"/>
        <c:minorTickMark val="in"/>
        <c:tickLblPos val="nextTo"/>
        <c:txPr>
          <a:bodyPr rot="-5400000" vert="horz"/>
          <a:lstStyle/>
          <a:p>
            <a:pPr>
              <a:defRPr/>
            </a:pPr>
            <a:endParaRPr lang="sv-SE"/>
          </a:p>
        </c:txPr>
        <c:crossAx val="80555392"/>
        <c:crossesAt val="0"/>
        <c:crossBetween val="midCat"/>
        <c:majorUnit val="10"/>
      </c:valAx>
      <c:valAx>
        <c:axId val="80555392"/>
        <c:scaling>
          <c:orientation val="minMax"/>
          <c:max val="40"/>
          <c:min val="5"/>
        </c:scaling>
        <c:delete val="0"/>
        <c:axPos val="l"/>
        <c:majorGridlines/>
        <c:numFmt formatCode="General" sourceLinked="1"/>
        <c:majorTickMark val="out"/>
        <c:minorTickMark val="in"/>
        <c:tickLblPos val="nextTo"/>
        <c:crossAx val="80553856"/>
        <c:crossesAt val="10"/>
        <c:crossBetween val="midCat"/>
      </c:valAx>
      <c:spPr>
        <a:ln>
          <a:solidFill>
            <a:srgbClr val="0070C0"/>
          </a:solidFill>
        </a:ln>
      </c:spPr>
    </c:plotArea>
    <c:legend>
      <c:legendPos val="tr"/>
      <c:layout>
        <c:manualLayout>
          <c:xMode val="edge"/>
          <c:yMode val="edge"/>
          <c:x val="0.79170746506411493"/>
          <c:y val="0.12449357176282198"/>
          <c:w val="0.20598569119040822"/>
          <c:h val="0.29618850031241806"/>
        </c:manualLayout>
      </c:layout>
      <c:overlay val="0"/>
      <c:spPr>
        <a:solidFill>
          <a:schemeClr val="bg1"/>
        </a:solidFill>
      </c:spPr>
    </c:legend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686614173228346"/>
          <c:y val="0.12447749879210385"/>
          <c:w val="0.63683579396325452"/>
          <c:h val="0.79657814364113577"/>
        </c:manualLayout>
      </c:layout>
      <c:scatterChart>
        <c:scatterStyle val="lineMarker"/>
        <c:varyColors val="0"/>
        <c:ser>
          <c:idx val="0"/>
          <c:order val="0"/>
          <c:tx>
            <c:strRef>
              <c:f>PA!$A$8</c:f>
              <c:strCache>
                <c:ptCount val="1"/>
                <c:pt idx="0">
                  <c:v>CMOS Bulk</c:v>
                </c:pt>
              </c:strCache>
            </c:strRef>
          </c:tx>
          <c:spPr>
            <a:ln w="28575">
              <a:noFill/>
            </a:ln>
          </c:spPr>
          <c:xVal>
            <c:numRef>
              <c:f>PA!$O$9:$O$29</c:f>
              <c:numCache>
                <c:formatCode>General</c:formatCode>
                <c:ptCount val="21"/>
                <c:pt idx="0">
                  <c:v>60</c:v>
                </c:pt>
                <c:pt idx="1">
                  <c:v>79</c:v>
                </c:pt>
                <c:pt idx="2">
                  <c:v>60</c:v>
                </c:pt>
                <c:pt idx="3">
                  <c:v>60</c:v>
                </c:pt>
                <c:pt idx="4">
                  <c:v>60.5</c:v>
                </c:pt>
                <c:pt idx="5">
                  <c:v>60</c:v>
                </c:pt>
                <c:pt idx="6">
                  <c:v>60</c:v>
                </c:pt>
                <c:pt idx="7">
                  <c:v>60</c:v>
                </c:pt>
                <c:pt idx="8">
                  <c:v>60</c:v>
                </c:pt>
                <c:pt idx="9">
                  <c:v>54.55</c:v>
                </c:pt>
                <c:pt idx="10">
                  <c:v>60</c:v>
                </c:pt>
                <c:pt idx="11">
                  <c:v>87</c:v>
                </c:pt>
                <c:pt idx="12">
                  <c:v>60</c:v>
                </c:pt>
                <c:pt idx="13">
                  <c:v>24</c:v>
                </c:pt>
                <c:pt idx="14">
                  <c:v>24</c:v>
                </c:pt>
                <c:pt idx="15">
                  <c:v>109</c:v>
                </c:pt>
                <c:pt idx="16">
                  <c:v>60</c:v>
                </c:pt>
                <c:pt idx="17">
                  <c:v>52</c:v>
                </c:pt>
                <c:pt idx="18">
                  <c:v>30</c:v>
                </c:pt>
                <c:pt idx="19">
                  <c:v>92.5</c:v>
                </c:pt>
                <c:pt idx="20">
                  <c:v>63</c:v>
                </c:pt>
              </c:numCache>
            </c:numRef>
          </c:xVal>
          <c:yVal>
            <c:numRef>
              <c:f>PA!$U$9:$U$29</c:f>
              <c:numCache>
                <c:formatCode>0.00%</c:formatCode>
                <c:ptCount val="21"/>
                <c:pt idx="0">
                  <c:v>0.29299999999999998</c:v>
                </c:pt>
                <c:pt idx="1">
                  <c:v>0.192</c:v>
                </c:pt>
                <c:pt idx="2">
                  <c:v>0.14199999999999999</c:v>
                </c:pt>
                <c:pt idx="3">
                  <c:v>0.111</c:v>
                </c:pt>
                <c:pt idx="4">
                  <c:v>4.9000000000000002E-2</c:v>
                </c:pt>
                <c:pt idx="5">
                  <c:v>0.16200000000000001</c:v>
                </c:pt>
                <c:pt idx="6">
                  <c:v>0.10199999999999999</c:v>
                </c:pt>
                <c:pt idx="7">
                  <c:v>0.126</c:v>
                </c:pt>
                <c:pt idx="8">
                  <c:v>0.15</c:v>
                </c:pt>
                <c:pt idx="9">
                  <c:v>0.13400000000000001</c:v>
                </c:pt>
                <c:pt idx="10">
                  <c:v>0.128</c:v>
                </c:pt>
                <c:pt idx="11" formatCode="0%">
                  <c:v>0.09</c:v>
                </c:pt>
                <c:pt idx="12" formatCode="0%">
                  <c:v>7.0000000000000007E-2</c:v>
                </c:pt>
                <c:pt idx="13" formatCode="0%">
                  <c:v>0.247</c:v>
                </c:pt>
                <c:pt idx="14" formatCode="0%">
                  <c:v>0.17699999999999999</c:v>
                </c:pt>
                <c:pt idx="15" formatCode="0%">
                  <c:v>9.4E-2</c:v>
                </c:pt>
                <c:pt idx="16" formatCode="0%">
                  <c:v>0.158</c:v>
                </c:pt>
                <c:pt idx="17" formatCode="0%">
                  <c:v>7.0999999999999994E-2</c:v>
                </c:pt>
                <c:pt idx="18" formatCode="0%">
                  <c:v>0.2</c:v>
                </c:pt>
                <c:pt idx="19" formatCode="0%">
                  <c:v>8.6999999999999994E-2</c:v>
                </c:pt>
                <c:pt idx="20">
                  <c:v>8.6999999999999994E-2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5A1-465E-B24E-575AF01979C6}"/>
            </c:ext>
          </c:extLst>
        </c:ser>
        <c:ser>
          <c:idx val="1"/>
          <c:order val="1"/>
          <c:tx>
            <c:strRef>
              <c:f>PA!$A$33</c:f>
              <c:strCache>
                <c:ptCount val="1"/>
                <c:pt idx="0">
                  <c:v>CMOS SOI</c:v>
                </c:pt>
              </c:strCache>
            </c:strRef>
          </c:tx>
          <c:spPr>
            <a:ln w="28575">
              <a:noFill/>
            </a:ln>
          </c:spPr>
          <c:xVal>
            <c:numRef>
              <c:f>PA!$O$34:$O$52</c:f>
              <c:numCache>
                <c:formatCode>General</c:formatCode>
                <c:ptCount val="15"/>
                <c:pt idx="0">
                  <c:v>45</c:v>
                </c:pt>
                <c:pt idx="1">
                  <c:v>60</c:v>
                </c:pt>
                <c:pt idx="2">
                  <c:v>60</c:v>
                </c:pt>
                <c:pt idx="3">
                  <c:v>60</c:v>
                </c:pt>
                <c:pt idx="4">
                  <c:v>45</c:v>
                </c:pt>
                <c:pt idx="5">
                  <c:v>45</c:v>
                </c:pt>
                <c:pt idx="6">
                  <c:v>45</c:v>
                </c:pt>
                <c:pt idx="7">
                  <c:v>89</c:v>
                </c:pt>
                <c:pt idx="8">
                  <c:v>47</c:v>
                </c:pt>
                <c:pt idx="9">
                  <c:v>53</c:v>
                </c:pt>
                <c:pt idx="10">
                  <c:v>45</c:v>
                </c:pt>
                <c:pt idx="11">
                  <c:v>90</c:v>
                </c:pt>
                <c:pt idx="12">
                  <c:v>16</c:v>
                </c:pt>
                <c:pt idx="13">
                  <c:v>74</c:v>
                </c:pt>
                <c:pt idx="14">
                  <c:v>39.5</c:v>
                </c:pt>
              </c:numCache>
            </c:numRef>
          </c:xVal>
          <c:yVal>
            <c:numRef>
              <c:f>PA!$U$34:$U$52</c:f>
              <c:numCache>
                <c:formatCode>0.00%</c:formatCode>
                <c:ptCount val="15"/>
                <c:pt idx="0" formatCode="0%">
                  <c:v>0.23</c:v>
                </c:pt>
                <c:pt idx="1">
                  <c:v>0.223</c:v>
                </c:pt>
                <c:pt idx="2">
                  <c:v>0.25700000000000001</c:v>
                </c:pt>
                <c:pt idx="3">
                  <c:v>0.182</c:v>
                </c:pt>
                <c:pt idx="4">
                  <c:v>0.2</c:v>
                </c:pt>
                <c:pt idx="5">
                  <c:v>0.23</c:v>
                </c:pt>
                <c:pt idx="6">
                  <c:v>0.32</c:v>
                </c:pt>
                <c:pt idx="7">
                  <c:v>0.09</c:v>
                </c:pt>
                <c:pt idx="8">
                  <c:v>0.32700000000000001</c:v>
                </c:pt>
                <c:pt idx="9">
                  <c:v>0.26300000000000001</c:v>
                </c:pt>
                <c:pt idx="10">
                  <c:v>0.251</c:v>
                </c:pt>
                <c:pt idx="11" formatCode="0%">
                  <c:v>0.11</c:v>
                </c:pt>
                <c:pt idx="12" formatCode="0%">
                  <c:v>0.11</c:v>
                </c:pt>
                <c:pt idx="13" formatCode="0%">
                  <c:v>0.111</c:v>
                </c:pt>
                <c:pt idx="14">
                  <c:v>0.107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5A1-465E-B24E-575AF01979C6}"/>
            </c:ext>
          </c:extLst>
        </c:ser>
        <c:ser>
          <c:idx val="6"/>
          <c:order val="6"/>
          <c:tx>
            <c:strRef>
              <c:f>PA!$A$112</c:f>
              <c:strCache>
                <c:ptCount val="1"/>
                <c:pt idx="0">
                  <c:v>GaN HEMT</c:v>
                </c:pt>
              </c:strCache>
            </c:strRef>
          </c:tx>
          <c:spPr>
            <a:ln w="28575">
              <a:noFill/>
            </a:ln>
          </c:spPr>
          <c:marker>
            <c:symbol val="triangle"/>
            <c:size val="7"/>
            <c:spPr>
              <a:solidFill>
                <a:srgbClr val="00B050"/>
              </a:solidFill>
            </c:spPr>
          </c:marker>
          <c:xVal>
            <c:numRef>
              <c:f>PA!$O$113:$O$124</c:f>
              <c:numCache>
                <c:formatCode>General</c:formatCode>
                <c:ptCount val="12"/>
                <c:pt idx="0">
                  <c:v>10</c:v>
                </c:pt>
                <c:pt idx="1">
                  <c:v>40</c:v>
                </c:pt>
                <c:pt idx="2">
                  <c:v>13</c:v>
                </c:pt>
                <c:pt idx="3">
                  <c:v>91</c:v>
                </c:pt>
                <c:pt idx="4">
                  <c:v>30</c:v>
                </c:pt>
                <c:pt idx="5">
                  <c:v>2.15</c:v>
                </c:pt>
                <c:pt idx="6">
                  <c:v>90</c:v>
                </c:pt>
                <c:pt idx="7">
                  <c:v>30</c:v>
                </c:pt>
                <c:pt idx="8">
                  <c:v>8</c:v>
                </c:pt>
                <c:pt idx="9">
                  <c:v>32</c:v>
                </c:pt>
                <c:pt idx="10">
                  <c:v>88</c:v>
                </c:pt>
                <c:pt idx="11">
                  <c:v>90</c:v>
                </c:pt>
              </c:numCache>
            </c:numRef>
          </c:xVal>
          <c:yVal>
            <c:numRef>
              <c:f>PA!$U$113:$U$124</c:f>
              <c:numCache>
                <c:formatCode>0.00%</c:formatCode>
                <c:ptCount val="12"/>
                <c:pt idx="0">
                  <c:v>0.56999999999999995</c:v>
                </c:pt>
                <c:pt idx="1">
                  <c:v>0.18</c:v>
                </c:pt>
                <c:pt idx="2" formatCode="0%">
                  <c:v>0.18</c:v>
                </c:pt>
                <c:pt idx="3" formatCode="0%">
                  <c:v>0.11</c:v>
                </c:pt>
                <c:pt idx="4" formatCode="0%">
                  <c:v>0.432</c:v>
                </c:pt>
                <c:pt idx="5" formatCode="0%">
                  <c:v>0.28999999999999998</c:v>
                </c:pt>
                <c:pt idx="6" formatCode="0%">
                  <c:v>0.08</c:v>
                </c:pt>
                <c:pt idx="7" formatCode="0%">
                  <c:v>0.23</c:v>
                </c:pt>
                <c:pt idx="8" formatCode="0%">
                  <c:v>0.3</c:v>
                </c:pt>
                <c:pt idx="9">
                  <c:v>0.186</c:v>
                </c:pt>
                <c:pt idx="10" formatCode="0%">
                  <c:v>0.15</c:v>
                </c:pt>
                <c:pt idx="11" formatCode="0%">
                  <c:v>0.19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5A1-465E-B24E-575AF01979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5819392"/>
        <c:axId val="85820928"/>
        <c:extLst>
          <c:ext xmlns:c15="http://schemas.microsoft.com/office/drawing/2012/chart" uri="{02D57815-91ED-43cb-92C2-25804820EDAC}">
            <c15:filteredScatterSeries>
              <c15:ser>
                <c:idx val="5"/>
                <c:order val="2"/>
                <c:tx>
                  <c:strRef>
                    <c:extLst>
                      <c:ext uri="{02D57815-91ED-43cb-92C2-25804820EDAC}">
                        <c15:formulaRef>
                          <c15:sqref>PA!$A$94</c15:sqref>
                        </c15:formulaRef>
                      </c:ext>
                    </c:extLst>
                    <c:strCache>
                      <c:ptCount val="1"/>
                      <c:pt idx="0">
                        <c:v>SiGe HBT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trendline>
                  <c:name>SiGe HBT Trend</c:name>
                  <c:spPr>
                    <a:ln w="19050">
                      <a:solidFill>
                        <a:schemeClr val="accent6"/>
                      </a:solidFill>
                    </a:ln>
                  </c:spPr>
                  <c:trendlineType val="power"/>
                  <c:dispRSqr val="0"/>
                  <c:dispEq val="0"/>
                </c:trendline>
                <c:xVal>
                  <c:numRef>
                    <c:extLst>
                      <c:ext uri="{02D57815-91ED-43cb-92C2-25804820EDAC}">
                        <c15:formulaRef>
                          <c15:sqref>PA!$O$95:$O$108</c15:sqref>
                        </c15:formulaRef>
                      </c:ext>
                    </c:extLst>
                    <c:numCache>
                      <c:formatCode>General</c:formatCode>
                      <c:ptCount val="12"/>
                      <c:pt idx="0">
                        <c:v>42</c:v>
                      </c:pt>
                      <c:pt idx="1">
                        <c:v>60</c:v>
                      </c:pt>
                      <c:pt idx="2">
                        <c:v>60</c:v>
                      </c:pt>
                      <c:pt idx="3">
                        <c:v>77</c:v>
                      </c:pt>
                      <c:pt idx="4">
                        <c:v>77</c:v>
                      </c:pt>
                      <c:pt idx="5">
                        <c:v>78</c:v>
                      </c:pt>
                      <c:pt idx="6">
                        <c:v>78</c:v>
                      </c:pt>
                      <c:pt idx="7">
                        <c:v>40</c:v>
                      </c:pt>
                      <c:pt idx="8">
                        <c:v>41</c:v>
                      </c:pt>
                      <c:pt idx="9">
                        <c:v>60</c:v>
                      </c:pt>
                      <c:pt idx="10">
                        <c:v>73.5</c:v>
                      </c:pt>
                      <c:pt idx="11">
                        <c:v>8.75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PA!$U$95:$U$108</c15:sqref>
                        </c15:formulaRef>
                      </c:ext>
                    </c:extLst>
                    <c:numCache>
                      <c:formatCode>0.00%</c:formatCode>
                      <c:ptCount val="12"/>
                      <c:pt idx="0" formatCode="0%">
                        <c:v>0.1</c:v>
                      </c:pt>
                      <c:pt idx="1">
                        <c:v>0.28399999999999997</c:v>
                      </c:pt>
                      <c:pt idx="2">
                        <c:v>0.29199999999999998</c:v>
                      </c:pt>
                      <c:pt idx="3">
                        <c:v>0.09</c:v>
                      </c:pt>
                      <c:pt idx="4">
                        <c:v>7.4999999999999997E-2</c:v>
                      </c:pt>
                      <c:pt idx="5">
                        <c:v>0.02</c:v>
                      </c:pt>
                      <c:pt idx="6">
                        <c:v>2.0390415181264498E-2</c:v>
                      </c:pt>
                      <c:pt idx="7">
                        <c:v>0.2</c:v>
                      </c:pt>
                      <c:pt idx="8">
                        <c:v>0.31</c:v>
                      </c:pt>
                      <c:pt idx="9">
                        <c:v>0.28399999999999997</c:v>
                      </c:pt>
                      <c:pt idx="10">
                        <c:v>0.11</c:v>
                      </c:pt>
                      <c:pt idx="11">
                        <c:v>0.36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7-F5A1-465E-B24E-575AF01979C6}"/>
                  </c:ext>
                </c:extLst>
              </c15:ser>
            </c15:filteredScatterSeries>
            <c15:filteredScatterSeries>
              <c15:ser>
                <c:idx val="2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PA!$A$56</c15:sqref>
                        </c15:formulaRef>
                      </c:ext>
                    </c:extLst>
                    <c:strCache>
                      <c:ptCount val="1"/>
                      <c:pt idx="0">
                        <c:v>GaAs HEMT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PA!$O$57:$O$67</c15:sqref>
                        </c15:formulaRef>
                      </c:ext>
                    </c:extLst>
                    <c:numCache>
                      <c:formatCode>General</c:formatCode>
                      <c:ptCount val="11"/>
                      <c:pt idx="0">
                        <c:v>59</c:v>
                      </c:pt>
                      <c:pt idx="1">
                        <c:v>26</c:v>
                      </c:pt>
                      <c:pt idx="2">
                        <c:v>96</c:v>
                      </c:pt>
                      <c:pt idx="3">
                        <c:v>77</c:v>
                      </c:pt>
                      <c:pt idx="4">
                        <c:v>94</c:v>
                      </c:pt>
                      <c:pt idx="5">
                        <c:v>13.9</c:v>
                      </c:pt>
                      <c:pt idx="6">
                        <c:v>78</c:v>
                      </c:pt>
                      <c:pt idx="7">
                        <c:v>44</c:v>
                      </c:pt>
                      <c:pt idx="8">
                        <c:v>79</c:v>
                      </c:pt>
                      <c:pt idx="9">
                        <c:v>30</c:v>
                      </c:pt>
                      <c:pt idx="10">
                        <c:v>26.4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PA!$U$57:$U$67</c15:sqref>
                        </c15:formulaRef>
                      </c:ext>
                    </c:extLst>
                    <c:numCache>
                      <c:formatCode>0.00%</c:formatCode>
                      <c:ptCount val="11"/>
                      <c:pt idx="0">
                        <c:v>0.19</c:v>
                      </c:pt>
                      <c:pt idx="1">
                        <c:v>0.4</c:v>
                      </c:pt>
                      <c:pt idx="2">
                        <c:v>0.16</c:v>
                      </c:pt>
                      <c:pt idx="3">
                        <c:v>0.1</c:v>
                      </c:pt>
                      <c:pt idx="4">
                        <c:v>0.105</c:v>
                      </c:pt>
                      <c:pt idx="5">
                        <c:v>0.24</c:v>
                      </c:pt>
                      <c:pt idx="6" formatCode="0%">
                        <c:v>0.08</c:v>
                      </c:pt>
                      <c:pt idx="7">
                        <c:v>0.21</c:v>
                      </c:pt>
                      <c:pt idx="8" formatCode="0%">
                        <c:v>0.13</c:v>
                      </c:pt>
                      <c:pt idx="9" formatCode="0%">
                        <c:v>0.31</c:v>
                      </c:pt>
                      <c:pt idx="10" formatCode="0%">
                        <c:v>0.38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8-F5A1-465E-B24E-575AF01979C6}"/>
                  </c:ext>
                </c:extLst>
              </c15:ser>
            </c15:filteredScatterSeries>
            <c15:filteredScatterSeries>
              <c15:ser>
                <c:idx val="3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PA!$A$70</c15:sqref>
                        </c15:formulaRef>
                      </c:ext>
                    </c:extLst>
                    <c:strCache>
                      <c:ptCount val="1"/>
                      <c:pt idx="0">
                        <c:v>InP HBT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PA!$O$71:$O$83</c15:sqref>
                        </c15:formulaRef>
                      </c:ext>
                    </c:extLst>
                    <c:numCache>
                      <c:formatCode>General</c:formatCode>
                      <c:ptCount val="13"/>
                      <c:pt idx="0">
                        <c:v>21</c:v>
                      </c:pt>
                      <c:pt idx="1">
                        <c:v>38</c:v>
                      </c:pt>
                      <c:pt idx="2">
                        <c:v>20</c:v>
                      </c:pt>
                      <c:pt idx="3">
                        <c:v>80</c:v>
                      </c:pt>
                      <c:pt idx="4">
                        <c:v>220</c:v>
                      </c:pt>
                      <c:pt idx="5">
                        <c:v>630</c:v>
                      </c:pt>
                      <c:pt idx="6">
                        <c:v>600</c:v>
                      </c:pt>
                      <c:pt idx="7">
                        <c:v>85</c:v>
                      </c:pt>
                      <c:pt idx="8">
                        <c:v>75</c:v>
                      </c:pt>
                      <c:pt idx="9">
                        <c:v>324</c:v>
                      </c:pt>
                      <c:pt idx="10">
                        <c:v>20</c:v>
                      </c:pt>
                      <c:pt idx="11">
                        <c:v>176</c:v>
                      </c:pt>
                      <c:pt idx="12">
                        <c:v>86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PA!$U$71:$U$83</c15:sqref>
                        </c15:formulaRef>
                      </c:ext>
                    </c:extLst>
                    <c:numCache>
                      <c:formatCode>0.00%</c:formatCode>
                      <c:ptCount val="13"/>
                      <c:pt idx="0">
                        <c:v>0.4</c:v>
                      </c:pt>
                      <c:pt idx="1">
                        <c:v>0.28600000000000003</c:v>
                      </c:pt>
                      <c:pt idx="2">
                        <c:v>0.3</c:v>
                      </c:pt>
                      <c:pt idx="4">
                        <c:v>1.6799999999999999E-2</c:v>
                      </c:pt>
                      <c:pt idx="5">
                        <c:v>3.3E-3</c:v>
                      </c:pt>
                      <c:pt idx="6">
                        <c:v>4.0000000000000001E-3</c:v>
                      </c:pt>
                      <c:pt idx="8">
                        <c:v>0.08</c:v>
                      </c:pt>
                      <c:pt idx="9">
                        <c:v>6.0000000000000001E-3</c:v>
                      </c:pt>
                      <c:pt idx="10" formatCode="0%">
                        <c:v>0.39</c:v>
                      </c:pt>
                      <c:pt idx="11" formatCode="0%">
                        <c:v>0.03</c:v>
                      </c:pt>
                      <c:pt idx="12" formatCode="0%">
                        <c:v>0.32800000000000001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9-F5A1-465E-B24E-575AF01979C6}"/>
                  </c:ext>
                </c:extLst>
              </c15:ser>
            </c15:filteredScatterSeries>
            <c15:filteredScatterSeries>
              <c15:ser>
                <c:idx val="4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PA!$A$87</c15:sqref>
                        </c15:formulaRef>
                      </c:ext>
                    </c:extLst>
                    <c:strCache>
                      <c:ptCount val="1"/>
                      <c:pt idx="0">
                        <c:v>InP HEMT</c:v>
                      </c:pt>
                    </c:strCache>
                  </c:strRef>
                </c:tx>
                <c:spPr>
                  <a:ln w="28575">
                    <a:noFill/>
                  </a:ln>
                </c:spP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PA!$O$88:$O$90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45</c:v>
                      </c:pt>
                      <c:pt idx="1">
                        <c:v>217</c:v>
                      </c:pt>
                      <c:pt idx="2">
                        <c:v>95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PA!$U$88:$U$90</c15:sqref>
                        </c15:formulaRef>
                      </c:ext>
                    </c:extLst>
                    <c:numCache>
                      <c:formatCode>0.00%</c:formatCode>
                      <c:ptCount val="3"/>
                      <c:pt idx="0">
                        <c:v>0.31</c:v>
                      </c:pt>
                      <c:pt idx="1">
                        <c:v>0.03</c:v>
                      </c:pt>
                      <c:pt idx="2">
                        <c:v>0.19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A-F5A1-465E-B24E-575AF01979C6}"/>
                  </c:ext>
                </c:extLst>
              </c15:ser>
            </c15:filteredScatterSeries>
          </c:ext>
        </c:extLst>
      </c:scatterChart>
      <c:valAx>
        <c:axId val="85819392"/>
        <c:scaling>
          <c:logBase val="10"/>
          <c:orientation val="minMax"/>
          <c:max val="100"/>
          <c:min val="10"/>
        </c:scaling>
        <c:delete val="0"/>
        <c:axPos val="b"/>
        <c:numFmt formatCode="General" sourceLinked="1"/>
        <c:majorTickMark val="out"/>
        <c:minorTickMark val="in"/>
        <c:tickLblPos val="nextTo"/>
        <c:spPr>
          <a:ln>
            <a:solidFill>
              <a:schemeClr val="tx1"/>
            </a:solidFill>
          </a:ln>
        </c:spPr>
        <c:txPr>
          <a:bodyPr rot="-5400000" vert="horz"/>
          <a:lstStyle/>
          <a:p>
            <a:pPr>
              <a:defRPr/>
            </a:pPr>
            <a:endParaRPr lang="sv-SE"/>
          </a:p>
        </c:txPr>
        <c:crossAx val="85820928"/>
        <c:crossesAt val="5.000000000000001E-2"/>
        <c:crossBetween val="midCat"/>
      </c:valAx>
      <c:valAx>
        <c:axId val="85820928"/>
        <c:scaling>
          <c:logBase val="2"/>
          <c:orientation val="minMax"/>
          <c:max val="0.5"/>
          <c:min val="5.000000000000001E-2"/>
        </c:scaling>
        <c:delete val="0"/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0.00%" sourceLinked="1"/>
        <c:majorTickMark val="out"/>
        <c:minorTickMark val="in"/>
        <c:tickLblPos val="nextTo"/>
        <c:crossAx val="85819392"/>
        <c:crosses val="autoZero"/>
        <c:crossBetween val="midCat"/>
      </c:valAx>
      <c:spPr>
        <a:ln>
          <a:solidFill>
            <a:schemeClr val="tx1"/>
          </a:solidFill>
        </a:ln>
      </c:spPr>
    </c:plotArea>
    <c:legend>
      <c:legendPos val="tr"/>
      <c:layout>
        <c:manualLayout>
          <c:xMode val="edge"/>
          <c:yMode val="edge"/>
          <c:x val="0.79438041338582666"/>
          <c:y val="0.12090295584069727"/>
          <c:w val="0.20379970472440942"/>
          <c:h val="0.20065221311775494"/>
        </c:manualLayout>
      </c:layout>
      <c:overlay val="0"/>
      <c:spPr>
        <a:solidFill>
          <a:schemeClr val="bg1"/>
        </a:solidFill>
        <a:ln>
          <a:noFill/>
        </a:ln>
        <a:effectLst/>
      </c:spPr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n>
            <a:noFill/>
          </a:ln>
        </a:defRPr>
      </a:pPr>
      <a:endParaRPr lang="sv-SE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0.0212</cdr:x>
      <cdr:y>0.17697</cdr:y>
    </cdr:from>
    <cdr:to>
      <cdr:x>0.07105</cdr:x>
      <cdr:y>0.75409</cdr:y>
    </cdr:to>
    <cdr:sp macro="" textlink="">
      <cdr:nvSpPr>
        <cdr:cNvPr id="2" name="Text Box 1"/>
        <cdr:cNvSpPr txBox="1"/>
      </cdr:nvSpPr>
      <cdr:spPr>
        <a:xfrm xmlns:a="http://schemas.openxmlformats.org/drawingml/2006/main" rot="16200000">
          <a:off x="-784760" y="1568651"/>
          <a:ext cx="213360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/>
            <a:t>Peak output</a:t>
          </a:r>
          <a:r>
            <a:rPr lang="sv-SE" sz="1100" baseline="0"/>
            <a:t> power [dBm]</a:t>
          </a:r>
          <a:endParaRPr lang="sv-SE" sz="1100"/>
        </a:p>
      </cdr:txBody>
    </cdr:sp>
  </cdr:relSizeAnchor>
  <cdr:relSizeAnchor xmlns:cdr="http://schemas.openxmlformats.org/drawingml/2006/chartDrawing">
    <cdr:from>
      <cdr:x>0.34522</cdr:x>
      <cdr:y>0.91755</cdr:y>
    </cdr:from>
    <cdr:to>
      <cdr:x>0.69417</cdr:x>
      <cdr:y>1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2110840" y="3392170"/>
          <a:ext cx="213360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/>
            <a:t>Frequency </a:t>
          </a:r>
          <a:r>
            <a:rPr lang="sv-SE" sz="1100" baseline="0"/>
            <a:t>[GHz]</a:t>
          </a:r>
          <a:endParaRPr lang="sv-SE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0.14605</cdr:x>
      <cdr:y>0.20012</cdr:y>
    </cdr:from>
    <cdr:to>
      <cdr:x>0.78553</cdr:x>
      <cdr:y>0.68302</cdr:y>
    </cdr:to>
    <cdr:cxnSp macro="">
      <cdr:nvCxnSpPr>
        <cdr:cNvPr id="2" name="Straight Connector 1"/>
        <cdr:cNvCxnSpPr/>
      </cdr:nvCxnSpPr>
      <cdr:spPr>
        <a:xfrm xmlns:a="http://schemas.openxmlformats.org/drawingml/2006/main">
          <a:off x="890337" y="737937"/>
          <a:ext cx="3898231" cy="1780674"/>
        </a:xfrm>
        <a:prstGeom xmlns:a="http://schemas.openxmlformats.org/drawingml/2006/main" prst="line">
          <a:avLst/>
        </a:prstGeom>
        <a:ln xmlns:a="http://schemas.openxmlformats.org/drawingml/2006/main" w="19050">
          <a:solidFill>
            <a:schemeClr val="tx1"/>
          </a:solidFill>
          <a:prstDash val="dash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0.01206</cdr:x>
      <cdr:y>0.18286</cdr:y>
    </cdr:from>
    <cdr:to>
      <cdr:x>0.06206</cdr:x>
      <cdr:y>0.76148</cdr:y>
    </cdr:to>
    <cdr:sp macro="" textlink="">
      <cdr:nvSpPr>
        <cdr:cNvPr id="14" name="Text Box 1"/>
        <cdr:cNvSpPr txBox="1"/>
      </cdr:nvSpPr>
      <cdr:spPr>
        <a:xfrm xmlns:a="http://schemas.openxmlformats.org/drawingml/2006/main" rot="16200000">
          <a:off x="-840907" y="1588704"/>
          <a:ext cx="213360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/>
            <a:t>Power-added</a:t>
          </a:r>
          <a:r>
            <a:rPr lang="sv-SE" sz="1100" baseline="0"/>
            <a:t> effcieincy</a:t>
          </a:r>
          <a:endParaRPr lang="sv-SE" sz="1100"/>
        </a:p>
      </cdr:txBody>
    </cdr:sp>
  </cdr:relSizeAnchor>
  <cdr:relSizeAnchor xmlns:cdr="http://schemas.openxmlformats.org/drawingml/2006/chartDrawing">
    <cdr:from>
      <cdr:x>0.3546</cdr:x>
      <cdr:y>0.91734</cdr:y>
    </cdr:from>
    <cdr:to>
      <cdr:x>0.7046</cdr:x>
      <cdr:y>1</cdr:y>
    </cdr:to>
    <cdr:sp macro="" textlink="">
      <cdr:nvSpPr>
        <cdr:cNvPr id="16" name="Text Box 1"/>
        <cdr:cNvSpPr txBox="1"/>
      </cdr:nvSpPr>
      <cdr:spPr>
        <a:xfrm xmlns:a="http://schemas.openxmlformats.org/drawingml/2006/main">
          <a:off x="2161640" y="3442970"/>
          <a:ext cx="213360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/>
            <a:t>Frequency </a:t>
          </a:r>
          <a:r>
            <a:rPr lang="sv-SE" sz="1100" baseline="0"/>
            <a:t>[GHz]</a:t>
          </a:r>
          <a:endParaRPr lang="sv-SE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DC6CB-1586-45BF-872D-8BC9F3B1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8</TotalTime>
  <Pages>5</Pages>
  <Words>1298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5</cp:revision>
  <cp:lastPrinted>2016-09-23T14:37:00Z</cp:lastPrinted>
  <dcterms:created xsi:type="dcterms:W3CDTF">2016-11-03T17:28:00Z</dcterms:created>
  <dcterms:modified xsi:type="dcterms:W3CDTF">2016-11-04T17:22:00Z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