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0A193" w14:textId="6403F302" w:rsidR="008E772C" w:rsidRPr="00CF06F7" w:rsidRDefault="008E772C" w:rsidP="008E772C">
      <w:pPr>
        <w:pStyle w:val="3GPPHeader"/>
        <w:spacing w:after="60"/>
        <w:rPr>
          <w:sz w:val="36"/>
          <w:szCs w:val="32"/>
          <w:highlight w:val="yellow"/>
          <w:lang w:val="en-US"/>
        </w:rPr>
      </w:pPr>
      <w:r w:rsidRPr="00CF06F7">
        <w:rPr>
          <w:sz w:val="28"/>
          <w:lang w:val="en-US"/>
        </w:rPr>
        <w:t>3GPP TSG-RAN WG4 #80</w:t>
      </w:r>
      <w:r w:rsidR="00BA36B3">
        <w:rPr>
          <w:sz w:val="28"/>
          <w:lang w:val="en-US"/>
        </w:rPr>
        <w:t>bis</w:t>
      </w:r>
      <w:r w:rsidRPr="00CF06F7">
        <w:rPr>
          <w:sz w:val="28"/>
          <w:lang w:val="en-US"/>
        </w:rPr>
        <w:tab/>
      </w:r>
      <w:r w:rsidRPr="005C5161">
        <w:rPr>
          <w:sz w:val="32"/>
          <w:szCs w:val="32"/>
          <w:lang w:val="en-US"/>
        </w:rPr>
        <w:t>R4-16</w:t>
      </w:r>
      <w:r w:rsidR="005C5161" w:rsidRPr="005C5161">
        <w:rPr>
          <w:sz w:val="32"/>
          <w:szCs w:val="32"/>
          <w:lang w:val="en-US"/>
        </w:rPr>
        <w:t>8390</w:t>
      </w:r>
    </w:p>
    <w:p w14:paraId="23236DF1" w14:textId="77777777" w:rsidR="008E772C" w:rsidRPr="00CF06F7" w:rsidRDefault="00640698" w:rsidP="008E772C">
      <w:pPr>
        <w:pStyle w:val="3GPPHeader"/>
        <w:rPr>
          <w:sz w:val="28"/>
          <w:lang w:val="en-US"/>
        </w:rPr>
      </w:pPr>
      <w:r>
        <w:rPr>
          <w:sz w:val="28"/>
          <w:lang w:val="en-US"/>
        </w:rPr>
        <w:t>Ljubljana</w:t>
      </w:r>
      <w:r w:rsidR="003F4AD2">
        <w:rPr>
          <w:sz w:val="28"/>
          <w:lang w:val="en-US"/>
        </w:rPr>
        <w:t>, Slovenia</w:t>
      </w:r>
      <w:r w:rsidR="008E772C" w:rsidRPr="00CF06F7">
        <w:rPr>
          <w:sz w:val="28"/>
          <w:lang w:val="en-US"/>
        </w:rPr>
        <w:t xml:space="preserve">, </w:t>
      </w:r>
      <w:r w:rsidR="003F4AD2">
        <w:rPr>
          <w:sz w:val="28"/>
          <w:lang w:val="en-US"/>
        </w:rPr>
        <w:t>1</w:t>
      </w:r>
      <w:r w:rsidR="007F7373">
        <w:rPr>
          <w:sz w:val="28"/>
          <w:lang w:val="en-US"/>
        </w:rPr>
        <w:t>0</w:t>
      </w:r>
      <w:r w:rsidR="003F4AD2" w:rsidRPr="007F7373">
        <w:rPr>
          <w:sz w:val="28"/>
          <w:vertAlign w:val="superscript"/>
          <w:lang w:val="en-US"/>
        </w:rPr>
        <w:t>th</w:t>
      </w:r>
      <w:r w:rsidR="007F7373">
        <w:rPr>
          <w:sz w:val="28"/>
          <w:lang w:val="en-US"/>
        </w:rPr>
        <w:t xml:space="preserve"> </w:t>
      </w:r>
      <w:r w:rsidR="003F4AD2">
        <w:rPr>
          <w:sz w:val="28"/>
          <w:lang w:val="en-US"/>
        </w:rPr>
        <w:t>–</w:t>
      </w:r>
      <w:r w:rsidR="007F7373">
        <w:rPr>
          <w:sz w:val="28"/>
          <w:lang w:val="en-US"/>
        </w:rPr>
        <w:t xml:space="preserve"> 14</w:t>
      </w:r>
      <w:r w:rsidR="003F4AD2" w:rsidRPr="007F7373">
        <w:rPr>
          <w:sz w:val="28"/>
          <w:vertAlign w:val="superscript"/>
          <w:lang w:val="en-US"/>
        </w:rPr>
        <w:t>th</w:t>
      </w:r>
      <w:r w:rsidR="007F7373">
        <w:rPr>
          <w:sz w:val="28"/>
          <w:lang w:val="en-US"/>
        </w:rPr>
        <w:t xml:space="preserve"> </w:t>
      </w:r>
      <w:r w:rsidR="003F4AD2">
        <w:rPr>
          <w:sz w:val="28"/>
          <w:lang w:val="en-US"/>
        </w:rPr>
        <w:t>October</w:t>
      </w:r>
      <w:r w:rsidR="008E772C" w:rsidRPr="00CF06F7">
        <w:rPr>
          <w:sz w:val="28"/>
          <w:lang w:val="en-US"/>
        </w:rPr>
        <w:t xml:space="preserve"> 2016</w:t>
      </w:r>
    </w:p>
    <w:p w14:paraId="213D7737" w14:textId="77777777" w:rsidR="00E90E49" w:rsidRPr="00F6302A" w:rsidRDefault="00E90E49" w:rsidP="00357380">
      <w:pPr>
        <w:pStyle w:val="3GPPHeader"/>
        <w:rPr>
          <w:lang w:val="en-US"/>
        </w:rPr>
      </w:pPr>
    </w:p>
    <w:p w14:paraId="4E134974"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54F5C420"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D5401F">
        <w:rPr>
          <w:sz w:val="22"/>
          <w:szCs w:val="22"/>
          <w:lang w:val="en-US"/>
        </w:rPr>
        <w:t>Considerations for</w:t>
      </w:r>
      <w:r w:rsidR="004053E6">
        <w:rPr>
          <w:sz w:val="22"/>
          <w:szCs w:val="22"/>
          <w:lang w:val="en-US"/>
        </w:rPr>
        <w:t xml:space="preserve"> filtering and guard for NR</w:t>
      </w:r>
      <w:r w:rsidR="0076037F">
        <w:rPr>
          <w:sz w:val="22"/>
          <w:szCs w:val="22"/>
          <w:lang w:val="en-US"/>
        </w:rPr>
        <w:t xml:space="preserve"> </w:t>
      </w:r>
    </w:p>
    <w:p w14:paraId="7371E96C" w14:textId="312A516F"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5C5161">
        <w:rPr>
          <w:sz w:val="22"/>
          <w:szCs w:val="22"/>
          <w:lang w:val="en-US"/>
        </w:rPr>
        <w:t>10.5.1</w:t>
      </w:r>
    </w:p>
    <w:p w14:paraId="7414C05A" w14:textId="77777777" w:rsidR="00E90E49" w:rsidRPr="00F6302A" w:rsidRDefault="00E90E49" w:rsidP="002957B7">
      <w:pPr>
        <w:pStyle w:val="3GPPHeader"/>
        <w:rPr>
          <w:lang w:val="en-US"/>
        </w:rPr>
      </w:pPr>
      <w:r w:rsidRPr="00D66155">
        <w:rPr>
          <w:sz w:val="22"/>
          <w:szCs w:val="22"/>
          <w:lang w:val="en-US"/>
        </w:rPr>
        <w:t>Document for:</w:t>
      </w:r>
      <w:r w:rsidRPr="00D66155">
        <w:rPr>
          <w:sz w:val="22"/>
          <w:szCs w:val="22"/>
          <w:lang w:val="en-US"/>
        </w:rPr>
        <w:tab/>
      </w:r>
      <w:r w:rsidR="00F42FF4">
        <w:rPr>
          <w:sz w:val="22"/>
          <w:szCs w:val="22"/>
          <w:lang w:val="en-US"/>
        </w:rPr>
        <w:t>Discussion</w:t>
      </w:r>
      <w:r w:rsidR="00256F3B">
        <w:rPr>
          <w:sz w:val="22"/>
          <w:szCs w:val="22"/>
          <w:lang w:val="en-US"/>
        </w:rPr>
        <w:t xml:space="preserve"> and approval</w:t>
      </w:r>
    </w:p>
    <w:p w14:paraId="5B244118" w14:textId="77777777" w:rsidR="00E90E49" w:rsidRDefault="00E90E49" w:rsidP="00E90E49">
      <w:pPr>
        <w:pStyle w:val="Heading1"/>
        <w:rPr>
          <w:lang w:val="en-US"/>
        </w:rPr>
      </w:pPr>
      <w:r w:rsidRPr="00F6302A">
        <w:rPr>
          <w:lang w:val="en-US"/>
        </w:rPr>
        <w:t>Introduction</w:t>
      </w:r>
      <w:r w:rsidR="00F47AB8">
        <w:rPr>
          <w:lang w:val="en-US"/>
        </w:rPr>
        <w:t xml:space="preserve"> </w:t>
      </w:r>
    </w:p>
    <w:p w14:paraId="18E20E10" w14:textId="08A0FA6F" w:rsidR="00CA7778" w:rsidRDefault="00CA7778" w:rsidP="00CA7778">
      <w:pPr>
        <w:rPr>
          <w:sz w:val="22"/>
          <w:szCs w:val="22"/>
          <w:lang w:val="en-US"/>
        </w:rPr>
      </w:pPr>
      <w:r>
        <w:rPr>
          <w:sz w:val="22"/>
          <w:szCs w:val="22"/>
          <w:lang w:val="en-US"/>
        </w:rPr>
        <w:t xml:space="preserve">In RAN4#79 and RAN4#80, the modulation spectrum for different numerologies as well as the </w:t>
      </w:r>
      <w:r w:rsidR="005C5161">
        <w:rPr>
          <w:sz w:val="22"/>
          <w:szCs w:val="22"/>
          <w:lang w:val="en-US"/>
        </w:rPr>
        <w:t xml:space="preserve">size of the </w:t>
      </w:r>
      <w:r>
        <w:rPr>
          <w:sz w:val="22"/>
          <w:szCs w:val="22"/>
          <w:lang w:val="en-US"/>
        </w:rPr>
        <w:t>guards has been discussed</w:t>
      </w:r>
      <w:r w:rsidR="00415531">
        <w:rPr>
          <w:sz w:val="22"/>
          <w:szCs w:val="22"/>
          <w:lang w:val="en-US"/>
        </w:rPr>
        <w:t xml:space="preserve"> [1 &amp; 2]</w:t>
      </w:r>
      <w:r>
        <w:rPr>
          <w:sz w:val="22"/>
          <w:szCs w:val="22"/>
          <w:lang w:val="en-US"/>
        </w:rPr>
        <w:t>.</w:t>
      </w:r>
    </w:p>
    <w:p w14:paraId="33423535" w14:textId="348A2B60" w:rsidR="00CA7778" w:rsidRPr="00CA7778" w:rsidRDefault="00CA7778" w:rsidP="00CA7778">
      <w:pPr>
        <w:rPr>
          <w:sz w:val="22"/>
          <w:szCs w:val="22"/>
          <w:lang w:val="en-US"/>
        </w:rPr>
      </w:pPr>
      <w:r>
        <w:rPr>
          <w:sz w:val="22"/>
          <w:szCs w:val="22"/>
          <w:lang w:val="en-US"/>
        </w:rPr>
        <w:t>RAN1 has for some time worked on NR waveform evaluation and consider supporting</w:t>
      </w:r>
      <w:r w:rsidR="00E23224" w:rsidRPr="00CA7778">
        <w:rPr>
          <w:sz w:val="22"/>
          <w:szCs w:val="22"/>
          <w:lang w:val="en-US"/>
        </w:rPr>
        <w:t xml:space="preserve"> </w:t>
      </w:r>
      <w:r>
        <w:rPr>
          <w:sz w:val="22"/>
          <w:szCs w:val="22"/>
          <w:lang w:val="en-US"/>
        </w:rPr>
        <w:t>BS</w:t>
      </w:r>
      <w:r w:rsidR="00E23224" w:rsidRPr="00CA7778">
        <w:rPr>
          <w:sz w:val="22"/>
          <w:szCs w:val="22"/>
          <w:lang w:val="en-US"/>
        </w:rPr>
        <w:t xml:space="preserve">/UE with </w:t>
      </w:r>
      <w:r>
        <w:rPr>
          <w:sz w:val="22"/>
          <w:szCs w:val="22"/>
          <w:lang w:val="en-US"/>
        </w:rPr>
        <w:t>lower guard than the current 10% for E-UTRA. In addition, there is an agreement in RAN1 to support i</w:t>
      </w:r>
      <w:r w:rsidRPr="00CA7778">
        <w:rPr>
          <w:bCs/>
          <w:sz w:val="22"/>
          <w:szCs w:val="22"/>
          <w:lang w:val="en-US"/>
        </w:rPr>
        <w:t xml:space="preserve">n-band frequency multiplexing of different numerologies </w:t>
      </w:r>
      <w:r>
        <w:rPr>
          <w:bCs/>
          <w:sz w:val="22"/>
          <w:szCs w:val="22"/>
          <w:lang w:val="en-US"/>
        </w:rPr>
        <w:t>for</w:t>
      </w:r>
      <w:r w:rsidRPr="00CA7778">
        <w:rPr>
          <w:bCs/>
          <w:sz w:val="22"/>
          <w:szCs w:val="22"/>
          <w:lang w:val="en-US"/>
        </w:rPr>
        <w:t xml:space="preserve"> NR </w:t>
      </w:r>
      <w:r>
        <w:rPr>
          <w:bCs/>
          <w:sz w:val="22"/>
          <w:szCs w:val="22"/>
          <w:lang w:val="en-US"/>
        </w:rPr>
        <w:t>in</w:t>
      </w:r>
      <w:r w:rsidRPr="00CA7778">
        <w:rPr>
          <w:bCs/>
          <w:sz w:val="22"/>
          <w:szCs w:val="22"/>
          <w:lang w:val="en-US"/>
        </w:rPr>
        <w:t xml:space="preserve"> both DL and UL</w:t>
      </w:r>
      <w:r w:rsidR="00854BBB">
        <w:rPr>
          <w:bCs/>
          <w:sz w:val="22"/>
          <w:szCs w:val="22"/>
          <w:lang w:val="en-US"/>
        </w:rPr>
        <w:t>.</w:t>
      </w:r>
    </w:p>
    <w:p w14:paraId="0E001157" w14:textId="6F5A5045" w:rsidR="00CA7778" w:rsidRPr="000C461F" w:rsidRDefault="00CA7778" w:rsidP="00CA7778">
      <w:pPr>
        <w:rPr>
          <w:sz w:val="22"/>
          <w:szCs w:val="22"/>
          <w:lang w:val="en-US"/>
        </w:rPr>
      </w:pPr>
      <w:r>
        <w:rPr>
          <w:sz w:val="22"/>
          <w:szCs w:val="22"/>
          <w:lang w:val="en-US"/>
        </w:rPr>
        <w:t xml:space="preserve">In this paper, </w:t>
      </w:r>
      <w:r w:rsidR="00415531">
        <w:rPr>
          <w:sz w:val="22"/>
          <w:szCs w:val="22"/>
          <w:lang w:val="en-US"/>
        </w:rPr>
        <w:t xml:space="preserve">considering the </w:t>
      </w:r>
      <w:r w:rsidR="005C5161">
        <w:rPr>
          <w:sz w:val="22"/>
          <w:szCs w:val="22"/>
          <w:lang w:val="en-US"/>
        </w:rPr>
        <w:t xml:space="preserve">potential </w:t>
      </w:r>
      <w:r w:rsidR="00415531">
        <w:rPr>
          <w:sz w:val="22"/>
          <w:szCs w:val="22"/>
          <w:lang w:val="en-US"/>
        </w:rPr>
        <w:t xml:space="preserve">NR spectrum efficiency improvements in relation to the size of the guards, some important </w:t>
      </w:r>
      <w:r w:rsidR="005C5161">
        <w:rPr>
          <w:sz w:val="22"/>
          <w:szCs w:val="22"/>
          <w:lang w:val="en-US"/>
        </w:rPr>
        <w:t>considerations</w:t>
      </w:r>
      <w:r w:rsidR="00415531">
        <w:rPr>
          <w:sz w:val="22"/>
          <w:szCs w:val="22"/>
          <w:lang w:val="en-US"/>
        </w:rPr>
        <w:t xml:space="preserve"> in this regard</w:t>
      </w:r>
      <w:r w:rsidR="005C5161">
        <w:rPr>
          <w:sz w:val="22"/>
          <w:szCs w:val="22"/>
          <w:lang w:val="en-US"/>
        </w:rPr>
        <w:t>,</w:t>
      </w:r>
      <w:r w:rsidR="00415531">
        <w:rPr>
          <w:sz w:val="22"/>
          <w:szCs w:val="22"/>
          <w:lang w:val="en-US"/>
        </w:rPr>
        <w:t xml:space="preserve"> </w:t>
      </w:r>
      <w:r w:rsidR="005C5161">
        <w:rPr>
          <w:sz w:val="22"/>
          <w:szCs w:val="22"/>
          <w:lang w:val="en-US"/>
        </w:rPr>
        <w:t>which need</w:t>
      </w:r>
      <w:r w:rsidR="00415531">
        <w:rPr>
          <w:sz w:val="22"/>
          <w:szCs w:val="22"/>
          <w:lang w:val="en-US"/>
        </w:rPr>
        <w:t xml:space="preserve"> to be carefully considered before the decision on guard levels are taken</w:t>
      </w:r>
      <w:r w:rsidR="005C5161">
        <w:rPr>
          <w:sz w:val="22"/>
          <w:szCs w:val="22"/>
          <w:lang w:val="en-US"/>
        </w:rPr>
        <w:t xml:space="preserve">, </w:t>
      </w:r>
      <w:r w:rsidR="005C5161">
        <w:rPr>
          <w:sz w:val="22"/>
          <w:szCs w:val="22"/>
          <w:lang w:val="en-US"/>
        </w:rPr>
        <w:t>are further elaborated</w:t>
      </w:r>
      <w:r w:rsidR="00415531">
        <w:rPr>
          <w:sz w:val="22"/>
          <w:szCs w:val="22"/>
          <w:lang w:val="en-US"/>
        </w:rPr>
        <w:t>.</w:t>
      </w:r>
    </w:p>
    <w:p w14:paraId="33A5FD57" w14:textId="77777777" w:rsidR="00CA7778" w:rsidRDefault="00CA7778" w:rsidP="00CA7778">
      <w:pPr>
        <w:pStyle w:val="Heading1"/>
        <w:rPr>
          <w:lang w:val="en-US"/>
        </w:rPr>
      </w:pPr>
      <w:r>
        <w:rPr>
          <w:lang w:val="en-US"/>
        </w:rPr>
        <w:t>Discussion</w:t>
      </w:r>
    </w:p>
    <w:p w14:paraId="01F4B811" w14:textId="521906BE" w:rsidR="00415531" w:rsidRDefault="00CA7778" w:rsidP="00CA7778">
      <w:pPr>
        <w:pStyle w:val="BodyText"/>
        <w:rPr>
          <w:sz w:val="22"/>
          <w:szCs w:val="22"/>
        </w:rPr>
      </w:pPr>
      <w:r w:rsidRPr="005259C3">
        <w:rPr>
          <w:sz w:val="22"/>
          <w:szCs w:val="22"/>
        </w:rPr>
        <w:t>In [</w:t>
      </w:r>
      <w:r w:rsidR="00415531">
        <w:rPr>
          <w:sz w:val="22"/>
          <w:szCs w:val="22"/>
        </w:rPr>
        <w:t>2</w:t>
      </w:r>
      <w:r w:rsidRPr="005259C3">
        <w:rPr>
          <w:sz w:val="22"/>
          <w:szCs w:val="22"/>
        </w:rPr>
        <w:t xml:space="preserve">], </w:t>
      </w:r>
      <w:r w:rsidR="00415531">
        <w:rPr>
          <w:sz w:val="22"/>
          <w:szCs w:val="22"/>
          <w:lang w:val="en-US"/>
        </w:rPr>
        <w:t xml:space="preserve">a detailed analysis of filtering </w:t>
      </w:r>
      <w:r w:rsidR="005C5161">
        <w:rPr>
          <w:sz w:val="22"/>
          <w:szCs w:val="22"/>
          <w:lang w:val="en-US"/>
        </w:rPr>
        <w:t>impacts,</w:t>
      </w:r>
      <w:r w:rsidR="00415531">
        <w:rPr>
          <w:sz w:val="22"/>
          <w:szCs w:val="22"/>
          <w:lang w:val="en-US"/>
        </w:rPr>
        <w:t xml:space="preserve"> considering</w:t>
      </w:r>
      <w:r w:rsidR="005C5161">
        <w:rPr>
          <w:sz w:val="22"/>
          <w:szCs w:val="22"/>
          <w:lang w:val="en-US"/>
        </w:rPr>
        <w:t xml:space="preserve"> in particular the delay </w:t>
      </w:r>
      <w:r w:rsidR="00415531">
        <w:rPr>
          <w:sz w:val="22"/>
          <w:szCs w:val="22"/>
          <w:lang w:val="en-US"/>
        </w:rPr>
        <w:t xml:space="preserve">corresponding </w:t>
      </w:r>
      <w:r w:rsidR="005C5161">
        <w:rPr>
          <w:sz w:val="22"/>
          <w:szCs w:val="22"/>
          <w:lang w:val="en-US"/>
        </w:rPr>
        <w:t>to filtering requirements,</w:t>
      </w:r>
      <w:r w:rsidR="00415531">
        <w:rPr>
          <w:sz w:val="22"/>
          <w:szCs w:val="22"/>
          <w:lang w:val="en-US"/>
        </w:rPr>
        <w:t xml:space="preserve"> was presented. </w:t>
      </w:r>
      <w:r w:rsidR="00415531">
        <w:rPr>
          <w:sz w:val="22"/>
          <w:szCs w:val="22"/>
        </w:rPr>
        <w:t>A</w:t>
      </w:r>
      <w:r w:rsidRPr="005259C3">
        <w:rPr>
          <w:sz w:val="22"/>
          <w:szCs w:val="22"/>
        </w:rPr>
        <w:t xml:space="preserve">s efficient multiplexing </w:t>
      </w:r>
      <w:r w:rsidR="00415531">
        <w:rPr>
          <w:sz w:val="22"/>
          <w:szCs w:val="22"/>
        </w:rPr>
        <w:t xml:space="preserve">of </w:t>
      </w:r>
      <w:r w:rsidRPr="005259C3">
        <w:rPr>
          <w:sz w:val="22"/>
          <w:szCs w:val="22"/>
        </w:rPr>
        <w:t>different usage scenarios within one contiguous NR block is one of the objectives of NR SI</w:t>
      </w:r>
      <w:r w:rsidR="00415531">
        <w:rPr>
          <w:sz w:val="22"/>
          <w:szCs w:val="22"/>
        </w:rPr>
        <w:t xml:space="preserve">, the modulation spectrum </w:t>
      </w:r>
      <w:r w:rsidR="005C5161">
        <w:rPr>
          <w:sz w:val="22"/>
          <w:szCs w:val="22"/>
        </w:rPr>
        <w:t xml:space="preserve">and associated filtering requirements </w:t>
      </w:r>
      <w:r w:rsidR="00415531">
        <w:rPr>
          <w:sz w:val="22"/>
          <w:szCs w:val="22"/>
        </w:rPr>
        <w:t xml:space="preserve">for different sub-carrier spacing </w:t>
      </w:r>
      <w:r w:rsidR="005C5161">
        <w:rPr>
          <w:sz w:val="22"/>
          <w:szCs w:val="22"/>
        </w:rPr>
        <w:t>options was</w:t>
      </w:r>
      <w:r w:rsidR="00415531">
        <w:rPr>
          <w:sz w:val="22"/>
          <w:szCs w:val="22"/>
        </w:rPr>
        <w:t xml:space="preserve"> </w:t>
      </w:r>
      <w:r w:rsidR="005C5161">
        <w:rPr>
          <w:sz w:val="22"/>
          <w:szCs w:val="22"/>
        </w:rPr>
        <w:t>considered</w:t>
      </w:r>
      <w:r w:rsidRPr="005259C3">
        <w:rPr>
          <w:sz w:val="22"/>
          <w:szCs w:val="22"/>
        </w:rPr>
        <w:t xml:space="preserve">. </w:t>
      </w:r>
    </w:p>
    <w:p w14:paraId="24462644" w14:textId="7DE367B3" w:rsidR="00415531" w:rsidRDefault="00415531" w:rsidP="00CA7778">
      <w:pPr>
        <w:pStyle w:val="BodyText"/>
        <w:rPr>
          <w:sz w:val="22"/>
          <w:szCs w:val="22"/>
          <w:lang w:val="en-US"/>
        </w:rPr>
      </w:pPr>
      <w:r>
        <w:rPr>
          <w:sz w:val="22"/>
          <w:szCs w:val="22"/>
        </w:rPr>
        <w:t xml:space="preserve">Considering the guard in a case where different usage scenarios </w:t>
      </w:r>
      <w:r w:rsidR="005C5161">
        <w:rPr>
          <w:sz w:val="22"/>
          <w:szCs w:val="22"/>
        </w:rPr>
        <w:t xml:space="preserve">&amp; numerologies </w:t>
      </w:r>
      <w:r>
        <w:rPr>
          <w:sz w:val="22"/>
          <w:szCs w:val="22"/>
        </w:rPr>
        <w:t>are multiplex</w:t>
      </w:r>
      <w:r w:rsidR="000B010A">
        <w:rPr>
          <w:sz w:val="22"/>
          <w:szCs w:val="22"/>
        </w:rPr>
        <w:t>ed</w:t>
      </w:r>
      <w:r>
        <w:rPr>
          <w:sz w:val="22"/>
          <w:szCs w:val="22"/>
        </w:rPr>
        <w:t xml:space="preserve"> in a NR block, the </w:t>
      </w:r>
      <w:r w:rsidRPr="005259C3">
        <w:rPr>
          <w:sz w:val="22"/>
          <w:szCs w:val="22"/>
        </w:rPr>
        <w:t>illustration</w:t>
      </w:r>
      <w:r>
        <w:rPr>
          <w:sz w:val="22"/>
          <w:szCs w:val="22"/>
          <w:lang w:val="en-US"/>
        </w:rPr>
        <w:t xml:space="preserve"> in Figure 1 indicate</w:t>
      </w:r>
      <w:r w:rsidR="005C5161">
        <w:rPr>
          <w:sz w:val="22"/>
          <w:szCs w:val="22"/>
          <w:lang w:val="en-US"/>
        </w:rPr>
        <w:t>s</w:t>
      </w:r>
      <w:r w:rsidR="00CA7778" w:rsidRPr="005259C3">
        <w:rPr>
          <w:sz w:val="22"/>
          <w:szCs w:val="22"/>
          <w:lang w:val="en-US"/>
        </w:rPr>
        <w:t xml:space="preserve"> that there are guard bands both at the block edge and potentially also between numerologies. </w:t>
      </w:r>
    </w:p>
    <w:p w14:paraId="3236BA20" w14:textId="77777777" w:rsidR="00415531" w:rsidRDefault="00CA7778" w:rsidP="00CA7778">
      <w:pPr>
        <w:pStyle w:val="BodyText"/>
        <w:rPr>
          <w:sz w:val="22"/>
          <w:szCs w:val="22"/>
          <w:lang w:val="en-US"/>
        </w:rPr>
      </w:pPr>
      <w:r w:rsidRPr="005259C3">
        <w:rPr>
          <w:sz w:val="22"/>
          <w:szCs w:val="22"/>
          <w:lang w:val="en-US"/>
        </w:rPr>
        <w:t>Since the numerologies differ</w:t>
      </w:r>
      <w:r w:rsidR="00415531">
        <w:rPr>
          <w:sz w:val="22"/>
          <w:szCs w:val="22"/>
          <w:lang w:val="en-US"/>
        </w:rPr>
        <w:t xml:space="preserve"> and sub-carrier spacing can differ</w:t>
      </w:r>
      <w:r w:rsidRPr="005259C3">
        <w:rPr>
          <w:sz w:val="22"/>
          <w:szCs w:val="22"/>
          <w:lang w:val="en-US"/>
        </w:rPr>
        <w:t>, it is not intuitive that the block edge guards 1 and 2 should necessarily be the same size</w:t>
      </w:r>
      <w:r w:rsidR="00415531">
        <w:rPr>
          <w:sz w:val="22"/>
          <w:szCs w:val="22"/>
          <w:lang w:val="en-US"/>
        </w:rPr>
        <w:t xml:space="preserve"> given the sub-carrier spacing dependent decay in modulation spectrum as shown in Figure 2</w:t>
      </w:r>
      <w:r w:rsidRPr="005259C3">
        <w:rPr>
          <w:sz w:val="22"/>
          <w:szCs w:val="22"/>
          <w:lang w:val="en-US"/>
        </w:rPr>
        <w:t>.</w:t>
      </w:r>
      <w:r>
        <w:rPr>
          <w:sz w:val="22"/>
          <w:szCs w:val="22"/>
          <w:lang w:val="en-US"/>
        </w:rPr>
        <w:t xml:space="preserve"> </w:t>
      </w:r>
    </w:p>
    <w:p w14:paraId="788F29AD" w14:textId="77777777" w:rsidR="00CA7778" w:rsidRDefault="00415531" w:rsidP="00CA7778">
      <w:pPr>
        <w:pStyle w:val="BodyText"/>
        <w:rPr>
          <w:sz w:val="22"/>
          <w:szCs w:val="22"/>
          <w:lang w:val="en-US"/>
        </w:rPr>
      </w:pPr>
      <w:r>
        <w:rPr>
          <w:sz w:val="22"/>
          <w:szCs w:val="22"/>
          <w:lang w:val="en-US"/>
        </w:rPr>
        <w:t>In addition, a</w:t>
      </w:r>
      <w:r w:rsidR="00CA7778">
        <w:rPr>
          <w:sz w:val="22"/>
          <w:szCs w:val="22"/>
          <w:lang w:val="en-US"/>
        </w:rPr>
        <w:t>s</w:t>
      </w:r>
      <w:r w:rsidR="00CA7778" w:rsidRPr="005259C3">
        <w:rPr>
          <w:sz w:val="22"/>
          <w:szCs w:val="22"/>
          <w:lang w:val="en-US"/>
        </w:rPr>
        <w:t xml:space="preserve"> numerologies with different subcarrier spacing will not be orthogonal to one another and there will be a need for guard bands and/or possibly filtering between numerologies. </w:t>
      </w:r>
    </w:p>
    <w:p w14:paraId="273EB9B3" w14:textId="77777777" w:rsidR="002D3B29" w:rsidRPr="005259C3" w:rsidRDefault="002D3B29" w:rsidP="00CA7778">
      <w:pPr>
        <w:pStyle w:val="BodyText"/>
        <w:rPr>
          <w:sz w:val="22"/>
          <w:szCs w:val="22"/>
          <w:lang w:val="en-US"/>
        </w:rPr>
      </w:pPr>
    </w:p>
    <w:p w14:paraId="2C66D894" w14:textId="77777777" w:rsidR="00CA7778" w:rsidRDefault="00CA7778" w:rsidP="00CA7778">
      <w:pPr>
        <w:rPr>
          <w:sz w:val="22"/>
          <w:szCs w:val="22"/>
        </w:rPr>
      </w:pPr>
      <w:r>
        <w:rPr>
          <w:sz w:val="22"/>
          <w:szCs w:val="22"/>
        </w:rPr>
        <w:t xml:space="preserve">                      </w:t>
      </w:r>
      <w:r>
        <w:rPr>
          <w:noProof/>
          <w:lang w:val="sv-SE" w:eastAsia="sv-SE"/>
        </w:rPr>
        <w:drawing>
          <wp:inline distT="0" distB="0" distL="0" distR="0" wp14:anchorId="61CA5038" wp14:editId="2974688F">
            <wp:extent cx="4390130" cy="15483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0907" cy="1548642"/>
                    </a:xfrm>
                    <a:prstGeom prst="rect">
                      <a:avLst/>
                    </a:prstGeom>
                    <a:noFill/>
                  </pic:spPr>
                </pic:pic>
              </a:graphicData>
            </a:graphic>
          </wp:inline>
        </w:drawing>
      </w:r>
    </w:p>
    <w:p w14:paraId="008F635C" w14:textId="77777777" w:rsidR="00CA7778" w:rsidRDefault="00CA7778" w:rsidP="00CA7778">
      <w:pPr>
        <w:pStyle w:val="Caption"/>
      </w:pPr>
      <w:r>
        <w:t xml:space="preserve">Figure </w:t>
      </w:r>
      <w:r>
        <w:fldChar w:fldCharType="begin"/>
      </w:r>
      <w:r>
        <w:instrText xml:space="preserve"> SEQ Figure \* ARABIC </w:instrText>
      </w:r>
      <w:r>
        <w:fldChar w:fldCharType="separate"/>
      </w:r>
      <w:r>
        <w:rPr>
          <w:noProof/>
        </w:rPr>
        <w:t>1</w:t>
      </w:r>
      <w:r>
        <w:fldChar w:fldCharType="end"/>
      </w:r>
      <w:r>
        <w:tab/>
        <w:t>Multiple numerologies in a contiguous NR block</w:t>
      </w:r>
    </w:p>
    <w:p w14:paraId="17E37FBD" w14:textId="77777777" w:rsidR="00CA7778" w:rsidRPr="001C6555" w:rsidRDefault="00CA7778" w:rsidP="00CA7778">
      <w:pPr>
        <w:rPr>
          <w:sz w:val="22"/>
          <w:szCs w:val="22"/>
        </w:rPr>
      </w:pPr>
      <w:r>
        <w:rPr>
          <w:sz w:val="22"/>
          <w:szCs w:val="22"/>
        </w:rPr>
        <w:lastRenderedPageBreak/>
        <w:t xml:space="preserve">In figure 2, the modulation spectrum for numerologies based on example sub-carrier spacing of 15 kHz and 60 kHz respectively which possibly to be used in existing bands as well as new bands below 6 GHz. </w:t>
      </w:r>
    </w:p>
    <w:p w14:paraId="0DA83BCC" w14:textId="77777777" w:rsidR="00CA7778" w:rsidRDefault="00CA7778" w:rsidP="00CA7778">
      <w:pPr>
        <w:rPr>
          <w:sz w:val="22"/>
          <w:szCs w:val="22"/>
        </w:rPr>
      </w:pPr>
      <w:r>
        <w:rPr>
          <w:sz w:val="22"/>
          <w:szCs w:val="22"/>
        </w:rPr>
        <w:t xml:space="preserve">                      </w:t>
      </w:r>
      <w:r>
        <w:rPr>
          <w:noProof/>
          <w:lang w:val="sv-SE" w:eastAsia="sv-SE"/>
        </w:rPr>
        <w:drawing>
          <wp:inline distT="0" distB="0" distL="0" distR="0" wp14:anchorId="71DC0538" wp14:editId="20C13C4B">
            <wp:extent cx="4530376" cy="1792224"/>
            <wp:effectExtent l="0" t="0" r="3810" b="0"/>
            <wp:docPr id="13" name="Picture 13" descr="cid:image001.png@01D1D5FF.D833D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D5FF.D833DF7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34908" cy="1794017"/>
                    </a:xfrm>
                    <a:prstGeom prst="rect">
                      <a:avLst/>
                    </a:prstGeom>
                    <a:noFill/>
                    <a:ln>
                      <a:noFill/>
                    </a:ln>
                  </pic:spPr>
                </pic:pic>
              </a:graphicData>
            </a:graphic>
          </wp:inline>
        </w:drawing>
      </w:r>
    </w:p>
    <w:p w14:paraId="0A0AC0B1" w14:textId="77777777" w:rsidR="00CA7778" w:rsidRPr="001C6555" w:rsidRDefault="00CA7778" w:rsidP="00CA7778">
      <w:pPr>
        <w:pStyle w:val="Caption"/>
        <w:rPr>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A3596">
        <w:t>Modulation spectr</w:t>
      </w:r>
      <w:r>
        <w:t>a</w:t>
      </w:r>
      <w:r w:rsidRPr="00BA3596">
        <w:t xml:space="preserve"> for 15 kHz and 60 kHz sub-carrier spacing</w:t>
      </w:r>
    </w:p>
    <w:p w14:paraId="598EEB47" w14:textId="77777777" w:rsidR="002D3B29" w:rsidRDefault="002D3B29" w:rsidP="00CA7778">
      <w:pPr>
        <w:rPr>
          <w:rFonts w:eastAsia="Malgun Gothic" w:cs="Arial"/>
          <w:sz w:val="22"/>
          <w:szCs w:val="22"/>
          <w:lang w:val="en-US" w:eastAsia="ko-KR"/>
        </w:rPr>
      </w:pPr>
    </w:p>
    <w:p w14:paraId="5AE4E1FD" w14:textId="56D8645F" w:rsidR="002D3B29" w:rsidRDefault="0089798E" w:rsidP="0089798E">
      <w:pPr>
        <w:rPr>
          <w:rFonts w:eastAsia="Malgun Gothic" w:cs="Arial"/>
          <w:sz w:val="22"/>
          <w:lang w:val="en-US" w:eastAsia="ko-KR"/>
        </w:rPr>
      </w:pPr>
      <w:r w:rsidRPr="0089798E">
        <w:rPr>
          <w:rFonts w:eastAsia="Malgun Gothic" w:cs="Arial"/>
          <w:sz w:val="22"/>
          <w:szCs w:val="22"/>
          <w:lang w:val="en-US" w:eastAsia="ko-KR"/>
        </w:rPr>
        <w:t xml:space="preserve">In </w:t>
      </w:r>
      <w:r w:rsidR="002D3B29" w:rsidRPr="0089798E">
        <w:rPr>
          <w:rFonts w:eastAsia="Malgun Gothic" w:cs="Arial"/>
          <w:sz w:val="22"/>
          <w:szCs w:val="22"/>
          <w:lang w:val="en-US" w:eastAsia="ko-KR"/>
        </w:rPr>
        <w:t>[2]</w:t>
      </w:r>
      <w:r w:rsidRPr="0089798E">
        <w:rPr>
          <w:rFonts w:eastAsia="Malgun Gothic" w:cs="Arial"/>
          <w:sz w:val="22"/>
          <w:szCs w:val="22"/>
          <w:lang w:val="en-US" w:eastAsia="ko-KR"/>
        </w:rPr>
        <w:t>, it was</w:t>
      </w:r>
      <w:r w:rsidR="005C5161">
        <w:rPr>
          <w:rFonts w:eastAsia="Malgun Gothic" w:cs="Arial"/>
          <w:sz w:val="22"/>
          <w:szCs w:val="22"/>
          <w:lang w:val="en-US" w:eastAsia="ko-KR"/>
        </w:rPr>
        <w:t xml:space="preserve"> shown</w:t>
      </w:r>
      <w:r w:rsidR="002D3B29" w:rsidRPr="0089798E">
        <w:rPr>
          <w:rFonts w:eastAsia="Malgun Gothic" w:cs="Arial"/>
          <w:sz w:val="22"/>
          <w:szCs w:val="22"/>
          <w:lang w:val="en-US" w:eastAsia="ko-KR"/>
        </w:rPr>
        <w:t xml:space="preserve"> that regardless of time or frequency domain filtering, the delays induced by filters </w:t>
      </w:r>
      <w:r w:rsidRPr="0089798E">
        <w:rPr>
          <w:rFonts w:eastAsia="Malgun Gothic" w:cs="Arial"/>
          <w:sz w:val="22"/>
          <w:szCs w:val="22"/>
          <w:lang w:val="en-US" w:eastAsia="ko-KR"/>
        </w:rPr>
        <w:t xml:space="preserve">could be </w:t>
      </w:r>
      <w:r w:rsidR="002D3B29" w:rsidRPr="0089798E">
        <w:rPr>
          <w:rFonts w:eastAsia="Malgun Gothic" w:cs="Arial"/>
          <w:sz w:val="22"/>
          <w:szCs w:val="22"/>
          <w:lang w:val="en-US" w:eastAsia="ko-KR"/>
        </w:rPr>
        <w:t>signi</w:t>
      </w:r>
      <w:r w:rsidRPr="0089798E">
        <w:rPr>
          <w:rFonts w:eastAsia="Malgun Gothic" w:cs="Arial"/>
          <w:sz w:val="22"/>
          <w:szCs w:val="22"/>
          <w:lang w:val="en-US" w:eastAsia="ko-KR"/>
        </w:rPr>
        <w:t xml:space="preserve">ficantly larger than for E-UTRA depending on the size of the guard. In this case, as the envisaged usage scenarios also includes low latency usage scenario, the </w:t>
      </w:r>
      <w:r w:rsidR="00E23224" w:rsidRPr="0089798E">
        <w:rPr>
          <w:rFonts w:eastAsia="Malgun Gothic" w:cs="Arial"/>
          <w:sz w:val="22"/>
          <w:lang w:val="en-US" w:eastAsia="ko-KR"/>
        </w:rPr>
        <w:t>Delay aspects n</w:t>
      </w:r>
      <w:r w:rsidR="002D3B29" w:rsidRPr="0089798E">
        <w:rPr>
          <w:rFonts w:eastAsia="Malgun Gothic" w:cs="Arial"/>
          <w:sz w:val="22"/>
          <w:lang w:val="en-US" w:eastAsia="ko-KR"/>
        </w:rPr>
        <w:t>eeds to be carefully considered</w:t>
      </w:r>
      <w:r w:rsidRPr="0089798E">
        <w:rPr>
          <w:rFonts w:eastAsia="Malgun Gothic" w:cs="Arial"/>
          <w:sz w:val="22"/>
          <w:lang w:val="en-US" w:eastAsia="ko-KR"/>
        </w:rPr>
        <w:t xml:space="preserve"> before the NR guard is settled</w:t>
      </w:r>
      <w:r w:rsidR="002D3B29" w:rsidRPr="0089798E">
        <w:rPr>
          <w:rFonts w:eastAsia="Malgun Gothic" w:cs="Arial"/>
          <w:sz w:val="22"/>
          <w:lang w:val="en-US" w:eastAsia="ko-KR"/>
        </w:rPr>
        <w:t>.</w:t>
      </w:r>
    </w:p>
    <w:p w14:paraId="19BE8B51" w14:textId="77777777" w:rsidR="0089798E" w:rsidRDefault="0089798E" w:rsidP="0089798E">
      <w:pPr>
        <w:rPr>
          <w:rFonts w:eastAsia="Malgun Gothic" w:cs="Arial"/>
          <w:sz w:val="22"/>
          <w:lang w:val="en-US" w:eastAsia="ko-KR"/>
        </w:rPr>
      </w:pPr>
      <w:r>
        <w:rPr>
          <w:rFonts w:eastAsia="Malgun Gothic" w:cs="Arial"/>
          <w:sz w:val="22"/>
          <w:lang w:val="en-US" w:eastAsia="ko-KR"/>
        </w:rPr>
        <w:t>Figure 1 which illustrates the multiplexing of different numerologies with different sub-carrier spacing on a contiguous NR block, indicate that we possibly need to handle different types of guards for NR i.e. “block-edge guard 1”, “block-edge guard 2” and “inter-numerology guard” which can be different in size.</w:t>
      </w:r>
    </w:p>
    <w:p w14:paraId="3DF36530" w14:textId="027A16E3" w:rsidR="0089798E" w:rsidRDefault="005C5161" w:rsidP="0089798E">
      <w:pPr>
        <w:rPr>
          <w:rFonts w:eastAsia="Malgun Gothic" w:cs="Arial"/>
          <w:sz w:val="22"/>
          <w:lang w:val="en-US" w:eastAsia="ko-KR"/>
        </w:rPr>
      </w:pPr>
      <w:r>
        <w:rPr>
          <w:rFonts w:eastAsia="Malgun Gothic" w:cs="Arial"/>
          <w:sz w:val="22"/>
          <w:szCs w:val="22"/>
          <w:lang w:val="en-US" w:eastAsia="ko-KR"/>
        </w:rPr>
        <w:t>Considering that the modulation spectra</w:t>
      </w:r>
      <w:r w:rsidR="0089798E" w:rsidRPr="001D0DBE">
        <w:rPr>
          <w:rFonts w:eastAsia="Malgun Gothic" w:cs="Arial"/>
          <w:sz w:val="22"/>
          <w:szCs w:val="22"/>
          <w:lang w:val="en-US" w:eastAsia="ko-KR"/>
        </w:rPr>
        <w:t xml:space="preserve"> for different sub-carrier spacing</w:t>
      </w:r>
      <w:r w:rsidR="001D0DBE" w:rsidRPr="001D0DBE">
        <w:rPr>
          <w:rFonts w:eastAsia="Malgun Gothic" w:cs="Arial"/>
          <w:sz w:val="22"/>
          <w:szCs w:val="22"/>
          <w:lang w:val="en-US" w:eastAsia="ko-KR"/>
        </w:rPr>
        <w:t xml:space="preserve"> </w:t>
      </w:r>
      <w:r>
        <w:rPr>
          <w:rFonts w:eastAsia="Malgun Gothic" w:cs="Arial"/>
          <w:sz w:val="22"/>
          <w:szCs w:val="22"/>
          <w:lang w:val="en-US" w:eastAsia="ko-KR"/>
        </w:rPr>
        <w:t>have</w:t>
      </w:r>
      <w:r w:rsidR="001D0DBE" w:rsidRPr="00854BBB">
        <w:rPr>
          <w:rFonts w:eastAsia="Malgun Gothic" w:cs="Arial"/>
          <w:sz w:val="22"/>
          <w:szCs w:val="22"/>
          <w:lang w:val="en-US" w:eastAsia="ko-KR"/>
        </w:rPr>
        <w:t xml:space="preserve"> different decay</w:t>
      </w:r>
      <w:r>
        <w:rPr>
          <w:rFonts w:eastAsia="Malgun Gothic" w:cs="Arial"/>
          <w:sz w:val="22"/>
          <w:szCs w:val="22"/>
          <w:lang w:val="en-US" w:eastAsia="ko-KR"/>
        </w:rPr>
        <w:t xml:space="preserve"> in the frequency domain</w:t>
      </w:r>
      <w:r w:rsidR="0089798E" w:rsidRPr="00854BBB">
        <w:rPr>
          <w:rFonts w:eastAsia="Malgun Gothic" w:cs="Arial"/>
          <w:sz w:val="22"/>
          <w:szCs w:val="22"/>
          <w:lang w:val="en-US" w:eastAsia="ko-KR"/>
        </w:rPr>
        <w:t xml:space="preserve">, </w:t>
      </w:r>
      <w:r>
        <w:rPr>
          <w:sz w:val="22"/>
          <w:szCs w:val="22"/>
        </w:rPr>
        <w:t>d</w:t>
      </w:r>
      <w:r w:rsidR="001D0DBE" w:rsidRPr="00854BBB">
        <w:rPr>
          <w:sz w:val="22"/>
          <w:szCs w:val="22"/>
        </w:rPr>
        <w:t>ifferent approaches could be adopted for setting block edge guard bands that enable multiplexing of different numerologies, such as the following</w:t>
      </w:r>
      <w:r w:rsidR="0089798E">
        <w:rPr>
          <w:rFonts w:eastAsia="Malgun Gothic" w:cs="Arial"/>
          <w:sz w:val="22"/>
          <w:lang w:val="en-US" w:eastAsia="ko-KR"/>
        </w:rPr>
        <w:t>:</w:t>
      </w:r>
    </w:p>
    <w:p w14:paraId="3D7DB635" w14:textId="68E8C3BB" w:rsidR="0089798E" w:rsidRPr="008D41D3" w:rsidRDefault="0089798E" w:rsidP="008D41D3">
      <w:pPr>
        <w:pStyle w:val="ListParagraph"/>
        <w:numPr>
          <w:ilvl w:val="0"/>
          <w:numId w:val="41"/>
        </w:numPr>
        <w:rPr>
          <w:rFonts w:ascii="Arial" w:eastAsia="Malgun Gothic" w:hAnsi="Arial" w:cs="Arial"/>
          <w:lang w:val="en-US" w:eastAsia="ko-KR"/>
        </w:rPr>
      </w:pPr>
      <w:r w:rsidRPr="008D41D3">
        <w:rPr>
          <w:rFonts w:ascii="Arial" w:eastAsia="Malgun Gothic" w:hAnsi="Arial" w:cs="Arial"/>
          <w:lang w:val="en-US" w:eastAsia="ko-KR"/>
        </w:rPr>
        <w:t xml:space="preserve">Block-edge guard 1 = Block-edge guard 2 </w:t>
      </w:r>
      <w:r w:rsidR="008D41D3" w:rsidRPr="008D41D3">
        <w:rPr>
          <w:rFonts w:ascii="Arial" w:eastAsia="Malgun Gothic" w:hAnsi="Arial" w:cs="Arial"/>
          <w:lang w:val="en-US" w:eastAsia="ko-KR"/>
        </w:rPr>
        <w:t xml:space="preserve">implying that the filter requirement would not be symmetrical </w:t>
      </w:r>
      <w:r w:rsidR="005C5161">
        <w:rPr>
          <w:rFonts w:ascii="Arial" w:eastAsia="Malgun Gothic" w:hAnsi="Arial" w:cs="Arial"/>
          <w:lang w:val="en-US" w:eastAsia="ko-KR"/>
        </w:rPr>
        <w:t>since</w:t>
      </w:r>
      <w:r w:rsidR="008D41D3" w:rsidRPr="008D41D3">
        <w:rPr>
          <w:rFonts w:ascii="Arial" w:eastAsia="Malgun Gothic" w:hAnsi="Arial" w:cs="Arial"/>
          <w:lang w:val="en-US" w:eastAsia="ko-KR"/>
        </w:rPr>
        <w:t xml:space="preserve"> the numerology with larger sub-carrier spacing due to slower modulation spectrum decay would require higher level of attenuation and consequently </w:t>
      </w:r>
      <w:r w:rsidR="000B010A">
        <w:rPr>
          <w:rFonts w:ascii="Arial" w:eastAsia="Malgun Gothic" w:hAnsi="Arial" w:cs="Arial"/>
          <w:lang w:val="en-US" w:eastAsia="ko-KR"/>
        </w:rPr>
        <w:t>larger</w:t>
      </w:r>
      <w:r w:rsidR="000B010A" w:rsidRPr="008D41D3">
        <w:rPr>
          <w:rFonts w:ascii="Arial" w:eastAsia="Malgun Gothic" w:hAnsi="Arial" w:cs="Arial"/>
          <w:lang w:val="en-US" w:eastAsia="ko-KR"/>
        </w:rPr>
        <w:t xml:space="preserve"> </w:t>
      </w:r>
      <w:r w:rsidR="008D41D3" w:rsidRPr="008D41D3">
        <w:rPr>
          <w:rFonts w:ascii="Arial" w:eastAsia="Malgun Gothic" w:hAnsi="Arial" w:cs="Arial"/>
          <w:lang w:val="en-US" w:eastAsia="ko-KR"/>
        </w:rPr>
        <w:t>filter size.</w:t>
      </w:r>
    </w:p>
    <w:p w14:paraId="1AC3EBF1" w14:textId="5BD91AC1" w:rsidR="008D41D3" w:rsidRDefault="008D41D3" w:rsidP="00C93545">
      <w:pPr>
        <w:pStyle w:val="ListParagraph"/>
        <w:numPr>
          <w:ilvl w:val="0"/>
          <w:numId w:val="41"/>
        </w:numPr>
        <w:rPr>
          <w:rFonts w:ascii="Arial" w:eastAsia="Malgun Gothic" w:hAnsi="Arial" w:cs="Arial"/>
          <w:lang w:val="en-US" w:eastAsia="ko-KR"/>
        </w:rPr>
      </w:pPr>
      <w:r w:rsidRPr="008D41D3">
        <w:rPr>
          <w:rFonts w:ascii="Arial" w:eastAsia="Malgun Gothic" w:hAnsi="Arial" w:cs="Arial"/>
          <w:lang w:val="en-US" w:eastAsia="ko-KR"/>
        </w:rPr>
        <w:t xml:space="preserve">Block-edge guard would be non-symmetrical </w:t>
      </w:r>
      <w:r w:rsidR="00C93545">
        <w:rPr>
          <w:rFonts w:ascii="Arial" w:eastAsia="Malgun Gothic" w:hAnsi="Arial" w:cs="Arial"/>
          <w:lang w:val="en-US" w:eastAsia="ko-KR"/>
        </w:rPr>
        <w:t xml:space="preserve">i.e. </w:t>
      </w:r>
      <w:r w:rsidR="00C93545" w:rsidRPr="008D41D3">
        <w:rPr>
          <w:rFonts w:ascii="Arial" w:eastAsia="Malgun Gothic" w:hAnsi="Arial" w:cs="Arial"/>
          <w:lang w:val="en-US" w:eastAsia="ko-KR"/>
        </w:rPr>
        <w:t xml:space="preserve">Block-edge guard 1 </w:t>
      </w:r>
      <w:r w:rsidR="00C93545">
        <w:rPr>
          <w:rFonts w:ascii="Arial" w:eastAsia="Malgun Gothic" w:hAnsi="Arial" w:cs="Arial"/>
          <w:lang w:val="en-US" w:eastAsia="ko-KR"/>
        </w:rPr>
        <w:t>≠</w:t>
      </w:r>
      <w:r w:rsidR="00C93545" w:rsidRPr="00C93545">
        <w:rPr>
          <w:rFonts w:ascii="Arial" w:eastAsia="Malgun Gothic" w:hAnsi="Arial" w:cs="Arial"/>
          <w:lang w:val="en-US" w:eastAsia="ko-KR"/>
        </w:rPr>
        <w:t xml:space="preserve"> Block-edge guard 2</w:t>
      </w:r>
      <w:r w:rsidR="00C93545">
        <w:rPr>
          <w:rFonts w:ascii="Arial" w:eastAsia="Malgun Gothic" w:hAnsi="Arial" w:cs="Arial"/>
          <w:lang w:val="en-US" w:eastAsia="ko-KR"/>
        </w:rPr>
        <w:t xml:space="preserve"> </w:t>
      </w:r>
      <w:r w:rsidR="005C5161">
        <w:rPr>
          <w:rFonts w:ascii="Arial" w:eastAsia="Malgun Gothic" w:hAnsi="Arial" w:cs="Arial"/>
          <w:lang w:val="en-US" w:eastAsia="ko-KR"/>
        </w:rPr>
        <w:t>In this case</w:t>
      </w:r>
      <w:r w:rsidRPr="00C93545">
        <w:rPr>
          <w:rFonts w:ascii="Arial" w:eastAsia="Malgun Gothic" w:hAnsi="Arial" w:cs="Arial"/>
          <w:lang w:val="en-US" w:eastAsia="ko-KR"/>
        </w:rPr>
        <w:t xml:space="preserve"> the edge sub-carrier spacing would de</w:t>
      </w:r>
      <w:r w:rsidR="00C93545">
        <w:rPr>
          <w:rFonts w:ascii="Arial" w:eastAsia="Malgun Gothic" w:hAnsi="Arial" w:cs="Arial"/>
          <w:lang w:val="en-US" w:eastAsia="ko-KR"/>
        </w:rPr>
        <w:t>termine</w:t>
      </w:r>
      <w:r w:rsidRPr="00C93545">
        <w:rPr>
          <w:rFonts w:ascii="Arial" w:eastAsia="Malgun Gothic" w:hAnsi="Arial" w:cs="Arial"/>
          <w:lang w:val="en-US" w:eastAsia="ko-KR"/>
        </w:rPr>
        <w:t xml:space="preserve"> the level of guard taking to account the different modulation spectrum decay implying that the guard would be larger for larg</w:t>
      </w:r>
      <w:r w:rsidR="00C93545">
        <w:rPr>
          <w:rFonts w:ascii="Arial" w:eastAsia="Malgun Gothic" w:hAnsi="Arial" w:cs="Arial"/>
          <w:lang w:val="en-US" w:eastAsia="ko-KR"/>
        </w:rPr>
        <w:t>e</w:t>
      </w:r>
      <w:r w:rsidRPr="00C93545">
        <w:rPr>
          <w:rFonts w:ascii="Arial" w:eastAsia="Malgun Gothic" w:hAnsi="Arial" w:cs="Arial"/>
          <w:lang w:val="en-US" w:eastAsia="ko-KR"/>
        </w:rPr>
        <w:t>r sub-carrier spacing.</w:t>
      </w:r>
    </w:p>
    <w:p w14:paraId="693F4A79" w14:textId="2032F6C2" w:rsidR="00C93545" w:rsidRPr="005C5161" w:rsidRDefault="00C93545" w:rsidP="005C5161">
      <w:pPr>
        <w:rPr>
          <w:rFonts w:eastAsia="Malgun Gothic" w:cs="Arial"/>
          <w:sz w:val="22"/>
          <w:szCs w:val="22"/>
          <w:lang w:val="en-US" w:eastAsia="ko-KR"/>
        </w:rPr>
      </w:pPr>
      <w:r w:rsidRPr="005C5161">
        <w:rPr>
          <w:rFonts w:eastAsia="Malgun Gothic" w:cs="Arial"/>
          <w:sz w:val="22"/>
          <w:szCs w:val="22"/>
          <w:lang w:val="en-US" w:eastAsia="ko-KR"/>
        </w:rPr>
        <w:t xml:space="preserve">Regardless of the chosen approach for block-edge guard, the </w:t>
      </w:r>
      <w:r w:rsidR="000B010A" w:rsidRPr="005C5161">
        <w:rPr>
          <w:rFonts w:eastAsia="Malgun Gothic" w:cs="Arial"/>
          <w:sz w:val="22"/>
          <w:szCs w:val="22"/>
          <w:lang w:val="en-US" w:eastAsia="ko-KR"/>
        </w:rPr>
        <w:t xml:space="preserve">required </w:t>
      </w:r>
      <w:r w:rsidRPr="005C5161">
        <w:rPr>
          <w:rFonts w:eastAsia="Malgun Gothic" w:cs="Arial"/>
          <w:sz w:val="22"/>
          <w:szCs w:val="22"/>
          <w:lang w:val="en-US" w:eastAsia="ko-KR"/>
        </w:rPr>
        <w:t>size of inter-numerology guard would be different</w:t>
      </w:r>
      <w:r w:rsidR="000B010A" w:rsidRPr="005C5161">
        <w:rPr>
          <w:rFonts w:eastAsia="Malgun Gothic" w:cs="Arial"/>
          <w:sz w:val="22"/>
          <w:szCs w:val="22"/>
          <w:lang w:val="en-US" w:eastAsia="ko-KR"/>
        </w:rPr>
        <w:t xml:space="preserve"> depending on the different numerologies.</w:t>
      </w:r>
      <w:r w:rsidRPr="005C5161">
        <w:rPr>
          <w:rFonts w:eastAsia="Malgun Gothic" w:cs="Arial"/>
          <w:sz w:val="22"/>
          <w:szCs w:val="22"/>
          <w:lang w:val="en-US" w:eastAsia="ko-KR"/>
        </w:rPr>
        <w:t xml:space="preserve"> </w:t>
      </w:r>
      <w:r w:rsidR="000B010A" w:rsidRPr="005C5161">
        <w:rPr>
          <w:rFonts w:eastAsia="Malgun Gothic" w:cs="Arial"/>
          <w:sz w:val="22"/>
          <w:szCs w:val="22"/>
          <w:lang w:val="en-US" w:eastAsia="ko-KR"/>
        </w:rPr>
        <w:t>Applying a single inter-numerology guard could</w:t>
      </w:r>
      <w:r w:rsidRPr="005C5161">
        <w:rPr>
          <w:rFonts w:eastAsia="Malgun Gothic" w:cs="Arial"/>
          <w:sz w:val="22"/>
          <w:szCs w:val="22"/>
          <w:lang w:val="en-US" w:eastAsia="ko-KR"/>
        </w:rPr>
        <w:t xml:space="preserve"> imply different leakage levels between the numerologies</w:t>
      </w:r>
      <w:r w:rsidR="000B010A" w:rsidRPr="005C5161">
        <w:rPr>
          <w:rFonts w:eastAsia="Malgun Gothic" w:cs="Arial"/>
          <w:sz w:val="22"/>
          <w:szCs w:val="22"/>
          <w:lang w:val="en-US" w:eastAsia="ko-KR"/>
        </w:rPr>
        <w:t>,</w:t>
      </w:r>
      <w:r w:rsidRPr="005C5161">
        <w:rPr>
          <w:rFonts w:eastAsia="Malgun Gothic" w:cs="Arial"/>
          <w:sz w:val="22"/>
          <w:szCs w:val="22"/>
          <w:lang w:val="en-US" w:eastAsia="ko-KR"/>
        </w:rPr>
        <w:t xml:space="preserve"> affecting how the EVM requirement is specified. In practice some </w:t>
      </w:r>
      <w:r w:rsidR="00854BBB" w:rsidRPr="005C5161">
        <w:rPr>
          <w:rFonts w:eastAsia="Malgun Gothic" w:cs="Arial"/>
          <w:sz w:val="22"/>
          <w:szCs w:val="22"/>
          <w:lang w:val="en-US" w:eastAsia="ko-KR"/>
        </w:rPr>
        <w:t>resource blocks</w:t>
      </w:r>
      <w:r w:rsidRPr="005C5161">
        <w:rPr>
          <w:rFonts w:eastAsia="Malgun Gothic" w:cs="Arial"/>
          <w:sz w:val="22"/>
          <w:szCs w:val="22"/>
          <w:lang w:val="en-US" w:eastAsia="ko-KR"/>
        </w:rPr>
        <w:t xml:space="preserve"> would be more affected (closest to the inter-numerology guard) than others </w:t>
      </w:r>
      <w:r w:rsidR="000B010A" w:rsidRPr="005C5161">
        <w:rPr>
          <w:rFonts w:eastAsia="Malgun Gothic" w:cs="Arial"/>
          <w:sz w:val="22"/>
          <w:szCs w:val="22"/>
          <w:lang w:val="en-US" w:eastAsia="ko-KR"/>
        </w:rPr>
        <w:t>resource block</w:t>
      </w:r>
      <w:r w:rsidR="00854BBB" w:rsidRPr="005C5161">
        <w:rPr>
          <w:rFonts w:eastAsia="Malgun Gothic" w:cs="Arial"/>
          <w:sz w:val="22"/>
          <w:szCs w:val="22"/>
          <w:lang w:val="en-US" w:eastAsia="ko-KR"/>
        </w:rPr>
        <w:t xml:space="preserve">s. Thus, </w:t>
      </w:r>
      <w:r w:rsidR="000B010A" w:rsidRPr="005C5161">
        <w:rPr>
          <w:rFonts w:eastAsia="Malgun Gothic" w:cs="Arial"/>
          <w:sz w:val="22"/>
          <w:szCs w:val="22"/>
          <w:lang w:val="en-US" w:eastAsia="ko-KR"/>
        </w:rPr>
        <w:t>d</w:t>
      </w:r>
      <w:r w:rsidRPr="005C5161">
        <w:rPr>
          <w:rFonts w:eastAsia="Malgun Gothic" w:cs="Arial"/>
          <w:sz w:val="22"/>
          <w:szCs w:val="22"/>
          <w:lang w:val="en-US" w:eastAsia="ko-KR"/>
        </w:rPr>
        <w:t>ifferentiate</w:t>
      </w:r>
      <w:r w:rsidR="000B010A" w:rsidRPr="005C5161">
        <w:rPr>
          <w:rFonts w:eastAsia="Malgun Gothic" w:cs="Arial"/>
          <w:sz w:val="22"/>
          <w:szCs w:val="22"/>
          <w:lang w:val="en-US" w:eastAsia="ko-KR"/>
        </w:rPr>
        <w:t>d</w:t>
      </w:r>
      <w:r w:rsidRPr="005C5161">
        <w:rPr>
          <w:rFonts w:eastAsia="Malgun Gothic" w:cs="Arial"/>
          <w:sz w:val="22"/>
          <w:szCs w:val="22"/>
          <w:lang w:val="en-US" w:eastAsia="ko-KR"/>
        </w:rPr>
        <w:t xml:space="preserve"> the EVM requirements</w:t>
      </w:r>
      <w:r w:rsidR="000B010A" w:rsidRPr="005C5161">
        <w:rPr>
          <w:rFonts w:eastAsia="Malgun Gothic" w:cs="Arial"/>
          <w:sz w:val="22"/>
          <w:szCs w:val="22"/>
          <w:lang w:val="en-US" w:eastAsia="ko-KR"/>
        </w:rPr>
        <w:t xml:space="preserve"> may be needed</w:t>
      </w:r>
      <w:r w:rsidRPr="005C5161">
        <w:rPr>
          <w:rFonts w:eastAsia="Malgun Gothic" w:cs="Arial"/>
          <w:sz w:val="22"/>
          <w:szCs w:val="22"/>
          <w:lang w:val="en-US" w:eastAsia="ko-KR"/>
        </w:rPr>
        <w:t xml:space="preserve"> if the guard level is low.</w:t>
      </w:r>
    </w:p>
    <w:p w14:paraId="263770C7" w14:textId="623110D6" w:rsidR="00CA76A2" w:rsidRDefault="005C5161" w:rsidP="00411CE4">
      <w:pPr>
        <w:rPr>
          <w:rFonts w:eastAsia="Malgun Gothic" w:cs="Arial"/>
          <w:sz w:val="22"/>
          <w:szCs w:val="22"/>
          <w:lang w:val="en-US" w:eastAsia="ko-KR"/>
        </w:rPr>
      </w:pPr>
      <w:r>
        <w:rPr>
          <w:rFonts w:eastAsia="Malgun Gothic" w:cs="Arial"/>
          <w:sz w:val="22"/>
          <w:szCs w:val="22"/>
          <w:lang w:val="en-US" w:eastAsia="ko-KR"/>
        </w:rPr>
        <w:t>I</w:t>
      </w:r>
      <w:r w:rsidR="00411CE4">
        <w:rPr>
          <w:rFonts w:eastAsia="Malgun Gothic" w:cs="Arial"/>
          <w:sz w:val="22"/>
          <w:szCs w:val="22"/>
          <w:lang w:val="en-US" w:eastAsia="ko-KR"/>
        </w:rPr>
        <w:t xml:space="preserve">t is essential </w:t>
      </w:r>
      <w:r w:rsidR="00411CE4" w:rsidRPr="00411CE4">
        <w:rPr>
          <w:rFonts w:eastAsia="Malgun Gothic" w:cs="Arial"/>
          <w:sz w:val="22"/>
          <w:szCs w:val="22"/>
          <w:lang w:val="en-US" w:eastAsia="ko-KR"/>
        </w:rPr>
        <w:t xml:space="preserve">to </w:t>
      </w:r>
      <w:r w:rsidR="00411CE4">
        <w:rPr>
          <w:rFonts w:eastAsia="Malgun Gothic" w:cs="Arial"/>
          <w:sz w:val="22"/>
          <w:szCs w:val="22"/>
          <w:lang w:val="en-US" w:eastAsia="ko-KR"/>
        </w:rPr>
        <w:t xml:space="preserve">not only </w:t>
      </w:r>
      <w:r w:rsidR="00411CE4" w:rsidRPr="00411CE4">
        <w:rPr>
          <w:rFonts w:eastAsia="Malgun Gothic" w:cs="Arial"/>
          <w:sz w:val="22"/>
          <w:szCs w:val="22"/>
          <w:lang w:val="en-US" w:eastAsia="ko-KR"/>
        </w:rPr>
        <w:t>careful</w:t>
      </w:r>
      <w:r w:rsidR="00411CE4">
        <w:rPr>
          <w:rFonts w:eastAsia="Malgun Gothic" w:cs="Arial"/>
          <w:sz w:val="22"/>
          <w:szCs w:val="22"/>
          <w:lang w:val="en-US" w:eastAsia="ko-KR"/>
        </w:rPr>
        <w:t>ly consider</w:t>
      </w:r>
      <w:r w:rsidR="00411CE4" w:rsidRPr="00411CE4">
        <w:rPr>
          <w:rFonts w:eastAsia="Malgun Gothic" w:cs="Arial"/>
          <w:sz w:val="22"/>
          <w:szCs w:val="22"/>
          <w:lang w:val="en-US" w:eastAsia="ko-KR"/>
        </w:rPr>
        <w:t xml:space="preserve"> </w:t>
      </w:r>
      <w:r w:rsidR="00411CE4">
        <w:rPr>
          <w:rFonts w:eastAsia="Malgun Gothic" w:cs="Arial"/>
          <w:sz w:val="22"/>
          <w:szCs w:val="22"/>
          <w:lang w:val="en-US" w:eastAsia="ko-KR"/>
        </w:rPr>
        <w:t>the</w:t>
      </w:r>
      <w:r w:rsidR="00411CE4" w:rsidRPr="00411CE4">
        <w:rPr>
          <w:rFonts w:eastAsia="Malgun Gothic" w:cs="Arial"/>
          <w:sz w:val="22"/>
          <w:szCs w:val="22"/>
          <w:lang w:val="en-US" w:eastAsia="ko-KR"/>
        </w:rPr>
        <w:t xml:space="preserve"> BS</w:t>
      </w:r>
      <w:r w:rsidR="00411CE4">
        <w:rPr>
          <w:rFonts w:eastAsia="Malgun Gothic" w:cs="Arial"/>
          <w:sz w:val="22"/>
          <w:szCs w:val="22"/>
          <w:lang w:val="en-US" w:eastAsia="ko-KR"/>
        </w:rPr>
        <w:t xml:space="preserve"> feasibility</w:t>
      </w:r>
      <w:r w:rsidR="00411CE4" w:rsidRPr="00411CE4">
        <w:rPr>
          <w:rFonts w:eastAsia="Malgun Gothic" w:cs="Arial"/>
          <w:sz w:val="22"/>
          <w:szCs w:val="22"/>
          <w:lang w:val="en-US" w:eastAsia="ko-KR"/>
        </w:rPr>
        <w:t xml:space="preserve"> regarding the guard levels, </w:t>
      </w:r>
      <w:r w:rsidR="00411CE4">
        <w:rPr>
          <w:rFonts w:eastAsia="Malgun Gothic" w:cs="Arial"/>
          <w:sz w:val="22"/>
          <w:szCs w:val="22"/>
          <w:lang w:val="en-US" w:eastAsia="ko-KR"/>
        </w:rPr>
        <w:t xml:space="preserve">but also </w:t>
      </w:r>
      <w:r w:rsidR="002D3B29" w:rsidRPr="00411CE4">
        <w:rPr>
          <w:rFonts w:eastAsia="Malgun Gothic" w:cs="Arial"/>
          <w:sz w:val="22"/>
          <w:szCs w:val="22"/>
          <w:lang w:val="en-US" w:eastAsia="ko-KR"/>
        </w:rPr>
        <w:t xml:space="preserve">the NR UE </w:t>
      </w:r>
      <w:r w:rsidR="00411CE4">
        <w:rPr>
          <w:rFonts w:eastAsia="Malgun Gothic" w:cs="Arial"/>
          <w:sz w:val="22"/>
          <w:szCs w:val="22"/>
          <w:lang w:val="en-US" w:eastAsia="ko-KR"/>
        </w:rPr>
        <w:t xml:space="preserve">as NR UE </w:t>
      </w:r>
      <w:r w:rsidR="002D3B29" w:rsidRPr="00411CE4">
        <w:rPr>
          <w:rFonts w:eastAsia="Malgun Gothic" w:cs="Arial"/>
          <w:sz w:val="22"/>
          <w:szCs w:val="22"/>
          <w:lang w:val="en-US" w:eastAsia="ko-KR"/>
        </w:rPr>
        <w:t xml:space="preserve">should also handle reduced guard, </w:t>
      </w:r>
      <w:r w:rsidR="00411CE4" w:rsidRPr="00411CE4">
        <w:rPr>
          <w:rFonts w:eastAsia="Malgun Gothic" w:cs="Arial"/>
          <w:sz w:val="22"/>
          <w:szCs w:val="22"/>
          <w:lang w:val="en-US" w:eastAsia="ko-KR"/>
        </w:rPr>
        <w:t xml:space="preserve">and consequently the need </w:t>
      </w:r>
      <w:r w:rsidR="002D3B29" w:rsidRPr="00411CE4">
        <w:rPr>
          <w:rFonts w:eastAsia="Malgun Gothic" w:cs="Arial"/>
          <w:sz w:val="22"/>
          <w:szCs w:val="22"/>
          <w:lang w:val="en-US" w:eastAsia="ko-KR"/>
        </w:rPr>
        <w:t xml:space="preserve">feasibility study of possible UE </w:t>
      </w:r>
      <w:r w:rsidR="00411CE4">
        <w:rPr>
          <w:rFonts w:eastAsia="Malgun Gothic" w:cs="Arial"/>
          <w:sz w:val="22"/>
          <w:szCs w:val="22"/>
          <w:lang w:val="en-US" w:eastAsia="ko-KR"/>
        </w:rPr>
        <w:t xml:space="preserve">filtering </w:t>
      </w:r>
      <w:r w:rsidR="002D3B29" w:rsidRPr="00411CE4">
        <w:rPr>
          <w:rFonts w:eastAsia="Malgun Gothic" w:cs="Arial"/>
          <w:sz w:val="22"/>
          <w:szCs w:val="22"/>
          <w:lang w:val="en-US" w:eastAsia="ko-KR"/>
        </w:rPr>
        <w:t>implementations</w:t>
      </w:r>
      <w:r w:rsidR="00411CE4" w:rsidRPr="00411CE4">
        <w:rPr>
          <w:rFonts w:eastAsia="Malgun Gothic" w:cs="Arial"/>
          <w:sz w:val="22"/>
          <w:szCs w:val="22"/>
          <w:lang w:val="en-US" w:eastAsia="ko-KR"/>
        </w:rPr>
        <w:t xml:space="preserve"> handling low level of guards </w:t>
      </w:r>
      <w:r w:rsidR="00411CE4">
        <w:rPr>
          <w:rFonts w:eastAsia="Malgun Gothic" w:cs="Arial"/>
          <w:sz w:val="22"/>
          <w:szCs w:val="22"/>
          <w:lang w:val="en-US" w:eastAsia="ko-KR"/>
        </w:rPr>
        <w:t>both for</w:t>
      </w:r>
      <w:r w:rsidR="002D3B29" w:rsidRPr="00411CE4">
        <w:rPr>
          <w:rFonts w:eastAsia="Malgun Gothic" w:cs="Arial"/>
          <w:sz w:val="22"/>
          <w:szCs w:val="22"/>
          <w:lang w:val="en-US" w:eastAsia="ko-KR"/>
        </w:rPr>
        <w:t xml:space="preserve"> time / frequency domain filtering </w:t>
      </w:r>
      <w:r w:rsidR="00411CE4">
        <w:rPr>
          <w:rFonts w:eastAsia="Malgun Gothic" w:cs="Arial"/>
          <w:sz w:val="22"/>
          <w:szCs w:val="22"/>
          <w:lang w:val="en-US" w:eastAsia="ko-KR"/>
        </w:rPr>
        <w:t>and also the</w:t>
      </w:r>
      <w:r w:rsidR="002D3B29" w:rsidRPr="00411CE4">
        <w:rPr>
          <w:rFonts w:eastAsia="Malgun Gothic" w:cs="Arial"/>
          <w:sz w:val="22"/>
          <w:szCs w:val="22"/>
          <w:lang w:val="en-US" w:eastAsia="ko-KR"/>
        </w:rPr>
        <w:t xml:space="preserve"> possibly time domain windowing</w:t>
      </w:r>
      <w:r w:rsidR="00411CE4" w:rsidRPr="00411CE4">
        <w:rPr>
          <w:rFonts w:eastAsia="Malgun Gothic" w:cs="Arial"/>
          <w:sz w:val="22"/>
          <w:szCs w:val="22"/>
          <w:lang w:val="en-US" w:eastAsia="ko-KR"/>
        </w:rPr>
        <w:t>.</w:t>
      </w:r>
      <w:r w:rsidR="002D3B29" w:rsidRPr="00411CE4">
        <w:rPr>
          <w:rFonts w:eastAsia="Malgun Gothic" w:cs="Arial"/>
          <w:sz w:val="22"/>
          <w:szCs w:val="22"/>
          <w:lang w:val="en-US" w:eastAsia="ko-KR"/>
        </w:rPr>
        <w:t xml:space="preserve"> </w:t>
      </w:r>
    </w:p>
    <w:p w14:paraId="37EE3B50" w14:textId="366C6C5D" w:rsidR="002D3B29" w:rsidRPr="00411CE4" w:rsidRDefault="00CA76A2" w:rsidP="00411CE4">
      <w:pPr>
        <w:rPr>
          <w:rFonts w:eastAsia="Malgun Gothic" w:cs="Arial"/>
          <w:sz w:val="22"/>
          <w:szCs w:val="22"/>
          <w:lang w:val="en-US" w:eastAsia="ko-KR"/>
        </w:rPr>
      </w:pPr>
      <w:r>
        <w:rPr>
          <w:rFonts w:eastAsia="Malgun Gothic" w:cs="Arial"/>
          <w:sz w:val="22"/>
          <w:szCs w:val="22"/>
          <w:lang w:val="en-US" w:eastAsia="ko-KR"/>
        </w:rPr>
        <w:t>For beam-forming capable BS and UE with large antenna arrays</w:t>
      </w:r>
      <w:r w:rsidR="000B010A">
        <w:rPr>
          <w:rFonts w:eastAsia="Malgun Gothic" w:cs="Arial"/>
          <w:sz w:val="22"/>
          <w:szCs w:val="22"/>
          <w:lang w:val="en-US" w:eastAsia="ko-KR"/>
        </w:rPr>
        <w:t xml:space="preserve"> (and associated large amount of transmitters and filters)</w:t>
      </w:r>
      <w:r>
        <w:rPr>
          <w:rFonts w:eastAsia="Malgun Gothic" w:cs="Arial"/>
          <w:sz w:val="22"/>
          <w:szCs w:val="22"/>
          <w:lang w:val="en-US" w:eastAsia="ko-KR"/>
        </w:rPr>
        <w:t xml:space="preserve"> </w:t>
      </w:r>
      <w:r w:rsidR="000B010A">
        <w:rPr>
          <w:rFonts w:eastAsia="Malgun Gothic" w:cs="Arial"/>
          <w:sz w:val="22"/>
          <w:szCs w:val="22"/>
          <w:lang w:val="en-US" w:eastAsia="ko-KR"/>
        </w:rPr>
        <w:t xml:space="preserve">at </w:t>
      </w:r>
      <w:r>
        <w:rPr>
          <w:rFonts w:eastAsia="Malgun Gothic" w:cs="Arial"/>
          <w:sz w:val="22"/>
          <w:szCs w:val="22"/>
          <w:lang w:val="en-US" w:eastAsia="ko-KR"/>
        </w:rPr>
        <w:t>in particular mm-wave frequencies, the level of guards considering the cost/complexity should be taken to account</w:t>
      </w:r>
      <w:r w:rsidR="000B010A">
        <w:rPr>
          <w:rFonts w:eastAsia="Malgun Gothic" w:cs="Arial"/>
          <w:sz w:val="22"/>
          <w:szCs w:val="22"/>
          <w:lang w:val="en-US" w:eastAsia="ko-KR"/>
        </w:rPr>
        <w:t xml:space="preserve"> and scale appropriately to the array size.</w:t>
      </w:r>
      <w:r>
        <w:rPr>
          <w:rFonts w:eastAsia="Malgun Gothic" w:cs="Arial"/>
          <w:sz w:val="22"/>
          <w:szCs w:val="22"/>
          <w:lang w:val="en-US" w:eastAsia="ko-KR"/>
        </w:rPr>
        <w:t xml:space="preserve"> </w:t>
      </w:r>
      <w:r w:rsidR="000B010A">
        <w:rPr>
          <w:rFonts w:eastAsia="Malgun Gothic" w:cs="Arial"/>
          <w:sz w:val="22"/>
          <w:szCs w:val="22"/>
          <w:lang w:val="en-US" w:eastAsia="ko-KR"/>
        </w:rPr>
        <w:t>Considerations on scaling of filtering depending on array size might necessitate consideration of</w:t>
      </w:r>
      <w:r>
        <w:rPr>
          <w:rFonts w:eastAsia="Malgun Gothic" w:cs="Arial"/>
          <w:sz w:val="22"/>
          <w:szCs w:val="22"/>
          <w:lang w:val="en-US" w:eastAsia="ko-KR"/>
        </w:rPr>
        <w:t xml:space="preserve"> frequency band </w:t>
      </w:r>
      <w:r w:rsidR="00861BDF">
        <w:rPr>
          <w:rFonts w:eastAsia="Malgun Gothic" w:cs="Arial"/>
          <w:sz w:val="22"/>
          <w:szCs w:val="22"/>
          <w:lang w:val="en-US" w:eastAsia="ko-KR"/>
        </w:rPr>
        <w:t xml:space="preserve">or array size </w:t>
      </w:r>
      <w:r>
        <w:rPr>
          <w:rFonts w:eastAsia="Malgun Gothic" w:cs="Arial"/>
          <w:sz w:val="22"/>
          <w:szCs w:val="22"/>
          <w:lang w:val="en-US" w:eastAsia="ko-KR"/>
        </w:rPr>
        <w:t>dependent guard</w:t>
      </w:r>
      <w:r w:rsidR="003E539F">
        <w:rPr>
          <w:rFonts w:eastAsia="Malgun Gothic" w:cs="Arial"/>
          <w:sz w:val="22"/>
          <w:szCs w:val="22"/>
          <w:lang w:val="en-US" w:eastAsia="ko-KR"/>
        </w:rPr>
        <w:t xml:space="preserve"> levels.</w:t>
      </w:r>
    </w:p>
    <w:p w14:paraId="49664EAB" w14:textId="77777777" w:rsidR="00411CE4" w:rsidRDefault="00411CE4" w:rsidP="00411CE4">
      <w:pPr>
        <w:rPr>
          <w:rFonts w:eastAsia="Malgun Gothic" w:cs="Arial"/>
          <w:lang w:val="en-US" w:eastAsia="ko-KR"/>
        </w:rPr>
      </w:pPr>
    </w:p>
    <w:p w14:paraId="74E4D175" w14:textId="77777777" w:rsidR="00411CE4" w:rsidRPr="00233879" w:rsidRDefault="00411CE4" w:rsidP="00411CE4">
      <w:pPr>
        <w:rPr>
          <w:sz w:val="22"/>
          <w:szCs w:val="22"/>
          <w:lang w:val="en-US"/>
        </w:rPr>
      </w:pPr>
      <w:r w:rsidRPr="00233879">
        <w:rPr>
          <w:sz w:val="22"/>
          <w:szCs w:val="22"/>
          <w:lang w:val="en-US"/>
        </w:rPr>
        <w:t xml:space="preserve">It is of course desirable to reduce guard levels for NR and in addition to the filter and delay aspects, we have to bear in mind that this could have other effects when it comes to RRM procedures like cell search. The cell search algorithm for E-UTRA is complex insofar that it has to function in cases with no or very little a-priori information and be fast at the same time. </w:t>
      </w:r>
    </w:p>
    <w:p w14:paraId="09445F75" w14:textId="77777777" w:rsidR="00E23224" w:rsidRPr="00E23224" w:rsidRDefault="00233879" w:rsidP="003E539F">
      <w:pPr>
        <w:rPr>
          <w:rFonts w:eastAsia="Malgun Gothic" w:cs="Arial"/>
          <w:highlight w:val="red"/>
          <w:lang w:val="en-US" w:eastAsia="ko-KR"/>
        </w:rPr>
      </w:pPr>
      <w:r w:rsidRPr="00233879">
        <w:rPr>
          <w:sz w:val="22"/>
          <w:szCs w:val="22"/>
          <w:lang w:val="en-US"/>
        </w:rPr>
        <w:t xml:space="preserve">For E-UTRA, </w:t>
      </w:r>
      <w:r w:rsidR="00411CE4" w:rsidRPr="00233879">
        <w:rPr>
          <w:sz w:val="22"/>
          <w:szCs w:val="22"/>
          <w:lang w:val="en-US"/>
        </w:rPr>
        <w:t xml:space="preserve">it was </w:t>
      </w:r>
      <w:r w:rsidRPr="00233879">
        <w:rPr>
          <w:sz w:val="22"/>
          <w:szCs w:val="22"/>
          <w:lang w:val="en-US"/>
        </w:rPr>
        <w:t xml:space="preserve">extensively discussed [3] </w:t>
      </w:r>
      <w:r w:rsidR="00411CE4" w:rsidRPr="00233879">
        <w:rPr>
          <w:sz w:val="22"/>
          <w:szCs w:val="22"/>
          <w:lang w:val="en-US"/>
        </w:rPr>
        <w:t>that UE Cell Search was affected by the LTE minimum spacing configuration</w:t>
      </w:r>
      <w:r>
        <w:rPr>
          <w:sz w:val="22"/>
          <w:szCs w:val="22"/>
          <w:lang w:val="en-US"/>
        </w:rPr>
        <w:t xml:space="preserve"> for CA</w:t>
      </w:r>
      <w:r w:rsidR="00411CE4" w:rsidRPr="00233879">
        <w:rPr>
          <w:sz w:val="22"/>
          <w:szCs w:val="22"/>
          <w:lang w:val="en-US"/>
        </w:rPr>
        <w:t xml:space="preserve">. </w:t>
      </w:r>
      <w:r w:rsidRPr="00233879">
        <w:rPr>
          <w:sz w:val="22"/>
          <w:szCs w:val="22"/>
          <w:lang w:val="en-US" w:eastAsia="en-US"/>
        </w:rPr>
        <w:t xml:space="preserve">The root cause of the issue was related to that the Cell Search becomes more complex, when the carriers are packed more closely together, since it is harder to discriminate between carriers in an initial search and synchronization. </w:t>
      </w:r>
      <w:r>
        <w:rPr>
          <w:sz w:val="22"/>
          <w:szCs w:val="22"/>
          <w:lang w:val="en-US" w:eastAsia="en-US"/>
        </w:rPr>
        <w:t>Too</w:t>
      </w:r>
      <w:r w:rsidRPr="00233879">
        <w:rPr>
          <w:sz w:val="22"/>
          <w:szCs w:val="22"/>
          <w:lang w:val="en-US" w:eastAsia="en-US"/>
        </w:rPr>
        <w:t xml:space="preserve"> small guards could lead to slower initial cell search or no attach at all.</w:t>
      </w:r>
      <w:r>
        <w:rPr>
          <w:sz w:val="22"/>
          <w:szCs w:val="22"/>
          <w:lang w:val="en-US" w:eastAsia="en-US"/>
        </w:rPr>
        <w:t xml:space="preserve"> Thus for NR, before the level of guards are settled the UE cell search aspects</w:t>
      </w:r>
      <w:r w:rsidR="00CA76A2">
        <w:rPr>
          <w:sz w:val="22"/>
          <w:szCs w:val="22"/>
          <w:lang w:val="en-US" w:eastAsia="en-US"/>
        </w:rPr>
        <w:t xml:space="preserve"> should be carefully investigated to make sure proper UE cell search.</w:t>
      </w:r>
      <w:r>
        <w:rPr>
          <w:sz w:val="22"/>
          <w:szCs w:val="22"/>
          <w:lang w:val="en-US" w:eastAsia="en-US"/>
        </w:rPr>
        <w:t xml:space="preserve"> </w:t>
      </w:r>
    </w:p>
    <w:p w14:paraId="1F0EB8FD" w14:textId="77777777" w:rsidR="00CA7778" w:rsidRDefault="00E23224" w:rsidP="00CA7778">
      <w:pPr>
        <w:rPr>
          <w:sz w:val="22"/>
          <w:szCs w:val="22"/>
        </w:rPr>
      </w:pPr>
      <w:r>
        <w:rPr>
          <w:rFonts w:eastAsia="Malgun Gothic" w:cs="Arial"/>
          <w:sz w:val="22"/>
          <w:szCs w:val="22"/>
          <w:lang w:val="en-US" w:eastAsia="ko-KR"/>
        </w:rPr>
        <w:t xml:space="preserve">We promote spectrum efficiency improvement for NR and already in E-UTRA with introduction of NB-IoT, the guard is reduced, but we also promote careful studies </w:t>
      </w:r>
      <w:r w:rsidR="003E539F">
        <w:rPr>
          <w:rFonts w:eastAsia="Malgun Gothic" w:cs="Arial"/>
          <w:sz w:val="22"/>
          <w:szCs w:val="22"/>
          <w:lang w:val="en-US" w:eastAsia="ko-KR"/>
        </w:rPr>
        <w:t xml:space="preserve">where a few areas are outlined above </w:t>
      </w:r>
      <w:r>
        <w:rPr>
          <w:rFonts w:eastAsia="Malgun Gothic" w:cs="Arial"/>
          <w:sz w:val="22"/>
          <w:szCs w:val="22"/>
          <w:lang w:val="en-US" w:eastAsia="ko-KR"/>
        </w:rPr>
        <w:t>before making any decisions on the level, symmetry etc.</w:t>
      </w:r>
    </w:p>
    <w:p w14:paraId="12DB7F34" w14:textId="77777777" w:rsidR="00CA7778" w:rsidRDefault="00CA7778" w:rsidP="00CA7778">
      <w:pPr>
        <w:pStyle w:val="Heading1"/>
        <w:rPr>
          <w:lang w:val="en-US"/>
        </w:rPr>
      </w:pPr>
      <w:r w:rsidRPr="001363CA">
        <w:rPr>
          <w:lang w:val="en-US"/>
        </w:rPr>
        <w:t>Conclusion</w:t>
      </w:r>
    </w:p>
    <w:p w14:paraId="09ABB7B3" w14:textId="72664CC2" w:rsidR="003E539F" w:rsidRPr="00296B9D" w:rsidRDefault="00296B9D" w:rsidP="003E539F">
      <w:pPr>
        <w:rPr>
          <w:sz w:val="22"/>
          <w:szCs w:val="22"/>
          <w:lang w:val="en-US"/>
        </w:rPr>
      </w:pPr>
      <w:r w:rsidRPr="00296B9D">
        <w:rPr>
          <w:sz w:val="22"/>
          <w:szCs w:val="22"/>
          <w:lang w:val="en-US"/>
        </w:rPr>
        <w:t>In this paper, the discussion on NR filtering and guard were further elaborated. Aspect</w:t>
      </w:r>
      <w:r w:rsidR="005C5161">
        <w:rPr>
          <w:sz w:val="22"/>
          <w:szCs w:val="22"/>
          <w:lang w:val="en-US"/>
        </w:rPr>
        <w:t>s</w:t>
      </w:r>
      <w:r w:rsidRPr="00296B9D">
        <w:rPr>
          <w:sz w:val="22"/>
          <w:szCs w:val="22"/>
          <w:lang w:val="en-US"/>
        </w:rPr>
        <w:t xml:space="preserve"> such as delay, </w:t>
      </w:r>
      <w:r>
        <w:rPr>
          <w:sz w:val="22"/>
          <w:szCs w:val="22"/>
          <w:lang w:val="en-US"/>
        </w:rPr>
        <w:t>UE feasibility</w:t>
      </w:r>
      <w:r w:rsidR="001D0DBE">
        <w:rPr>
          <w:sz w:val="22"/>
          <w:szCs w:val="22"/>
          <w:lang w:val="en-US"/>
        </w:rPr>
        <w:t>,</w:t>
      </w:r>
      <w:r>
        <w:rPr>
          <w:sz w:val="22"/>
          <w:szCs w:val="22"/>
          <w:lang w:val="en-US"/>
        </w:rPr>
        <w:t xml:space="preserve"> </w:t>
      </w:r>
      <w:r w:rsidRPr="00296B9D">
        <w:rPr>
          <w:sz w:val="22"/>
          <w:szCs w:val="22"/>
          <w:lang w:val="en-US"/>
        </w:rPr>
        <w:t>symmetry</w:t>
      </w:r>
      <w:r w:rsidR="00861BDF">
        <w:rPr>
          <w:sz w:val="22"/>
          <w:szCs w:val="22"/>
          <w:lang w:val="en-US"/>
        </w:rPr>
        <w:t>, complexity and the scaling of complexity with array size</w:t>
      </w:r>
      <w:r w:rsidRPr="00296B9D">
        <w:rPr>
          <w:sz w:val="22"/>
          <w:szCs w:val="22"/>
          <w:lang w:val="en-US"/>
        </w:rPr>
        <w:t xml:space="preserve"> as well as possible affected RRM procedures such as cell search </w:t>
      </w:r>
      <w:r w:rsidR="005C5161">
        <w:rPr>
          <w:sz w:val="22"/>
          <w:szCs w:val="22"/>
          <w:lang w:val="en-US"/>
        </w:rPr>
        <w:t>were</w:t>
      </w:r>
      <w:bookmarkStart w:id="0" w:name="_GoBack"/>
      <w:bookmarkEnd w:id="0"/>
      <w:r w:rsidRPr="00296B9D">
        <w:rPr>
          <w:sz w:val="22"/>
          <w:szCs w:val="22"/>
          <w:lang w:val="en-US"/>
        </w:rPr>
        <w:t xml:space="preserve"> further discussed. </w:t>
      </w:r>
    </w:p>
    <w:p w14:paraId="1BB2FE49" w14:textId="77777777" w:rsidR="00CA7778" w:rsidRPr="007F36DD" w:rsidRDefault="00296B9D" w:rsidP="00CA7778">
      <w:pPr>
        <w:rPr>
          <w:lang w:val="en-US"/>
        </w:rPr>
      </w:pPr>
      <w:r w:rsidRPr="00233879">
        <w:rPr>
          <w:sz w:val="22"/>
          <w:szCs w:val="22"/>
          <w:lang w:val="en-US"/>
        </w:rPr>
        <w:t>It is of course desirable to reduce guard levels for NR</w:t>
      </w:r>
      <w:r>
        <w:rPr>
          <w:sz w:val="22"/>
          <w:szCs w:val="22"/>
          <w:lang w:val="en-US"/>
        </w:rPr>
        <w:t xml:space="preserve"> to improve the spectrum efficiency but </w:t>
      </w:r>
      <w:r>
        <w:rPr>
          <w:rFonts w:eastAsia="Malgun Gothic" w:cs="Arial"/>
          <w:sz w:val="22"/>
          <w:szCs w:val="22"/>
          <w:lang w:val="en-US" w:eastAsia="ko-KR"/>
        </w:rPr>
        <w:t xml:space="preserve">careful studies such as UE/BS implementation feasibility, symmetry between guards as well as RRM procedures such as cell search would be needed before making any final decisions. </w:t>
      </w:r>
    </w:p>
    <w:p w14:paraId="3CD1E919" w14:textId="77777777" w:rsidR="00CA7778" w:rsidRDefault="00CA7778" w:rsidP="00CA7778">
      <w:pPr>
        <w:pStyle w:val="Heading1"/>
        <w:rPr>
          <w:lang w:val="en-US"/>
        </w:rPr>
      </w:pPr>
      <w:bookmarkStart w:id="1" w:name="_In-sequence_SDU_delivery"/>
      <w:bookmarkEnd w:id="1"/>
      <w:r w:rsidRPr="001363CA">
        <w:rPr>
          <w:lang w:val="en-US"/>
        </w:rPr>
        <w:t>References</w:t>
      </w:r>
    </w:p>
    <w:p w14:paraId="5BE82EDC" w14:textId="77777777" w:rsidR="00CA7778" w:rsidRDefault="00CA7778" w:rsidP="00CA7778">
      <w:pPr>
        <w:rPr>
          <w:sz w:val="22"/>
          <w:szCs w:val="22"/>
          <w:lang w:val="en-US"/>
        </w:rPr>
      </w:pPr>
      <w:r>
        <w:rPr>
          <w:sz w:val="22"/>
          <w:szCs w:val="22"/>
          <w:lang w:val="en-US"/>
        </w:rPr>
        <w:t>[1]</w:t>
      </w:r>
      <w:r>
        <w:rPr>
          <w:sz w:val="22"/>
          <w:szCs w:val="22"/>
          <w:lang w:val="en-US"/>
        </w:rPr>
        <w:tab/>
        <w:t>R4-164167,</w:t>
      </w:r>
      <w:r w:rsidRPr="003F6044">
        <w:rPr>
          <w:sz w:val="22"/>
          <w:szCs w:val="22"/>
          <w:lang w:val="en-US"/>
        </w:rPr>
        <w:t xml:space="preserve"> “</w:t>
      </w:r>
      <w:r w:rsidRPr="0036135B">
        <w:rPr>
          <w:sz w:val="22"/>
          <w:szCs w:val="22"/>
          <w:lang w:val="en-US"/>
        </w:rPr>
        <w:t>Additional aspects for NR BS core requirements</w:t>
      </w:r>
      <w:r w:rsidRPr="003F6044">
        <w:rPr>
          <w:sz w:val="22"/>
          <w:szCs w:val="22"/>
          <w:lang w:val="en-US"/>
        </w:rPr>
        <w:t xml:space="preserve"> “, </w:t>
      </w:r>
      <w:r>
        <w:rPr>
          <w:sz w:val="22"/>
          <w:szCs w:val="22"/>
          <w:lang w:val="en-US"/>
        </w:rPr>
        <w:t>Ericsson</w:t>
      </w:r>
    </w:p>
    <w:p w14:paraId="755A9266" w14:textId="77777777" w:rsidR="00CA7778" w:rsidRPr="00F50028" w:rsidRDefault="00CA7778" w:rsidP="00CA7778">
      <w:pPr>
        <w:rPr>
          <w:sz w:val="22"/>
          <w:szCs w:val="22"/>
          <w:lang w:val="en-US"/>
        </w:rPr>
      </w:pPr>
      <w:r>
        <w:rPr>
          <w:sz w:val="22"/>
          <w:szCs w:val="22"/>
          <w:lang w:val="en-US"/>
        </w:rPr>
        <w:t>[2]</w:t>
      </w:r>
      <w:r>
        <w:rPr>
          <w:sz w:val="22"/>
          <w:szCs w:val="22"/>
          <w:lang w:val="en-US"/>
        </w:rPr>
        <w:tab/>
        <w:t>R4-16</w:t>
      </w:r>
      <w:r w:rsidR="00F50028">
        <w:rPr>
          <w:sz w:val="22"/>
          <w:szCs w:val="22"/>
          <w:lang w:val="en-US"/>
        </w:rPr>
        <w:t>5900</w:t>
      </w:r>
      <w:r>
        <w:rPr>
          <w:sz w:val="22"/>
          <w:szCs w:val="22"/>
          <w:lang w:val="en-US"/>
        </w:rPr>
        <w:t>, “</w:t>
      </w:r>
      <w:r w:rsidR="00F50028" w:rsidRPr="00F50028">
        <w:rPr>
          <w:rFonts w:cs="Arial"/>
          <w:sz w:val="22"/>
          <w:szCs w:val="22"/>
          <w:lang w:val="en-US" w:eastAsia="sv-SE"/>
        </w:rPr>
        <w:t>Further elaboration on modulation spectrum and filtering/guard levels</w:t>
      </w:r>
      <w:r w:rsidRPr="00F50028">
        <w:rPr>
          <w:sz w:val="22"/>
          <w:szCs w:val="22"/>
          <w:lang w:val="en-US"/>
        </w:rPr>
        <w:t>”, Ericsson</w:t>
      </w:r>
    </w:p>
    <w:p w14:paraId="2EAF4326" w14:textId="77777777" w:rsidR="00233879" w:rsidRPr="00233879" w:rsidRDefault="00233879" w:rsidP="00233879">
      <w:pPr>
        <w:spacing w:after="180"/>
        <w:jc w:val="left"/>
        <w:rPr>
          <w:sz w:val="22"/>
          <w:szCs w:val="22"/>
          <w:lang w:val="en-US" w:eastAsia="en-US"/>
        </w:rPr>
      </w:pPr>
      <w:r w:rsidRPr="00233879">
        <w:rPr>
          <w:sz w:val="22"/>
          <w:szCs w:val="22"/>
          <w:lang w:val="en-US"/>
        </w:rPr>
        <w:t>[3]</w:t>
      </w:r>
      <w:r w:rsidRPr="00233879">
        <w:rPr>
          <w:sz w:val="22"/>
          <w:szCs w:val="22"/>
          <w:lang w:val="en-US"/>
        </w:rPr>
        <w:tab/>
      </w:r>
      <w:r w:rsidRPr="00233879">
        <w:rPr>
          <w:sz w:val="22"/>
          <w:szCs w:val="22"/>
          <w:lang w:val="en-US" w:eastAsia="en-US"/>
        </w:rPr>
        <w:t>R4-150822, “Cell search measurement”, Ericsson</w:t>
      </w:r>
    </w:p>
    <w:p w14:paraId="14AFD875" w14:textId="77777777" w:rsidR="00233879" w:rsidRDefault="00233879" w:rsidP="00CA7778">
      <w:pPr>
        <w:rPr>
          <w:sz w:val="22"/>
          <w:szCs w:val="22"/>
          <w:lang w:val="en-US"/>
        </w:rPr>
      </w:pPr>
    </w:p>
    <w:p w14:paraId="390FB734" w14:textId="77777777" w:rsidR="00CA7778" w:rsidRPr="003F6044" w:rsidRDefault="00CA7778" w:rsidP="00CA7778">
      <w:pPr>
        <w:spacing w:line="480" w:lineRule="auto"/>
        <w:rPr>
          <w:sz w:val="22"/>
          <w:szCs w:val="22"/>
          <w:lang w:val="en-US"/>
        </w:rPr>
      </w:pPr>
      <w:r>
        <w:rPr>
          <w:sz w:val="22"/>
          <w:szCs w:val="22"/>
          <w:lang w:val="en-US"/>
        </w:rPr>
        <w:tab/>
      </w:r>
    </w:p>
    <w:p w14:paraId="2AF4104C" w14:textId="77777777" w:rsidR="00CA7778" w:rsidRDefault="00CA7778" w:rsidP="00CA7778">
      <w:pPr>
        <w:pStyle w:val="BodyText"/>
        <w:keepNext/>
      </w:pPr>
      <w:r>
        <w:rPr>
          <w:rFonts w:cs="Arial"/>
          <w:lang w:val="en-US"/>
        </w:rPr>
        <w:tab/>
      </w:r>
    </w:p>
    <w:p w14:paraId="7021F53E" w14:textId="77777777" w:rsidR="002957B7" w:rsidRPr="00CA7778" w:rsidRDefault="002957B7" w:rsidP="00CA7778">
      <w:pPr>
        <w:rPr>
          <w:rFonts w:cs="Arial"/>
          <w:sz w:val="22"/>
          <w:szCs w:val="22"/>
        </w:rPr>
      </w:pPr>
    </w:p>
    <w:sectPr w:rsidR="002957B7" w:rsidRPr="00CA777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EC65D" w14:textId="77777777" w:rsidR="00936B3B" w:rsidRDefault="00936B3B">
      <w:r>
        <w:separator/>
      </w:r>
    </w:p>
  </w:endnote>
  <w:endnote w:type="continuationSeparator" w:id="0">
    <w:p w14:paraId="54CB18F3" w14:textId="77777777" w:rsidR="00936B3B" w:rsidRDefault="0093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CB8DF" w14:textId="0FB55D19" w:rsidR="00E23224" w:rsidRDefault="00E232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516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516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FFF49" w14:textId="77777777" w:rsidR="00936B3B" w:rsidRDefault="00936B3B">
      <w:r>
        <w:separator/>
      </w:r>
    </w:p>
  </w:footnote>
  <w:footnote w:type="continuationSeparator" w:id="0">
    <w:p w14:paraId="44E780A8" w14:textId="77777777" w:rsidR="00936B3B" w:rsidRDefault="0093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7229D" w14:textId="77777777" w:rsidR="00E23224" w:rsidRDefault="00E232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2E2A52"/>
    <w:multiLevelType w:val="hybridMultilevel"/>
    <w:tmpl w:val="ACBADE88"/>
    <w:lvl w:ilvl="0" w:tplc="8474C99A">
      <w:start w:val="1"/>
      <w:numFmt w:val="bullet"/>
      <w:lvlText w:val="–"/>
      <w:lvlJc w:val="left"/>
      <w:pPr>
        <w:tabs>
          <w:tab w:val="num" w:pos="720"/>
        </w:tabs>
        <w:ind w:left="720" w:hanging="360"/>
      </w:pPr>
      <w:rPr>
        <w:rFonts w:ascii="Ericsson Capital TT" w:hAnsi="Ericsson Capital TT" w:hint="default"/>
      </w:rPr>
    </w:lvl>
    <w:lvl w:ilvl="1" w:tplc="D2F0E4E2">
      <w:start w:val="1"/>
      <w:numFmt w:val="bullet"/>
      <w:lvlText w:val="–"/>
      <w:lvlJc w:val="left"/>
      <w:pPr>
        <w:tabs>
          <w:tab w:val="num" w:pos="1440"/>
        </w:tabs>
        <w:ind w:left="1440" w:hanging="360"/>
      </w:pPr>
      <w:rPr>
        <w:rFonts w:ascii="Ericsson Capital TT" w:hAnsi="Ericsson Capital TT" w:hint="default"/>
      </w:rPr>
    </w:lvl>
    <w:lvl w:ilvl="2" w:tplc="4998B4EC" w:tentative="1">
      <w:start w:val="1"/>
      <w:numFmt w:val="bullet"/>
      <w:lvlText w:val="–"/>
      <w:lvlJc w:val="left"/>
      <w:pPr>
        <w:tabs>
          <w:tab w:val="num" w:pos="2160"/>
        </w:tabs>
        <w:ind w:left="2160" w:hanging="360"/>
      </w:pPr>
      <w:rPr>
        <w:rFonts w:ascii="Ericsson Capital TT" w:hAnsi="Ericsson Capital TT" w:hint="default"/>
      </w:rPr>
    </w:lvl>
    <w:lvl w:ilvl="3" w:tplc="5EC669E2" w:tentative="1">
      <w:start w:val="1"/>
      <w:numFmt w:val="bullet"/>
      <w:lvlText w:val="–"/>
      <w:lvlJc w:val="left"/>
      <w:pPr>
        <w:tabs>
          <w:tab w:val="num" w:pos="2880"/>
        </w:tabs>
        <w:ind w:left="2880" w:hanging="360"/>
      </w:pPr>
      <w:rPr>
        <w:rFonts w:ascii="Ericsson Capital TT" w:hAnsi="Ericsson Capital TT" w:hint="default"/>
      </w:rPr>
    </w:lvl>
    <w:lvl w:ilvl="4" w:tplc="651C4238" w:tentative="1">
      <w:start w:val="1"/>
      <w:numFmt w:val="bullet"/>
      <w:lvlText w:val="–"/>
      <w:lvlJc w:val="left"/>
      <w:pPr>
        <w:tabs>
          <w:tab w:val="num" w:pos="3600"/>
        </w:tabs>
        <w:ind w:left="3600" w:hanging="360"/>
      </w:pPr>
      <w:rPr>
        <w:rFonts w:ascii="Ericsson Capital TT" w:hAnsi="Ericsson Capital TT" w:hint="default"/>
      </w:rPr>
    </w:lvl>
    <w:lvl w:ilvl="5" w:tplc="F244B55C" w:tentative="1">
      <w:start w:val="1"/>
      <w:numFmt w:val="bullet"/>
      <w:lvlText w:val="–"/>
      <w:lvlJc w:val="left"/>
      <w:pPr>
        <w:tabs>
          <w:tab w:val="num" w:pos="4320"/>
        </w:tabs>
        <w:ind w:left="4320" w:hanging="360"/>
      </w:pPr>
      <w:rPr>
        <w:rFonts w:ascii="Ericsson Capital TT" w:hAnsi="Ericsson Capital TT" w:hint="default"/>
      </w:rPr>
    </w:lvl>
    <w:lvl w:ilvl="6" w:tplc="20443A7C" w:tentative="1">
      <w:start w:val="1"/>
      <w:numFmt w:val="bullet"/>
      <w:lvlText w:val="–"/>
      <w:lvlJc w:val="left"/>
      <w:pPr>
        <w:tabs>
          <w:tab w:val="num" w:pos="5040"/>
        </w:tabs>
        <w:ind w:left="5040" w:hanging="360"/>
      </w:pPr>
      <w:rPr>
        <w:rFonts w:ascii="Ericsson Capital TT" w:hAnsi="Ericsson Capital TT" w:hint="default"/>
      </w:rPr>
    </w:lvl>
    <w:lvl w:ilvl="7" w:tplc="FA1EDD76" w:tentative="1">
      <w:start w:val="1"/>
      <w:numFmt w:val="bullet"/>
      <w:lvlText w:val="–"/>
      <w:lvlJc w:val="left"/>
      <w:pPr>
        <w:tabs>
          <w:tab w:val="num" w:pos="5760"/>
        </w:tabs>
        <w:ind w:left="5760" w:hanging="360"/>
      </w:pPr>
      <w:rPr>
        <w:rFonts w:ascii="Ericsson Capital TT" w:hAnsi="Ericsson Capital TT" w:hint="default"/>
      </w:rPr>
    </w:lvl>
    <w:lvl w:ilvl="8" w:tplc="9B742EF4"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71D5972"/>
    <w:multiLevelType w:val="hybridMultilevel"/>
    <w:tmpl w:val="FC701EA4"/>
    <w:lvl w:ilvl="0" w:tplc="7B38810A">
      <w:start w:val="2"/>
      <w:numFmt w:val="bullet"/>
      <w:lvlText w:val="-"/>
      <w:lvlJc w:val="left"/>
      <w:pPr>
        <w:ind w:left="360" w:hanging="360"/>
      </w:pPr>
      <w:rPr>
        <w:rFonts w:ascii="Arial" w:eastAsia="Malgun Gothic"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C172E2"/>
    <w:multiLevelType w:val="hybridMultilevel"/>
    <w:tmpl w:val="C36477B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9"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4"/>
  </w:num>
  <w:num w:numId="6">
    <w:abstractNumId w:val="24"/>
  </w:num>
  <w:num w:numId="7">
    <w:abstractNumId w:val="30"/>
  </w:num>
  <w:num w:numId="8">
    <w:abstractNumId w:val="15"/>
  </w:num>
  <w:num w:numId="9">
    <w:abstractNumId w:val="12"/>
  </w:num>
  <w:num w:numId="10">
    <w:abstractNumId w:val="10"/>
  </w:num>
  <w:num w:numId="11">
    <w:abstractNumId w:val="11"/>
  </w:num>
  <w:num w:numId="12">
    <w:abstractNumId w:val="16"/>
  </w:num>
  <w:num w:numId="13">
    <w:abstractNumId w:val="17"/>
  </w:num>
  <w:num w:numId="14">
    <w:abstractNumId w:val="9"/>
  </w:num>
  <w:num w:numId="15">
    <w:abstractNumId w:val="13"/>
  </w:num>
  <w:num w:numId="16">
    <w:abstractNumId w:val="34"/>
  </w:num>
  <w:num w:numId="17">
    <w:abstractNumId w:val="35"/>
  </w:num>
  <w:num w:numId="18">
    <w:abstractNumId w:val="37"/>
  </w:num>
  <w:num w:numId="19">
    <w:abstractNumId w:val="31"/>
  </w:num>
  <w:num w:numId="20">
    <w:abstractNumId w:val="18"/>
  </w:num>
  <w:num w:numId="21">
    <w:abstractNumId w:val="29"/>
  </w:num>
  <w:num w:numId="22">
    <w:abstractNumId w:val="22"/>
  </w:num>
  <w:num w:numId="23">
    <w:abstractNumId w:val="8"/>
  </w:num>
  <w:num w:numId="24">
    <w:abstractNumId w:val="40"/>
  </w:num>
  <w:num w:numId="25">
    <w:abstractNumId w:val="7"/>
  </w:num>
  <w:num w:numId="26">
    <w:abstractNumId w:val="25"/>
  </w:num>
  <w:num w:numId="27">
    <w:abstractNumId w:val="19"/>
  </w:num>
  <w:num w:numId="28">
    <w:abstractNumId w:val="39"/>
  </w:num>
  <w:num w:numId="29">
    <w:abstractNumId w:val="33"/>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1"/>
  </w:num>
  <w:num w:numId="33">
    <w:abstractNumId w:val="6"/>
  </w:num>
  <w:num w:numId="34">
    <w:abstractNumId w:val="36"/>
  </w:num>
  <w:num w:numId="35">
    <w:abstractNumId w:val="5"/>
  </w:num>
  <w:num w:numId="36">
    <w:abstractNumId w:val="0"/>
  </w:num>
  <w:num w:numId="37">
    <w:abstractNumId w:val="4"/>
  </w:num>
  <w:num w:numId="38">
    <w:abstractNumId w:val="2"/>
  </w:num>
  <w:num w:numId="39">
    <w:abstractNumId w:val="23"/>
  </w:num>
  <w:num w:numId="40">
    <w:abstractNumId w:val="26"/>
  </w:num>
  <w:num w:numId="41">
    <w:abstractNumId w:val="32"/>
  </w:num>
  <w:num w:numId="42">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3C3"/>
    <w:rsid w:val="00006446"/>
    <w:rsid w:val="00006896"/>
    <w:rsid w:val="00007CDC"/>
    <w:rsid w:val="00011B28"/>
    <w:rsid w:val="00015D15"/>
    <w:rsid w:val="000241AC"/>
    <w:rsid w:val="0002564D"/>
    <w:rsid w:val="00025ECA"/>
    <w:rsid w:val="000325B8"/>
    <w:rsid w:val="00033580"/>
    <w:rsid w:val="00034C15"/>
    <w:rsid w:val="00036BA1"/>
    <w:rsid w:val="000371DC"/>
    <w:rsid w:val="000422E2"/>
    <w:rsid w:val="00042BC5"/>
    <w:rsid w:val="00042F22"/>
    <w:rsid w:val="000444EF"/>
    <w:rsid w:val="00052A07"/>
    <w:rsid w:val="000534E3"/>
    <w:rsid w:val="0005606A"/>
    <w:rsid w:val="00057117"/>
    <w:rsid w:val="000616E7"/>
    <w:rsid w:val="0006487E"/>
    <w:rsid w:val="00065D5B"/>
    <w:rsid w:val="00065E1A"/>
    <w:rsid w:val="00073F9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CEC"/>
    <w:rsid w:val="000A56F2"/>
    <w:rsid w:val="000B010A"/>
    <w:rsid w:val="000B037C"/>
    <w:rsid w:val="000B1A5C"/>
    <w:rsid w:val="000B2719"/>
    <w:rsid w:val="000B3A8F"/>
    <w:rsid w:val="000B4AB9"/>
    <w:rsid w:val="000B58C3"/>
    <w:rsid w:val="000B61E9"/>
    <w:rsid w:val="000B6D88"/>
    <w:rsid w:val="000C03ED"/>
    <w:rsid w:val="000C165A"/>
    <w:rsid w:val="000C2E19"/>
    <w:rsid w:val="000C30DE"/>
    <w:rsid w:val="000C461F"/>
    <w:rsid w:val="000D0079"/>
    <w:rsid w:val="000D0D07"/>
    <w:rsid w:val="000D4797"/>
    <w:rsid w:val="000D627C"/>
    <w:rsid w:val="000E0527"/>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19F5"/>
    <w:rsid w:val="00121A20"/>
    <w:rsid w:val="0012377F"/>
    <w:rsid w:val="00124314"/>
    <w:rsid w:val="00126B4A"/>
    <w:rsid w:val="00132FD0"/>
    <w:rsid w:val="001344C0"/>
    <w:rsid w:val="001346FA"/>
    <w:rsid w:val="00135252"/>
    <w:rsid w:val="001363CA"/>
    <w:rsid w:val="00137AB5"/>
    <w:rsid w:val="00137F0B"/>
    <w:rsid w:val="00146E9A"/>
    <w:rsid w:val="00150E0C"/>
    <w:rsid w:val="00151E23"/>
    <w:rsid w:val="001526E0"/>
    <w:rsid w:val="001551A4"/>
    <w:rsid w:val="001551B5"/>
    <w:rsid w:val="001659C1"/>
    <w:rsid w:val="00170E72"/>
    <w:rsid w:val="00173A8E"/>
    <w:rsid w:val="0018143F"/>
    <w:rsid w:val="001855B2"/>
    <w:rsid w:val="00186501"/>
    <w:rsid w:val="00190AC1"/>
    <w:rsid w:val="0019341A"/>
    <w:rsid w:val="00197DF9"/>
    <w:rsid w:val="001A1987"/>
    <w:rsid w:val="001A2564"/>
    <w:rsid w:val="001A6173"/>
    <w:rsid w:val="001A6CBA"/>
    <w:rsid w:val="001B0D97"/>
    <w:rsid w:val="001B1866"/>
    <w:rsid w:val="001B4A28"/>
    <w:rsid w:val="001B5A5D"/>
    <w:rsid w:val="001C0955"/>
    <w:rsid w:val="001C1CE5"/>
    <w:rsid w:val="001C3985"/>
    <w:rsid w:val="001C3D2A"/>
    <w:rsid w:val="001C4F57"/>
    <w:rsid w:val="001D0DBE"/>
    <w:rsid w:val="001D51BA"/>
    <w:rsid w:val="001D6342"/>
    <w:rsid w:val="001D6D53"/>
    <w:rsid w:val="001D7E2C"/>
    <w:rsid w:val="001E0723"/>
    <w:rsid w:val="001E58E2"/>
    <w:rsid w:val="001E7AED"/>
    <w:rsid w:val="001F3916"/>
    <w:rsid w:val="001F4736"/>
    <w:rsid w:val="001F54C5"/>
    <w:rsid w:val="001F662C"/>
    <w:rsid w:val="001F7074"/>
    <w:rsid w:val="00200490"/>
    <w:rsid w:val="00201F3A"/>
    <w:rsid w:val="00203F96"/>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3879"/>
    <w:rsid w:val="00235632"/>
    <w:rsid w:val="00235872"/>
    <w:rsid w:val="00236580"/>
    <w:rsid w:val="00241559"/>
    <w:rsid w:val="002435B3"/>
    <w:rsid w:val="002458EB"/>
    <w:rsid w:val="002500C8"/>
    <w:rsid w:val="00256F3B"/>
    <w:rsid w:val="00257543"/>
    <w:rsid w:val="002617E7"/>
    <w:rsid w:val="00264228"/>
    <w:rsid w:val="00264334"/>
    <w:rsid w:val="0026473E"/>
    <w:rsid w:val="00266214"/>
    <w:rsid w:val="00267750"/>
    <w:rsid w:val="00267C83"/>
    <w:rsid w:val="0027144F"/>
    <w:rsid w:val="00271F3A"/>
    <w:rsid w:val="00273278"/>
    <w:rsid w:val="002737F4"/>
    <w:rsid w:val="00276DDC"/>
    <w:rsid w:val="002805F5"/>
    <w:rsid w:val="00280751"/>
    <w:rsid w:val="00280F19"/>
    <w:rsid w:val="0028280A"/>
    <w:rsid w:val="00286ACD"/>
    <w:rsid w:val="00287745"/>
    <w:rsid w:val="00287838"/>
    <w:rsid w:val="002907B5"/>
    <w:rsid w:val="00292EB7"/>
    <w:rsid w:val="002957B7"/>
    <w:rsid w:val="00296227"/>
    <w:rsid w:val="00296B9D"/>
    <w:rsid w:val="00296F44"/>
    <w:rsid w:val="0029777D"/>
    <w:rsid w:val="002A055E"/>
    <w:rsid w:val="002A1D4E"/>
    <w:rsid w:val="002A2869"/>
    <w:rsid w:val="002A5DEB"/>
    <w:rsid w:val="002B1119"/>
    <w:rsid w:val="002B24D6"/>
    <w:rsid w:val="002C41E6"/>
    <w:rsid w:val="002C434C"/>
    <w:rsid w:val="002C43A4"/>
    <w:rsid w:val="002D071A"/>
    <w:rsid w:val="002D34B2"/>
    <w:rsid w:val="002D3B29"/>
    <w:rsid w:val="002D5715"/>
    <w:rsid w:val="002D7637"/>
    <w:rsid w:val="002E17F2"/>
    <w:rsid w:val="002E7CAE"/>
    <w:rsid w:val="002F2771"/>
    <w:rsid w:val="002F37A9"/>
    <w:rsid w:val="00301CE6"/>
    <w:rsid w:val="0030256B"/>
    <w:rsid w:val="00304492"/>
    <w:rsid w:val="0030501F"/>
    <w:rsid w:val="00307BA1"/>
    <w:rsid w:val="0031158D"/>
    <w:rsid w:val="00311702"/>
    <w:rsid w:val="00311E82"/>
    <w:rsid w:val="00313FD6"/>
    <w:rsid w:val="003143BD"/>
    <w:rsid w:val="003203ED"/>
    <w:rsid w:val="00322C9F"/>
    <w:rsid w:val="0032363B"/>
    <w:rsid w:val="00323A6C"/>
    <w:rsid w:val="00324D23"/>
    <w:rsid w:val="0032670E"/>
    <w:rsid w:val="003275CD"/>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42AC"/>
    <w:rsid w:val="003753B8"/>
    <w:rsid w:val="00377CE1"/>
    <w:rsid w:val="00380575"/>
    <w:rsid w:val="00381482"/>
    <w:rsid w:val="00385BF0"/>
    <w:rsid w:val="003939FF"/>
    <w:rsid w:val="003A2223"/>
    <w:rsid w:val="003A2A0F"/>
    <w:rsid w:val="003A341F"/>
    <w:rsid w:val="003A45A1"/>
    <w:rsid w:val="003A4B1B"/>
    <w:rsid w:val="003A5B0A"/>
    <w:rsid w:val="003A6BAC"/>
    <w:rsid w:val="003A7EF3"/>
    <w:rsid w:val="003B159C"/>
    <w:rsid w:val="003B369F"/>
    <w:rsid w:val="003B36A3"/>
    <w:rsid w:val="003B5AFA"/>
    <w:rsid w:val="003B7FE5"/>
    <w:rsid w:val="003C11C8"/>
    <w:rsid w:val="003C2702"/>
    <w:rsid w:val="003C32AD"/>
    <w:rsid w:val="003C7806"/>
    <w:rsid w:val="003D109F"/>
    <w:rsid w:val="003D2478"/>
    <w:rsid w:val="003D5B1F"/>
    <w:rsid w:val="003D69A8"/>
    <w:rsid w:val="003E15FA"/>
    <w:rsid w:val="003E539F"/>
    <w:rsid w:val="003E55E4"/>
    <w:rsid w:val="003E74E3"/>
    <w:rsid w:val="003E77A3"/>
    <w:rsid w:val="003F05C7"/>
    <w:rsid w:val="003F0A21"/>
    <w:rsid w:val="003F2CD4"/>
    <w:rsid w:val="003F4423"/>
    <w:rsid w:val="003F4AD2"/>
    <w:rsid w:val="003F6BBE"/>
    <w:rsid w:val="004000E8"/>
    <w:rsid w:val="00402E2B"/>
    <w:rsid w:val="0040512B"/>
    <w:rsid w:val="004053E6"/>
    <w:rsid w:val="00405CA5"/>
    <w:rsid w:val="004071BB"/>
    <w:rsid w:val="00407CD3"/>
    <w:rsid w:val="00410134"/>
    <w:rsid w:val="00410B72"/>
    <w:rsid w:val="00410F18"/>
    <w:rsid w:val="00411CE4"/>
    <w:rsid w:val="0041263E"/>
    <w:rsid w:val="00413AAC"/>
    <w:rsid w:val="00414FAB"/>
    <w:rsid w:val="00414FE2"/>
    <w:rsid w:val="00415531"/>
    <w:rsid w:val="00421105"/>
    <w:rsid w:val="00421F94"/>
    <w:rsid w:val="004242F4"/>
    <w:rsid w:val="00427248"/>
    <w:rsid w:val="00435B86"/>
    <w:rsid w:val="00437447"/>
    <w:rsid w:val="004375FD"/>
    <w:rsid w:val="0044128F"/>
    <w:rsid w:val="00441A92"/>
    <w:rsid w:val="00442816"/>
    <w:rsid w:val="00442F9E"/>
    <w:rsid w:val="00444425"/>
    <w:rsid w:val="00444F56"/>
    <w:rsid w:val="00446379"/>
    <w:rsid w:val="00446488"/>
    <w:rsid w:val="00447D28"/>
    <w:rsid w:val="004501CA"/>
    <w:rsid w:val="004517AA"/>
    <w:rsid w:val="0045259B"/>
    <w:rsid w:val="00452CAC"/>
    <w:rsid w:val="0045372C"/>
    <w:rsid w:val="00457565"/>
    <w:rsid w:val="00457B71"/>
    <w:rsid w:val="004629F7"/>
    <w:rsid w:val="004669E2"/>
    <w:rsid w:val="00467B05"/>
    <w:rsid w:val="00467C8D"/>
    <w:rsid w:val="00470C31"/>
    <w:rsid w:val="004734D0"/>
    <w:rsid w:val="00473F59"/>
    <w:rsid w:val="0047556B"/>
    <w:rsid w:val="00477768"/>
    <w:rsid w:val="00481903"/>
    <w:rsid w:val="004874C1"/>
    <w:rsid w:val="00490378"/>
    <w:rsid w:val="00492BC5"/>
    <w:rsid w:val="004964F1"/>
    <w:rsid w:val="004A16BC"/>
    <w:rsid w:val="004A2B94"/>
    <w:rsid w:val="004A795F"/>
    <w:rsid w:val="004A7B30"/>
    <w:rsid w:val="004B2F82"/>
    <w:rsid w:val="004B7C0C"/>
    <w:rsid w:val="004C3898"/>
    <w:rsid w:val="004C62D6"/>
    <w:rsid w:val="004C6FF7"/>
    <w:rsid w:val="004D1058"/>
    <w:rsid w:val="004D36B1"/>
    <w:rsid w:val="004D5851"/>
    <w:rsid w:val="004D7EBD"/>
    <w:rsid w:val="004E2680"/>
    <w:rsid w:val="004E28F9"/>
    <w:rsid w:val="004E462E"/>
    <w:rsid w:val="004E56DC"/>
    <w:rsid w:val="004E76F4"/>
    <w:rsid w:val="004F0B4E"/>
    <w:rsid w:val="004F0B6C"/>
    <w:rsid w:val="004F0FAF"/>
    <w:rsid w:val="004F2078"/>
    <w:rsid w:val="004F4DA3"/>
    <w:rsid w:val="00506557"/>
    <w:rsid w:val="0050677A"/>
    <w:rsid w:val="005108D8"/>
    <w:rsid w:val="005116F9"/>
    <w:rsid w:val="005153A7"/>
    <w:rsid w:val="00520D86"/>
    <w:rsid w:val="005219CF"/>
    <w:rsid w:val="005270CC"/>
    <w:rsid w:val="00534B59"/>
    <w:rsid w:val="00536759"/>
    <w:rsid w:val="00537C62"/>
    <w:rsid w:val="00544144"/>
    <w:rsid w:val="00546970"/>
    <w:rsid w:val="00550C36"/>
    <w:rsid w:val="005536C2"/>
    <w:rsid w:val="00554E19"/>
    <w:rsid w:val="00560F8E"/>
    <w:rsid w:val="0056121F"/>
    <w:rsid w:val="00572505"/>
    <w:rsid w:val="00575625"/>
    <w:rsid w:val="00577B46"/>
    <w:rsid w:val="00582809"/>
    <w:rsid w:val="0058798C"/>
    <w:rsid w:val="005900FA"/>
    <w:rsid w:val="005935A4"/>
    <w:rsid w:val="005948C2"/>
    <w:rsid w:val="00595DCA"/>
    <w:rsid w:val="00596666"/>
    <w:rsid w:val="0059779B"/>
    <w:rsid w:val="005A209A"/>
    <w:rsid w:val="005A4519"/>
    <w:rsid w:val="005A662D"/>
    <w:rsid w:val="005B126D"/>
    <w:rsid w:val="005B35D7"/>
    <w:rsid w:val="005B392A"/>
    <w:rsid w:val="005B3AA3"/>
    <w:rsid w:val="005B6F83"/>
    <w:rsid w:val="005C5161"/>
    <w:rsid w:val="005C5711"/>
    <w:rsid w:val="005C67DB"/>
    <w:rsid w:val="005C74FB"/>
    <w:rsid w:val="005D1602"/>
    <w:rsid w:val="005D64F2"/>
    <w:rsid w:val="005E385F"/>
    <w:rsid w:val="005E5B81"/>
    <w:rsid w:val="005E6835"/>
    <w:rsid w:val="005F1D3B"/>
    <w:rsid w:val="005F2CB1"/>
    <w:rsid w:val="005F5620"/>
    <w:rsid w:val="005F618C"/>
    <w:rsid w:val="005F70BD"/>
    <w:rsid w:val="0060101D"/>
    <w:rsid w:val="0060283C"/>
    <w:rsid w:val="00604F14"/>
    <w:rsid w:val="00611B83"/>
    <w:rsid w:val="00613257"/>
    <w:rsid w:val="0061715B"/>
    <w:rsid w:val="00620A71"/>
    <w:rsid w:val="00620D80"/>
    <w:rsid w:val="006234A6"/>
    <w:rsid w:val="00630001"/>
    <w:rsid w:val="006311B3"/>
    <w:rsid w:val="00631DB5"/>
    <w:rsid w:val="0063284C"/>
    <w:rsid w:val="006328CB"/>
    <w:rsid w:val="00636398"/>
    <w:rsid w:val="006368D3"/>
    <w:rsid w:val="006377EC"/>
    <w:rsid w:val="00640286"/>
    <w:rsid w:val="00640698"/>
    <w:rsid w:val="0064151F"/>
    <w:rsid w:val="00641533"/>
    <w:rsid w:val="0064208D"/>
    <w:rsid w:val="00643475"/>
    <w:rsid w:val="0064396A"/>
    <w:rsid w:val="0064624E"/>
    <w:rsid w:val="006502E3"/>
    <w:rsid w:val="00650AB9"/>
    <w:rsid w:val="00651140"/>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EBD"/>
    <w:rsid w:val="006C308E"/>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2B89"/>
    <w:rsid w:val="007139C5"/>
    <w:rsid w:val="007148D3"/>
    <w:rsid w:val="00715B9A"/>
    <w:rsid w:val="00725850"/>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71E1"/>
    <w:rsid w:val="007574AE"/>
    <w:rsid w:val="0076037F"/>
    <w:rsid w:val="007604B2"/>
    <w:rsid w:val="00763C05"/>
    <w:rsid w:val="0076472B"/>
    <w:rsid w:val="00765281"/>
    <w:rsid w:val="00765717"/>
    <w:rsid w:val="00766BAD"/>
    <w:rsid w:val="007727A5"/>
    <w:rsid w:val="00772EBA"/>
    <w:rsid w:val="007755F2"/>
    <w:rsid w:val="00776971"/>
    <w:rsid w:val="00776BC6"/>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4172E"/>
    <w:rsid w:val="008444E8"/>
    <w:rsid w:val="00844E80"/>
    <w:rsid w:val="00846FE7"/>
    <w:rsid w:val="00854BBB"/>
    <w:rsid w:val="00855FFB"/>
    <w:rsid w:val="00856911"/>
    <w:rsid w:val="00861BDF"/>
    <w:rsid w:val="008677FD"/>
    <w:rsid w:val="008706D4"/>
    <w:rsid w:val="00870E89"/>
    <w:rsid w:val="00870F8A"/>
    <w:rsid w:val="008719A4"/>
    <w:rsid w:val="00871D23"/>
    <w:rsid w:val="00874312"/>
    <w:rsid w:val="0087437C"/>
    <w:rsid w:val="008755C4"/>
    <w:rsid w:val="00875CD7"/>
    <w:rsid w:val="00875E7F"/>
    <w:rsid w:val="00876B4D"/>
    <w:rsid w:val="00877F18"/>
    <w:rsid w:val="0089088A"/>
    <w:rsid w:val="00894A88"/>
    <w:rsid w:val="00895386"/>
    <w:rsid w:val="0089798E"/>
    <w:rsid w:val="008A21FF"/>
    <w:rsid w:val="008A2CE2"/>
    <w:rsid w:val="008A30AC"/>
    <w:rsid w:val="008A3F68"/>
    <w:rsid w:val="008A44B8"/>
    <w:rsid w:val="008A51A8"/>
    <w:rsid w:val="008A54C7"/>
    <w:rsid w:val="008A77D8"/>
    <w:rsid w:val="008B0483"/>
    <w:rsid w:val="008B0DEA"/>
    <w:rsid w:val="008B120C"/>
    <w:rsid w:val="008B32CE"/>
    <w:rsid w:val="008B4D42"/>
    <w:rsid w:val="008B51A0"/>
    <w:rsid w:val="008B592A"/>
    <w:rsid w:val="008B6143"/>
    <w:rsid w:val="008B7B5C"/>
    <w:rsid w:val="008C0C99"/>
    <w:rsid w:val="008C2017"/>
    <w:rsid w:val="008C4958"/>
    <w:rsid w:val="008C4BAA"/>
    <w:rsid w:val="008C5B03"/>
    <w:rsid w:val="008C6AE8"/>
    <w:rsid w:val="008C7573"/>
    <w:rsid w:val="008D0F5E"/>
    <w:rsid w:val="008D34F1"/>
    <w:rsid w:val="008D39D8"/>
    <w:rsid w:val="008D41D3"/>
    <w:rsid w:val="008D6D1A"/>
    <w:rsid w:val="008E0927"/>
    <w:rsid w:val="008E1909"/>
    <w:rsid w:val="008E772C"/>
    <w:rsid w:val="008F1EAB"/>
    <w:rsid w:val="008F2F68"/>
    <w:rsid w:val="008F33DC"/>
    <w:rsid w:val="008F3C3D"/>
    <w:rsid w:val="008F477F"/>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6B3B"/>
    <w:rsid w:val="00937938"/>
    <w:rsid w:val="00937FB9"/>
    <w:rsid w:val="009405F3"/>
    <w:rsid w:val="00941636"/>
    <w:rsid w:val="00943742"/>
    <w:rsid w:val="00945C05"/>
    <w:rsid w:val="00946945"/>
    <w:rsid w:val="009475BF"/>
    <w:rsid w:val="00947713"/>
    <w:rsid w:val="00950DE7"/>
    <w:rsid w:val="00953920"/>
    <w:rsid w:val="00953D47"/>
    <w:rsid w:val="0095681E"/>
    <w:rsid w:val="009572D4"/>
    <w:rsid w:val="0096007D"/>
    <w:rsid w:val="00961921"/>
    <w:rsid w:val="009634DF"/>
    <w:rsid w:val="0096430A"/>
    <w:rsid w:val="0096477F"/>
    <w:rsid w:val="0096554B"/>
    <w:rsid w:val="0096584A"/>
    <w:rsid w:val="00970096"/>
    <w:rsid w:val="00971F08"/>
    <w:rsid w:val="0097603D"/>
    <w:rsid w:val="00976949"/>
    <w:rsid w:val="00980477"/>
    <w:rsid w:val="00985253"/>
    <w:rsid w:val="009853B3"/>
    <w:rsid w:val="00990630"/>
    <w:rsid w:val="00991761"/>
    <w:rsid w:val="00991E53"/>
    <w:rsid w:val="00994DCA"/>
    <w:rsid w:val="009960A2"/>
    <w:rsid w:val="009960EC"/>
    <w:rsid w:val="009970DD"/>
    <w:rsid w:val="009A0FBA"/>
    <w:rsid w:val="009A1601"/>
    <w:rsid w:val="009A4514"/>
    <w:rsid w:val="009A462D"/>
    <w:rsid w:val="009A5CBA"/>
    <w:rsid w:val="009A69E6"/>
    <w:rsid w:val="009B1F30"/>
    <w:rsid w:val="009B3AC2"/>
    <w:rsid w:val="009B4DF4"/>
    <w:rsid w:val="009B564E"/>
    <w:rsid w:val="009B7E87"/>
    <w:rsid w:val="009C0D4F"/>
    <w:rsid w:val="009C403E"/>
    <w:rsid w:val="009D4FF0"/>
    <w:rsid w:val="009D703C"/>
    <w:rsid w:val="009D718F"/>
    <w:rsid w:val="009E068F"/>
    <w:rsid w:val="009E09BE"/>
    <w:rsid w:val="009E0FD5"/>
    <w:rsid w:val="009E14E0"/>
    <w:rsid w:val="009E35DB"/>
    <w:rsid w:val="009E47A3"/>
    <w:rsid w:val="009F08F3"/>
    <w:rsid w:val="009F1F2E"/>
    <w:rsid w:val="009F344F"/>
    <w:rsid w:val="009F48B2"/>
    <w:rsid w:val="009F5422"/>
    <w:rsid w:val="00A048A8"/>
    <w:rsid w:val="00A101F1"/>
    <w:rsid w:val="00A11CD5"/>
    <w:rsid w:val="00A1232E"/>
    <w:rsid w:val="00A13E54"/>
    <w:rsid w:val="00A17F63"/>
    <w:rsid w:val="00A2193B"/>
    <w:rsid w:val="00A2351A"/>
    <w:rsid w:val="00A264A9"/>
    <w:rsid w:val="00A27785"/>
    <w:rsid w:val="00A30187"/>
    <w:rsid w:val="00A3448A"/>
    <w:rsid w:val="00A36297"/>
    <w:rsid w:val="00A4140B"/>
    <w:rsid w:val="00A41E2B"/>
    <w:rsid w:val="00A45B74"/>
    <w:rsid w:val="00A52E1D"/>
    <w:rsid w:val="00A61499"/>
    <w:rsid w:val="00A62A77"/>
    <w:rsid w:val="00A63483"/>
    <w:rsid w:val="00A64A80"/>
    <w:rsid w:val="00A64E6F"/>
    <w:rsid w:val="00A657D7"/>
    <w:rsid w:val="00A660AC"/>
    <w:rsid w:val="00A67E6C"/>
    <w:rsid w:val="00A71B99"/>
    <w:rsid w:val="00A739D0"/>
    <w:rsid w:val="00A761D4"/>
    <w:rsid w:val="00A77EC4"/>
    <w:rsid w:val="00A80CB6"/>
    <w:rsid w:val="00A838DB"/>
    <w:rsid w:val="00A86418"/>
    <w:rsid w:val="00A9086D"/>
    <w:rsid w:val="00A92879"/>
    <w:rsid w:val="00A9442A"/>
    <w:rsid w:val="00A95F36"/>
    <w:rsid w:val="00AA016F"/>
    <w:rsid w:val="00AA1ED6"/>
    <w:rsid w:val="00AA51D6"/>
    <w:rsid w:val="00AB0BC8"/>
    <w:rsid w:val="00AB11CA"/>
    <w:rsid w:val="00AB14D9"/>
    <w:rsid w:val="00AB2374"/>
    <w:rsid w:val="00AB4AB8"/>
    <w:rsid w:val="00AB655E"/>
    <w:rsid w:val="00AC007F"/>
    <w:rsid w:val="00AC0E8B"/>
    <w:rsid w:val="00AC2ECD"/>
    <w:rsid w:val="00AC3119"/>
    <w:rsid w:val="00AC49FB"/>
    <w:rsid w:val="00AC52D1"/>
    <w:rsid w:val="00AC5A10"/>
    <w:rsid w:val="00AD0AA3"/>
    <w:rsid w:val="00AD2642"/>
    <w:rsid w:val="00AD3F94"/>
    <w:rsid w:val="00AD47C7"/>
    <w:rsid w:val="00AD4A5A"/>
    <w:rsid w:val="00AD4F3C"/>
    <w:rsid w:val="00AE27AC"/>
    <w:rsid w:val="00AE2B6F"/>
    <w:rsid w:val="00AE40E0"/>
    <w:rsid w:val="00AE4DBA"/>
    <w:rsid w:val="00AE4F07"/>
    <w:rsid w:val="00AF19E0"/>
    <w:rsid w:val="00AF1C5D"/>
    <w:rsid w:val="00AF42D7"/>
    <w:rsid w:val="00B006FE"/>
    <w:rsid w:val="00B007CB"/>
    <w:rsid w:val="00B02565"/>
    <w:rsid w:val="00B02754"/>
    <w:rsid w:val="00B02AA9"/>
    <w:rsid w:val="00B02FA3"/>
    <w:rsid w:val="00B05084"/>
    <w:rsid w:val="00B115B8"/>
    <w:rsid w:val="00B157F9"/>
    <w:rsid w:val="00B16CE7"/>
    <w:rsid w:val="00B20256"/>
    <w:rsid w:val="00B20D09"/>
    <w:rsid w:val="00B2763F"/>
    <w:rsid w:val="00B27AAC"/>
    <w:rsid w:val="00B30929"/>
    <w:rsid w:val="00B372AA"/>
    <w:rsid w:val="00B40445"/>
    <w:rsid w:val="00B406C2"/>
    <w:rsid w:val="00B41888"/>
    <w:rsid w:val="00B42FAD"/>
    <w:rsid w:val="00B45A52"/>
    <w:rsid w:val="00B46175"/>
    <w:rsid w:val="00B5151A"/>
    <w:rsid w:val="00B5330B"/>
    <w:rsid w:val="00B55695"/>
    <w:rsid w:val="00B60EE5"/>
    <w:rsid w:val="00B664C7"/>
    <w:rsid w:val="00B71CF5"/>
    <w:rsid w:val="00B739F6"/>
    <w:rsid w:val="00B76696"/>
    <w:rsid w:val="00B77F33"/>
    <w:rsid w:val="00B81A6C"/>
    <w:rsid w:val="00B83D6A"/>
    <w:rsid w:val="00B8443A"/>
    <w:rsid w:val="00B85DE5"/>
    <w:rsid w:val="00B90F73"/>
    <w:rsid w:val="00B93B59"/>
    <w:rsid w:val="00B9406A"/>
    <w:rsid w:val="00BA2280"/>
    <w:rsid w:val="00BA2A08"/>
    <w:rsid w:val="00BA36B3"/>
    <w:rsid w:val="00BA56D2"/>
    <w:rsid w:val="00BA6C5F"/>
    <w:rsid w:val="00BA71DA"/>
    <w:rsid w:val="00BA76E0"/>
    <w:rsid w:val="00BB2A25"/>
    <w:rsid w:val="00BB51E9"/>
    <w:rsid w:val="00BB69E1"/>
    <w:rsid w:val="00BC0FDC"/>
    <w:rsid w:val="00BC3053"/>
    <w:rsid w:val="00BC4D2E"/>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3279"/>
    <w:rsid w:val="00BF74C7"/>
    <w:rsid w:val="00BF79BF"/>
    <w:rsid w:val="00C015F1"/>
    <w:rsid w:val="00C01F33"/>
    <w:rsid w:val="00C02CC6"/>
    <w:rsid w:val="00C040F7"/>
    <w:rsid w:val="00C044AB"/>
    <w:rsid w:val="00C05706"/>
    <w:rsid w:val="00C05F16"/>
    <w:rsid w:val="00C07377"/>
    <w:rsid w:val="00C10478"/>
    <w:rsid w:val="00C12107"/>
    <w:rsid w:val="00C14D4B"/>
    <w:rsid w:val="00C14EE3"/>
    <w:rsid w:val="00C154BB"/>
    <w:rsid w:val="00C27925"/>
    <w:rsid w:val="00C279B5"/>
    <w:rsid w:val="00C27C45"/>
    <w:rsid w:val="00C3719D"/>
    <w:rsid w:val="00C505CC"/>
    <w:rsid w:val="00C5308F"/>
    <w:rsid w:val="00C543F2"/>
    <w:rsid w:val="00C54995"/>
    <w:rsid w:val="00C54D41"/>
    <w:rsid w:val="00C60783"/>
    <w:rsid w:val="00C64672"/>
    <w:rsid w:val="00C65D02"/>
    <w:rsid w:val="00C70697"/>
    <w:rsid w:val="00C71700"/>
    <w:rsid w:val="00C72EF4"/>
    <w:rsid w:val="00C75D2F"/>
    <w:rsid w:val="00C767BE"/>
    <w:rsid w:val="00C76E3C"/>
    <w:rsid w:val="00C77BFD"/>
    <w:rsid w:val="00C81568"/>
    <w:rsid w:val="00C9027A"/>
    <w:rsid w:val="00C9068E"/>
    <w:rsid w:val="00C93545"/>
    <w:rsid w:val="00C93C4B"/>
    <w:rsid w:val="00C944AB"/>
    <w:rsid w:val="00C95B40"/>
    <w:rsid w:val="00C97623"/>
    <w:rsid w:val="00CA1ED8"/>
    <w:rsid w:val="00CA7418"/>
    <w:rsid w:val="00CA76A2"/>
    <w:rsid w:val="00CA7778"/>
    <w:rsid w:val="00CB1729"/>
    <w:rsid w:val="00CB1F63"/>
    <w:rsid w:val="00CB7170"/>
    <w:rsid w:val="00CC040E"/>
    <w:rsid w:val="00CC111F"/>
    <w:rsid w:val="00CC1AFA"/>
    <w:rsid w:val="00CC2011"/>
    <w:rsid w:val="00CC3EA0"/>
    <w:rsid w:val="00CC3F1F"/>
    <w:rsid w:val="00CC7003"/>
    <w:rsid w:val="00CC7B45"/>
    <w:rsid w:val="00CD1188"/>
    <w:rsid w:val="00CD2ED1"/>
    <w:rsid w:val="00CD337B"/>
    <w:rsid w:val="00CD6F46"/>
    <w:rsid w:val="00CE0ACD"/>
    <w:rsid w:val="00CE7561"/>
    <w:rsid w:val="00CF06F7"/>
    <w:rsid w:val="00CF1354"/>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65B5"/>
    <w:rsid w:val="00D36E71"/>
    <w:rsid w:val="00D37D87"/>
    <w:rsid w:val="00D40B33"/>
    <w:rsid w:val="00D4318F"/>
    <w:rsid w:val="00D43300"/>
    <w:rsid w:val="00D438BF"/>
    <w:rsid w:val="00D440F8"/>
    <w:rsid w:val="00D5401F"/>
    <w:rsid w:val="00D546FF"/>
    <w:rsid w:val="00D55AD5"/>
    <w:rsid w:val="00D563F5"/>
    <w:rsid w:val="00D576CA"/>
    <w:rsid w:val="00D61AF5"/>
    <w:rsid w:val="00D652B5"/>
    <w:rsid w:val="00D66155"/>
    <w:rsid w:val="00D704C3"/>
    <w:rsid w:val="00D708B0"/>
    <w:rsid w:val="00D70FCF"/>
    <w:rsid w:val="00D72D5E"/>
    <w:rsid w:val="00D73B78"/>
    <w:rsid w:val="00D778CF"/>
    <w:rsid w:val="00D77B1D"/>
    <w:rsid w:val="00D8021F"/>
    <w:rsid w:val="00D80383"/>
    <w:rsid w:val="00D823C6"/>
    <w:rsid w:val="00D869E1"/>
    <w:rsid w:val="00D86CA3"/>
    <w:rsid w:val="00D871CE"/>
    <w:rsid w:val="00D87521"/>
    <w:rsid w:val="00D9196D"/>
    <w:rsid w:val="00D92982"/>
    <w:rsid w:val="00D95C04"/>
    <w:rsid w:val="00D96F8F"/>
    <w:rsid w:val="00DA305E"/>
    <w:rsid w:val="00DA5417"/>
    <w:rsid w:val="00DA56E8"/>
    <w:rsid w:val="00DB0009"/>
    <w:rsid w:val="00DB27F0"/>
    <w:rsid w:val="00DB377D"/>
    <w:rsid w:val="00DC0024"/>
    <w:rsid w:val="00DC0EB4"/>
    <w:rsid w:val="00DC2D36"/>
    <w:rsid w:val="00DC4220"/>
    <w:rsid w:val="00DC53EF"/>
    <w:rsid w:val="00DC6D39"/>
    <w:rsid w:val="00DD15E5"/>
    <w:rsid w:val="00DD5DFE"/>
    <w:rsid w:val="00DD62A6"/>
    <w:rsid w:val="00DE35AD"/>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23224"/>
    <w:rsid w:val="00E30B5A"/>
    <w:rsid w:val="00E3123D"/>
    <w:rsid w:val="00E31461"/>
    <w:rsid w:val="00E31D43"/>
    <w:rsid w:val="00E32608"/>
    <w:rsid w:val="00E32736"/>
    <w:rsid w:val="00E34188"/>
    <w:rsid w:val="00E34B6E"/>
    <w:rsid w:val="00E35559"/>
    <w:rsid w:val="00E3723A"/>
    <w:rsid w:val="00E37860"/>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A7A41"/>
    <w:rsid w:val="00EB048A"/>
    <w:rsid w:val="00EB077B"/>
    <w:rsid w:val="00EB4EA2"/>
    <w:rsid w:val="00EC1F26"/>
    <w:rsid w:val="00EC27C6"/>
    <w:rsid w:val="00EC3CD9"/>
    <w:rsid w:val="00EC4207"/>
    <w:rsid w:val="00EC5653"/>
    <w:rsid w:val="00EC6DA5"/>
    <w:rsid w:val="00EC71CE"/>
    <w:rsid w:val="00ED054C"/>
    <w:rsid w:val="00ED1006"/>
    <w:rsid w:val="00ED709A"/>
    <w:rsid w:val="00EE4D9A"/>
    <w:rsid w:val="00EF18FE"/>
    <w:rsid w:val="00EF33DE"/>
    <w:rsid w:val="00EF5787"/>
    <w:rsid w:val="00EF60D0"/>
    <w:rsid w:val="00F0528D"/>
    <w:rsid w:val="00F06C67"/>
    <w:rsid w:val="00F06DFD"/>
    <w:rsid w:val="00F071D1"/>
    <w:rsid w:val="00F07533"/>
    <w:rsid w:val="00F10629"/>
    <w:rsid w:val="00F136FF"/>
    <w:rsid w:val="00F15FA5"/>
    <w:rsid w:val="00F209B7"/>
    <w:rsid w:val="00F2376F"/>
    <w:rsid w:val="00F243D8"/>
    <w:rsid w:val="00F25E7C"/>
    <w:rsid w:val="00F30828"/>
    <w:rsid w:val="00F30D8B"/>
    <w:rsid w:val="00F313D6"/>
    <w:rsid w:val="00F34A08"/>
    <w:rsid w:val="00F367A2"/>
    <w:rsid w:val="00F40E77"/>
    <w:rsid w:val="00F40F0C"/>
    <w:rsid w:val="00F42FF4"/>
    <w:rsid w:val="00F4766C"/>
    <w:rsid w:val="00F47AB8"/>
    <w:rsid w:val="00F50028"/>
    <w:rsid w:val="00F50595"/>
    <w:rsid w:val="00F507D1"/>
    <w:rsid w:val="00F519CE"/>
    <w:rsid w:val="00F51ABD"/>
    <w:rsid w:val="00F51ADA"/>
    <w:rsid w:val="00F55F72"/>
    <w:rsid w:val="00F607C5"/>
    <w:rsid w:val="00F60DEA"/>
    <w:rsid w:val="00F6302A"/>
    <w:rsid w:val="00F64C2B"/>
    <w:rsid w:val="00F651BE"/>
    <w:rsid w:val="00F66D78"/>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6985"/>
    <w:rsid w:val="00F96D4C"/>
    <w:rsid w:val="00F97838"/>
    <w:rsid w:val="00FA2BB3"/>
    <w:rsid w:val="00FA72DB"/>
    <w:rsid w:val="00FB30FA"/>
    <w:rsid w:val="00FB430F"/>
    <w:rsid w:val="00FB4C80"/>
    <w:rsid w:val="00FB528C"/>
    <w:rsid w:val="00FB6A6A"/>
    <w:rsid w:val="00FC7429"/>
    <w:rsid w:val="00FD07F6"/>
    <w:rsid w:val="00FD1EC8"/>
    <w:rsid w:val="00FD47ED"/>
    <w:rsid w:val="00FD59B3"/>
    <w:rsid w:val="00FD61E8"/>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DA114B"/>
  <w15:docId w15:val="{6EBD9058-5D1A-4B9A-9320-7C10785A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324667">
      <w:bodyDiv w:val="1"/>
      <w:marLeft w:val="0"/>
      <w:marRight w:val="0"/>
      <w:marTop w:val="0"/>
      <w:marBottom w:val="0"/>
      <w:divBdr>
        <w:top w:val="none" w:sz="0" w:space="0" w:color="auto"/>
        <w:left w:val="none" w:sz="0" w:space="0" w:color="auto"/>
        <w:bottom w:val="none" w:sz="0" w:space="0" w:color="auto"/>
        <w:right w:val="none" w:sz="0" w:space="0" w:color="auto"/>
      </w:divBdr>
      <w:divsChild>
        <w:div w:id="1087968041">
          <w:marLeft w:val="835"/>
          <w:marRight w:val="0"/>
          <w:marTop w:val="96"/>
          <w:marBottom w:val="0"/>
          <w:divBdr>
            <w:top w:val="none" w:sz="0" w:space="0" w:color="auto"/>
            <w:left w:val="none" w:sz="0" w:space="0" w:color="auto"/>
            <w:bottom w:val="none" w:sz="0" w:space="0" w:color="auto"/>
            <w:right w:val="none" w:sz="0" w:space="0" w:color="auto"/>
          </w:divBdr>
        </w:div>
      </w:divsChild>
    </w:div>
    <w:div w:id="754207735">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cid:image001.png@01D1D5FF.D833DF7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0640F-239C-45F3-A473-D607C5551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13</TotalTime>
  <Pages>3</Pages>
  <Words>1151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4</cp:revision>
  <cp:lastPrinted>2008-01-31T07:09:00Z</cp:lastPrinted>
  <dcterms:created xsi:type="dcterms:W3CDTF">2016-09-30T06:21:00Z</dcterms:created>
  <dcterms:modified xsi:type="dcterms:W3CDTF">2016-09-30T12:30:00Z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