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FD5" w:rsidRPr="008B1A04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 w:rsidR="00654FA6">
        <w:rPr>
          <w:rFonts w:ascii="Arial" w:eastAsia="PMingLiU" w:hAnsi="Arial" w:cs="Arial"/>
          <w:b/>
          <w:sz w:val="24"/>
          <w:szCs w:val="24"/>
          <w:lang w:val="en-GB" w:eastAsia="zh-TW"/>
        </w:rPr>
        <w:t>80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654FA6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165035</w:t>
      </w:r>
    </w:p>
    <w:p w:rsidR="00654FA6" w:rsidRPr="00A46466" w:rsidRDefault="00654FA6" w:rsidP="00654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sz w:val="24"/>
          <w:szCs w:val="24"/>
          <w:lang w:val="en-GB" w:eastAsia="en-US"/>
        </w:rPr>
      </w:pPr>
      <w:r w:rsidRPr="00A46466">
        <w:rPr>
          <w:rFonts w:ascii="Arial" w:eastAsia="SimSun" w:hAnsi="Arial" w:cs="Arial"/>
          <w:b/>
          <w:sz w:val="24"/>
          <w:szCs w:val="24"/>
          <w:lang w:val="en-GB" w:eastAsia="en-US"/>
        </w:rPr>
        <w:t>Gothenburg</w:t>
      </w:r>
      <w:r w:rsidRPr="00A46466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, Sweden</w:t>
      </w:r>
      <w:r w:rsidRPr="00A46466"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, </w:t>
      </w:r>
      <w:r w:rsidRPr="00A46466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22</w:t>
      </w:r>
      <w:r w:rsidRPr="00A46466"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 </w:t>
      </w:r>
      <w:r w:rsidRPr="00A46466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- 26</w:t>
      </w:r>
      <w:r w:rsidRPr="00A46466"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 </w:t>
      </w:r>
      <w:r w:rsidRPr="00A46466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Aug</w:t>
      </w:r>
      <w:r w:rsidRPr="00A46466">
        <w:rPr>
          <w:rFonts w:ascii="Arial" w:eastAsia="SimSun" w:hAnsi="Arial" w:cs="Arial"/>
          <w:b/>
          <w:sz w:val="24"/>
          <w:szCs w:val="24"/>
          <w:lang w:val="en-GB" w:eastAsia="en-US"/>
        </w:rPr>
        <w:t>, 201</w:t>
      </w:r>
      <w:r w:rsidRPr="00A46466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6</w:t>
      </w:r>
    </w:p>
    <w:p w:rsidR="00431FD5" w:rsidRPr="00410C0E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431FD5" w:rsidRPr="00410C0E" w:rsidRDefault="00431FD5" w:rsidP="00431FD5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 w:rsidR="00654FA6">
        <w:rPr>
          <w:rFonts w:ascii="Arial" w:hAnsi="Arial" w:cs="Arial"/>
          <w:b/>
          <w:bCs/>
          <w:sz w:val="24"/>
          <w:szCs w:val="24"/>
          <w:lang w:val="sv-SE"/>
        </w:rPr>
        <w:t>8.10</w:t>
      </w:r>
      <w:r>
        <w:rPr>
          <w:rFonts w:ascii="Arial" w:hAnsi="Arial" w:cs="Arial"/>
          <w:b/>
          <w:bCs/>
          <w:sz w:val="24"/>
          <w:szCs w:val="24"/>
          <w:lang w:val="sv-SE"/>
        </w:rPr>
        <w:t>.3</w:t>
      </w:r>
      <w:r w:rsidR="00654FA6">
        <w:rPr>
          <w:rFonts w:ascii="Arial" w:hAnsi="Arial" w:cs="Arial"/>
          <w:b/>
          <w:bCs/>
          <w:sz w:val="24"/>
          <w:szCs w:val="24"/>
          <w:lang w:val="sv-SE"/>
        </w:rPr>
        <w:t>.3</w:t>
      </w:r>
    </w:p>
    <w:p w:rsidR="00431FD5" w:rsidRPr="00410C0E" w:rsidRDefault="00431FD5" w:rsidP="00431FD5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431FD5" w:rsidRPr="00431FD5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041B74" w:rsidRPr="00041B74">
        <w:rPr>
          <w:rFonts w:ascii="Arial" w:hAnsi="Arial" w:cs="Arial"/>
          <w:b/>
          <w:sz w:val="24"/>
          <w:szCs w:val="24"/>
          <w:lang w:val="en-GB"/>
        </w:rPr>
        <w:t xml:space="preserve">Network-assisted </w:t>
      </w:r>
      <w:r w:rsidR="00041B74">
        <w:rPr>
          <w:rFonts w:ascii="Arial" w:hAnsi="Arial" w:cs="Arial"/>
          <w:b/>
          <w:sz w:val="24"/>
          <w:szCs w:val="24"/>
          <w:lang w:val="en-GB"/>
        </w:rPr>
        <w:t>signa</w:t>
      </w:r>
      <w:r w:rsidR="00041B74" w:rsidRPr="00041B74">
        <w:rPr>
          <w:rFonts w:ascii="Arial" w:hAnsi="Arial" w:cs="Arial"/>
          <w:b/>
          <w:sz w:val="24"/>
          <w:szCs w:val="24"/>
          <w:lang w:val="en-GB"/>
        </w:rPr>
        <w:t>ling for performance enhancement in high speed scenarios</w:t>
      </w:r>
    </w:p>
    <w:p w:rsidR="00431FD5" w:rsidRPr="00410C0E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431FD5" w:rsidRPr="008B1A04" w:rsidRDefault="00431FD5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965700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One objectiv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 of this WI is to </w:t>
      </w:r>
      <w:r w:rsidR="009657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specify higher-layer assistance </w:t>
      </w:r>
      <w:r w:rsidR="00AA11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signalling</w:t>
      </w:r>
      <w:r w:rsidR="009657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UEs complying with the enhanced downlink demodulation performance requirements under the high speed scenarios.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156BF" w:rsidRDefault="00D03361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RAN4#78bis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n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etwork-assisted signalling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was suggested [2], which 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can be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used to provide assistance and indicate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high speed train (HST)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that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it is 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>entering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>/leaving a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HST SFN area.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Because of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 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>different properties between the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HST SFN channel model and conventional fading channels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model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[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>3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]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>–[</w:t>
      </w:r>
      <w:r w:rsidR="008A5206">
        <w:rPr>
          <w:rFonts w:ascii="Times New Roman" w:eastAsia="SimSun" w:hAnsi="Times New Roman" w:cs="Times New Roman"/>
          <w:kern w:val="2"/>
          <w:sz w:val="24"/>
          <w:lang w:val="en-GB"/>
        </w:rPr>
        <w:t>8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], such as EVA 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channels, it would be beneficial for the UE to </w:t>
      </w:r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know if it is under the HST SFN environment or not. </w:t>
      </w:r>
      <w:r w:rsidR="00A1214E">
        <w:rPr>
          <w:rFonts w:ascii="Times New Roman" w:eastAsia="SimSun" w:hAnsi="Times New Roman" w:cs="Times New Roman"/>
          <w:kern w:val="2"/>
          <w:sz w:val="24"/>
          <w:lang w:val="en-GB"/>
        </w:rPr>
        <w:t>In t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his contribution, we </w:t>
      </w:r>
      <w:r w:rsidR="0010604B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continue the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discuss</w:t>
      </w:r>
      <w:r w:rsidR="0010604B">
        <w:rPr>
          <w:rFonts w:ascii="Times New Roman" w:eastAsia="SimSun" w:hAnsi="Times New Roman" w:cs="Times New Roman"/>
          <w:kern w:val="2"/>
          <w:sz w:val="24"/>
          <w:lang w:val="en-GB"/>
        </w:rPr>
        <w:t>ion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10604B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on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the</w:t>
      </w:r>
      <w:r w:rsidR="00A1214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network-assi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>sted signalling to indicate that</w:t>
      </w:r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train is within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>the</w:t>
      </w:r>
      <w:r w:rsidR="00C3671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>T SFN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area</w:t>
      </w:r>
      <w:r w:rsidR="008A5206">
        <w:rPr>
          <w:rFonts w:ascii="Times New Roman" w:eastAsia="SimSun" w:hAnsi="Times New Roman" w:cs="Times New Roman"/>
          <w:kern w:val="2"/>
          <w:sz w:val="24"/>
          <w:lang w:val="en-GB"/>
        </w:rPr>
        <w:t>, and to help UE achieve satisfactory demodulation performance</w:t>
      </w:r>
      <w:r w:rsidR="00C36715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D161B0" w:rsidRDefault="00D161B0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D161B0" w:rsidRDefault="00D161B0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Moreover, our companion contribution [9] provides more details on network-assisted signalling for HST from RRM requirements perspective. The existing HST RRM signalling can be re-used for demodulation improvement purpose.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F0FE8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Network-assisted signalling for </w:t>
      </w:r>
      <w:r w:rsidR="00D94FE3">
        <w:rPr>
          <w:rFonts w:ascii="Arial" w:eastAsia="PMingLiU" w:hAnsi="Arial" w:cs="Times New Roman"/>
          <w:sz w:val="32"/>
          <w:szCs w:val="32"/>
          <w:lang w:val="en-GB" w:eastAsia="zh-TW"/>
        </w:rPr>
        <w:t>HST SFN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p w:rsidR="00CF0FE8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EB1336" w:rsidRPr="00753783" w:rsidRDefault="00D161B0" w:rsidP="00753783">
      <w:pPr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As shown in our companion contribution [9], a preferable network-assisted signalling option is to re-use the existi</w:t>
      </w:r>
      <w:r w:rsidR="009F7A6C">
        <w:rPr>
          <w:rFonts w:ascii="Times New Roman" w:eastAsia="SimSun" w:hAnsi="Times New Roman" w:cs="Times New Roman"/>
          <w:kern w:val="2"/>
          <w:sz w:val="24"/>
          <w:lang w:val="en-GB"/>
        </w:rPr>
        <w:t>ng HST signalling</w:t>
      </w:r>
      <w:r w:rsidR="00EB1336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as possible</w:t>
      </w:r>
      <w:r w:rsidR="009F7A6C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. </w:t>
      </w:r>
      <w:r w:rsidR="00EB1336" w:rsidRPr="00753783">
        <w:rPr>
          <w:rFonts w:ascii="Times New Roman" w:eastAsia="SimSun" w:hAnsi="Times New Roman" w:cs="Times New Roman"/>
          <w:kern w:val="2"/>
          <w:sz w:val="24"/>
          <w:lang w:val="en-GB"/>
        </w:rPr>
        <w:t>For example, the new field “</w:t>
      </w:r>
      <w:proofErr w:type="spellStart"/>
      <w:r w:rsidR="00EB1336" w:rsidRPr="00753783">
        <w:rPr>
          <w:rFonts w:ascii="Times New Roman" w:eastAsia="SimSun" w:hAnsi="Times New Roman" w:cs="Times New Roman"/>
          <w:kern w:val="2"/>
          <w:sz w:val="24"/>
          <w:lang w:val="en-GB"/>
        </w:rPr>
        <w:t>HSTIndictor</w:t>
      </w:r>
      <w:proofErr w:type="spellEnd"/>
      <w:r w:rsidR="00EB1336" w:rsidRPr="0075378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” in SIB4 below can indicate the neighbor cells to be </w:t>
      </w:r>
      <w:bookmarkStart w:id="8" w:name="_GoBack"/>
      <w:bookmarkEnd w:id="8"/>
      <w:r w:rsidR="00EB1336" w:rsidRPr="0075378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measured which are deployed along with the high speed train. Therefore, UE could reliably justify its mobility status depending on this indicator. </w:t>
      </w:r>
    </w:p>
    <w:p w:rsidR="00EB1336" w:rsidRPr="0094435D" w:rsidRDefault="00EB1336" w:rsidP="00EB1336">
      <w:pPr>
        <w:pStyle w:val="TH"/>
        <w:outlineLvl w:val="0"/>
        <w:rPr>
          <w:i/>
          <w:iCs/>
          <w:sz w:val="21"/>
        </w:rPr>
      </w:pPr>
      <w:r w:rsidRPr="0094435D">
        <w:rPr>
          <w:i/>
          <w:noProof/>
          <w:sz w:val="21"/>
        </w:rPr>
        <w:t xml:space="preserve">SystemInformationBlockType4 </w:t>
      </w:r>
      <w:smartTag w:uri="urn:schemas-microsoft-com:office:smarttags" w:element="PersonName">
        <w:r w:rsidRPr="0094435D">
          <w:rPr>
            <w:i/>
            <w:iCs/>
            <w:noProof/>
            <w:sz w:val="21"/>
          </w:rPr>
          <w:t>info</w:t>
        </w:r>
      </w:smartTag>
      <w:r w:rsidRPr="0094435D">
        <w:rPr>
          <w:i/>
          <w:iCs/>
          <w:noProof/>
          <w:sz w:val="21"/>
        </w:rPr>
        <w:t>rmation element</w:t>
      </w:r>
    </w:p>
    <w:p w:rsidR="00EB1336" w:rsidRPr="00D05729" w:rsidRDefault="00EB1336" w:rsidP="00EB1336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EB1336" w:rsidRPr="00D05729" w:rsidRDefault="00EB1336" w:rsidP="00EB1336">
      <w:pPr>
        <w:pStyle w:val="PL"/>
        <w:shd w:val="clear" w:color="auto" w:fill="E6E6E6"/>
      </w:pPr>
    </w:p>
    <w:p w:rsidR="00EB1336" w:rsidRPr="00D05729" w:rsidRDefault="00EB1336" w:rsidP="00EB1336">
      <w:pPr>
        <w:pStyle w:val="PL"/>
        <w:shd w:val="clear" w:color="auto" w:fill="E6E6E6"/>
      </w:pPr>
      <w:r w:rsidRPr="00D05729">
        <w:t>SystemInformationBlockType4 ::=</w:t>
      </w:r>
      <w:r w:rsidRPr="00D05729">
        <w:tab/>
      </w:r>
      <w:r w:rsidRPr="00D05729">
        <w:tab/>
        <w:t>SEQUENCE {</w:t>
      </w:r>
    </w:p>
    <w:p w:rsidR="00EB1336" w:rsidRPr="00D05729" w:rsidRDefault="00EB1336" w:rsidP="00EB1336">
      <w:pPr>
        <w:pStyle w:val="PL"/>
        <w:shd w:val="clear" w:color="auto" w:fill="E6E6E6"/>
      </w:pPr>
      <w:r>
        <w:t>…</w:t>
      </w:r>
    </w:p>
    <w:p w:rsidR="00EB1336" w:rsidRPr="00D05729" w:rsidRDefault="00EB1336" w:rsidP="00EB1336">
      <w:pPr>
        <w:pStyle w:val="PL"/>
        <w:shd w:val="clear" w:color="auto" w:fill="E6E6E6"/>
      </w:pPr>
      <w:r w:rsidRPr="00D05729">
        <w:t>IntraFreqNeighCellList ::=</w:t>
      </w:r>
      <w:r w:rsidRPr="00D05729">
        <w:tab/>
      </w:r>
      <w:r w:rsidRPr="00D05729">
        <w:tab/>
        <w:t>SEQUENCE (SIZE (1..maxCellIntra)) OF IntraFreqNeighCellInfo</w:t>
      </w:r>
    </w:p>
    <w:p w:rsidR="00EB1336" w:rsidRPr="00D05729" w:rsidRDefault="00EB1336" w:rsidP="00EB1336">
      <w:pPr>
        <w:pStyle w:val="PL"/>
        <w:shd w:val="clear" w:color="auto" w:fill="E6E6E6"/>
      </w:pPr>
    </w:p>
    <w:p w:rsidR="00EB1336" w:rsidRPr="00D05729" w:rsidRDefault="00EB1336" w:rsidP="00EB1336">
      <w:pPr>
        <w:pStyle w:val="PL"/>
        <w:shd w:val="clear" w:color="auto" w:fill="E6E6E6"/>
      </w:pPr>
      <w:r w:rsidRPr="00D05729">
        <w:t>IntraFreqNeighCellInfo ::=</w:t>
      </w:r>
      <w:r w:rsidRPr="00D05729">
        <w:tab/>
      </w:r>
      <w:r w:rsidRPr="00D05729">
        <w:tab/>
        <w:t>SEQUENCE {</w:t>
      </w:r>
    </w:p>
    <w:p w:rsidR="00EB1336" w:rsidRPr="00C734F0" w:rsidRDefault="00EB1336" w:rsidP="00EB1336">
      <w:pPr>
        <w:pStyle w:val="PL"/>
        <w:shd w:val="clear" w:color="auto" w:fill="E6E6E6"/>
      </w:pPr>
      <w:r w:rsidRPr="00D05729">
        <w:tab/>
      </w:r>
      <w:r w:rsidRPr="0094435D">
        <w:t>physCellId</w:t>
      </w:r>
      <w:r w:rsidRPr="0094435D">
        <w:tab/>
      </w:r>
      <w:r w:rsidRPr="0094435D">
        <w:tab/>
      </w:r>
      <w:r w:rsidRPr="0094435D">
        <w:tab/>
      </w:r>
      <w:r w:rsidRPr="0094435D">
        <w:tab/>
      </w:r>
      <w:r w:rsidRPr="0094435D">
        <w:tab/>
      </w:r>
      <w:r w:rsidRPr="0094435D">
        <w:tab/>
      </w:r>
      <w:r w:rsidRPr="0094435D">
        <w:tab/>
      </w:r>
      <w:r w:rsidRPr="0094435D">
        <w:tab/>
        <w:t>PhysCellId</w:t>
      </w:r>
      <w:r w:rsidRPr="00C734F0">
        <w:t>,</w:t>
      </w:r>
    </w:p>
    <w:p w:rsidR="00EB1336" w:rsidRDefault="00EB1336" w:rsidP="00EB1336">
      <w:pPr>
        <w:pStyle w:val="PL"/>
        <w:shd w:val="clear" w:color="auto" w:fill="E6E6E6"/>
      </w:pPr>
      <w:r w:rsidRPr="00D05729">
        <w:tab/>
        <w:t>q-OffsetCell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Q-OffsetRange,</w:t>
      </w:r>
    </w:p>
    <w:p w:rsidR="00EB1336" w:rsidRPr="0094435D" w:rsidRDefault="00EB1336" w:rsidP="00EB1336">
      <w:pPr>
        <w:pStyle w:val="PL"/>
        <w:shd w:val="clear" w:color="auto" w:fill="E6E6E6"/>
        <w:tabs>
          <w:tab w:val="left" w:pos="3155"/>
        </w:tabs>
        <w:rPr>
          <w:color w:val="FF0000"/>
        </w:rPr>
      </w:pPr>
      <w:r>
        <w:tab/>
      </w:r>
      <w:r w:rsidRPr="0094435D">
        <w:rPr>
          <w:color w:val="FF0000"/>
        </w:rPr>
        <w:t>HSTIndicator</w:t>
      </w:r>
      <w:r w:rsidRPr="0094435D">
        <w:rPr>
          <w:color w:val="FF0000"/>
        </w:rPr>
        <w:tab/>
      </w:r>
      <w:r w:rsidRPr="0094435D">
        <w:rPr>
          <w:color w:val="FF0000"/>
        </w:rPr>
        <w:tab/>
      </w:r>
      <w:r w:rsidRPr="0094435D">
        <w:rPr>
          <w:color w:val="FF0000"/>
        </w:rPr>
        <w:tab/>
      </w:r>
      <w:r w:rsidRPr="0094435D">
        <w:rPr>
          <w:color w:val="FF0000"/>
        </w:rPr>
        <w:tab/>
        <w:t>{true, false}</w:t>
      </w:r>
    </w:p>
    <w:p w:rsidR="00EB1336" w:rsidRPr="00D05729" w:rsidRDefault="00EB1336" w:rsidP="00EB1336">
      <w:pPr>
        <w:pStyle w:val="PL"/>
        <w:shd w:val="clear" w:color="auto" w:fill="E6E6E6"/>
      </w:pPr>
      <w:r w:rsidRPr="00D05729">
        <w:tab/>
        <w:t>...</w:t>
      </w:r>
    </w:p>
    <w:p w:rsidR="00EB1336" w:rsidRPr="00D05729" w:rsidRDefault="00EB1336" w:rsidP="00EB1336">
      <w:pPr>
        <w:pStyle w:val="PL"/>
        <w:shd w:val="clear" w:color="auto" w:fill="E6E6E6"/>
      </w:pPr>
      <w:r w:rsidRPr="00D05729">
        <w:t>}</w:t>
      </w:r>
    </w:p>
    <w:p w:rsidR="00EB1336" w:rsidRPr="00D05729" w:rsidRDefault="00EB1336" w:rsidP="00EB1336">
      <w:pPr>
        <w:pStyle w:val="PL"/>
        <w:shd w:val="clear" w:color="auto" w:fill="E6E6E6"/>
      </w:pPr>
      <w:r w:rsidRPr="00D05729">
        <w:t>e</w:t>
      </w:r>
    </w:p>
    <w:p w:rsidR="00EB1336" w:rsidRPr="00D05729" w:rsidRDefault="00EB1336" w:rsidP="00EB1336">
      <w:pPr>
        <w:pStyle w:val="PL"/>
        <w:shd w:val="clear" w:color="auto" w:fill="E6E6E6"/>
      </w:pPr>
    </w:p>
    <w:p w:rsidR="00EB1336" w:rsidRPr="00D05729" w:rsidRDefault="00EB1336" w:rsidP="00EB1336">
      <w:pPr>
        <w:pStyle w:val="PL"/>
        <w:shd w:val="clear" w:color="auto" w:fill="E6E6E6"/>
      </w:pPr>
      <w:r w:rsidRPr="00D05729">
        <w:t>-- ASN1STOP</w:t>
      </w:r>
    </w:p>
    <w:p w:rsidR="009F7A6C" w:rsidRDefault="009F7A6C" w:rsidP="009F7A6C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</w:rPr>
        <w:t>Depending on whether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“HST” signalling is received, the UE may decide to start or stop the blind detection for its mobility status, such as its instantaneous Doppler shift.</w:t>
      </w:r>
      <w:r w:rsidR="00446F12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The blind detection procedure </w:t>
      </w:r>
      <w:r w:rsidR="00446F12">
        <w:rPr>
          <w:rFonts w:ascii="Times New Roman" w:eastAsia="SimSun" w:hAnsi="Times New Roman" w:cs="Times New Roman"/>
          <w:kern w:val="2"/>
          <w:sz w:val="24"/>
          <w:lang w:val="en-GB"/>
        </w:rPr>
        <w:lastRenderedPageBreak/>
        <w:t>is fully UE implementation issue.</w:t>
      </w:r>
    </w:p>
    <w:p w:rsidR="00D161B0" w:rsidRDefault="00D161B0" w:rsidP="0010604B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351140" w:rsidRDefault="00446F12" w:rsidP="0010604B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Moreover, it has been shown that the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throughput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of a UE using legacy channel estimation approach (“legacy UE”) may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degra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de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by about 30%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when it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is running at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speed as high as 350km/h in SFN deployment [5]. Therefore, a number of modified/enhanced channel estimation approaches have been developed in this WI tailored for high speed SF</w:t>
      </w:r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>N scenarios. For example, in [11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], it shows that modified channel estimation approach </w:t>
      </w:r>
      <w:r w:rsidR="003817A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(“modified UE”)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can considerably improv</w:t>
      </w:r>
      <w:r w:rsidR="003817A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demodulation performance</w:t>
      </w:r>
      <w:r w:rsidR="003817A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in HST SFN scenarios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Therefore, if a network-assistant “HST” signalling is provided, the UE can accordingly switch between “legacy” and “modified” channel estimation approaches, and know when to start/stop blind detection for its mobility status. </w:t>
      </w:r>
    </w:p>
    <w:p w:rsidR="0010604B" w:rsidRDefault="0010604B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321380" w:rsidRPr="008267C9" w:rsidRDefault="00321380" w:rsidP="0032138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267C9">
        <w:rPr>
          <w:rFonts w:ascii="Times New Roman" w:eastAsia="SimSun" w:hAnsi="Times New Roman" w:cs="Times New Roman"/>
          <w:b/>
          <w:kern w:val="2"/>
          <w:sz w:val="24"/>
          <w:lang w:val="en-GB"/>
        </w:rPr>
        <w:t>Proposal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: </w:t>
      </w:r>
      <w:r w:rsidR="00C425EB">
        <w:rPr>
          <w:rFonts w:ascii="Times New Roman" w:eastAsia="SimSun" w:hAnsi="Times New Roman" w:cs="Times New Roman"/>
          <w:kern w:val="2"/>
          <w:sz w:val="24"/>
          <w:lang w:val="en-GB"/>
        </w:rPr>
        <w:t>A single HST scenario indicator is necessary and useful for demodulation performance enhancement purpose.</w:t>
      </w:r>
    </w:p>
    <w:p w:rsidR="00321380" w:rsidRPr="008B1A04" w:rsidRDefault="00321380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184F30" w:rsidRDefault="00184F30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this contribution,</w:t>
      </w:r>
      <w:r w:rsidR="00C425EB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we continue the discussion on the network-assisted signalling to indicate that a train is within the HST SFN area, and to help UE achieve satisfactory demodulation performance.</w:t>
      </w:r>
    </w:p>
    <w:p w:rsidR="00184F30" w:rsidRDefault="00184F3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C425EB" w:rsidRPr="008267C9" w:rsidRDefault="00C425EB" w:rsidP="00C425EB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267C9">
        <w:rPr>
          <w:rFonts w:ascii="Times New Roman" w:eastAsia="SimSun" w:hAnsi="Times New Roman" w:cs="Times New Roman"/>
          <w:b/>
          <w:kern w:val="2"/>
          <w:sz w:val="24"/>
          <w:lang w:val="en-GB"/>
        </w:rPr>
        <w:t>Proposal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: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A single HST scenario indicator is necessary and useful for demodulation performance enhancement purpose.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DOCOMO INC.,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D94FE3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[2] </w:t>
      </w:r>
      <w:r w:rsidR="000874E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R4-161635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0874E9" w:rsidRPr="000874E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Network assistance for performance enhancement in high speed scenarios</w:t>
      </w:r>
      <w:r w:rsidR="0067273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April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 2016.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[3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R4-156999, “</w:t>
      </w:r>
      <w:r w:rsidR="00C207CE" w:rsidRPr="00270F0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UE demodulation performances for high speed train scenario with SFN deployment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Nov.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[4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R4-157944, “Improvement in UE demodulation performance in SFN channel”, Qualcomm Incorporated, Nov. 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[5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R4-156001, “UE demodulation performance evaluation of the SFN channel”, Ericsson, Oct. 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[6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] R4-155657, “Evaluation of UE demodulation performance under the identified SFN scenario”, Huawei, </w:t>
      </w:r>
      <w:proofErr w:type="spellStart"/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Oct. 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[7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TR-36.878, “</w:t>
      </w:r>
      <w:r w:rsidR="00C207CE" w:rsidRPr="00015C1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Study on performance enhancements for high speed scenario in LTE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Dec. 2015.</w:t>
      </w:r>
    </w:p>
    <w:p w:rsidR="00664F36" w:rsidRDefault="00E278FE" w:rsidP="00183D78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[8] RP-161252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UE performance enhancement under SFN channel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NTT DoCoMo, Ericsson, Qualcomm, Intel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Feb. 2016.</w:t>
      </w:r>
    </w:p>
    <w:p w:rsidR="008A5206" w:rsidRDefault="008A5206" w:rsidP="008A5206">
      <w:pP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[9] R4-165032, “</w:t>
      </w:r>
      <w:r w:rsidRPr="008A5206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the network assistant signaling for enhanced RRM requirements in HST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August 2016.</w:t>
      </w:r>
    </w:p>
    <w:p w:rsidR="00D161B0" w:rsidRDefault="00D161B0" w:rsidP="00D161B0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D161B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0</w:t>
      </w:r>
      <w:r w:rsidRPr="00D161B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3GPP TS 36.331 v13.0.0: "Evolved Universal Terrest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rial Radio Access (E-UTRA): RRC".</w:t>
      </w:r>
    </w:p>
    <w:p w:rsidR="00D161B0" w:rsidRDefault="00351140" w:rsidP="008A5206">
      <w:pP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</w:t>
      </w:r>
      <w:r w:rsidR="00D161B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1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R4-165033, “</w:t>
      </w:r>
      <w:r w:rsidRPr="0035114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MCS and scenario selection, and UE demodulation performance for bidirectional HST SFN channels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August 2016.</w:t>
      </w:r>
    </w:p>
    <w:p w:rsidR="00351140" w:rsidRDefault="00351140" w:rsidP="008A5206">
      <w:pP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sectPr w:rsidR="00351140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87626CA"/>
    <w:lvl w:ilvl="0">
      <w:numFmt w:val="bullet"/>
      <w:lvlText w:val="*"/>
      <w:lvlJc w:val="left"/>
    </w:lvl>
  </w:abstractNum>
  <w:abstractNum w:abstractNumId="1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Helvetica" w:hAnsi="Helvetica" w:cs="Helvetica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7126"/>
    <w:rsid w:val="00041B74"/>
    <w:rsid w:val="00070E92"/>
    <w:rsid w:val="00073662"/>
    <w:rsid w:val="000874E9"/>
    <w:rsid w:val="000D2C73"/>
    <w:rsid w:val="0010604B"/>
    <w:rsid w:val="0017161D"/>
    <w:rsid w:val="00183D78"/>
    <w:rsid w:val="00184F30"/>
    <w:rsid w:val="00196860"/>
    <w:rsid w:val="001D7806"/>
    <w:rsid w:val="0026092D"/>
    <w:rsid w:val="002851C0"/>
    <w:rsid w:val="002F4AC2"/>
    <w:rsid w:val="00306FEB"/>
    <w:rsid w:val="00321380"/>
    <w:rsid w:val="00334AE7"/>
    <w:rsid w:val="00351140"/>
    <w:rsid w:val="0037449D"/>
    <w:rsid w:val="003817A5"/>
    <w:rsid w:val="00431FD5"/>
    <w:rsid w:val="00446F12"/>
    <w:rsid w:val="00495EA7"/>
    <w:rsid w:val="00520FD8"/>
    <w:rsid w:val="00547BE5"/>
    <w:rsid w:val="006202C4"/>
    <w:rsid w:val="00654FA6"/>
    <w:rsid w:val="00664F36"/>
    <w:rsid w:val="00672739"/>
    <w:rsid w:val="006A19A4"/>
    <w:rsid w:val="00744409"/>
    <w:rsid w:val="00753783"/>
    <w:rsid w:val="00756110"/>
    <w:rsid w:val="007620C0"/>
    <w:rsid w:val="00781381"/>
    <w:rsid w:val="008156BF"/>
    <w:rsid w:val="008267C9"/>
    <w:rsid w:val="0085301D"/>
    <w:rsid w:val="008961AA"/>
    <w:rsid w:val="008A5206"/>
    <w:rsid w:val="008C0963"/>
    <w:rsid w:val="008C319C"/>
    <w:rsid w:val="009428B5"/>
    <w:rsid w:val="00965700"/>
    <w:rsid w:val="009F7A6C"/>
    <w:rsid w:val="00A1214E"/>
    <w:rsid w:val="00A33575"/>
    <w:rsid w:val="00A3518A"/>
    <w:rsid w:val="00A74623"/>
    <w:rsid w:val="00A7694B"/>
    <w:rsid w:val="00AA1171"/>
    <w:rsid w:val="00AA1349"/>
    <w:rsid w:val="00B36C50"/>
    <w:rsid w:val="00B80C8A"/>
    <w:rsid w:val="00BA0B9E"/>
    <w:rsid w:val="00BE696F"/>
    <w:rsid w:val="00C207CE"/>
    <w:rsid w:val="00C208DC"/>
    <w:rsid w:val="00C2268D"/>
    <w:rsid w:val="00C36715"/>
    <w:rsid w:val="00C425EB"/>
    <w:rsid w:val="00C4358B"/>
    <w:rsid w:val="00CF0FE8"/>
    <w:rsid w:val="00D03361"/>
    <w:rsid w:val="00D161B0"/>
    <w:rsid w:val="00D24A6A"/>
    <w:rsid w:val="00D77BEF"/>
    <w:rsid w:val="00D92F32"/>
    <w:rsid w:val="00D94FE3"/>
    <w:rsid w:val="00D95EF5"/>
    <w:rsid w:val="00DF236B"/>
    <w:rsid w:val="00E034B4"/>
    <w:rsid w:val="00E145F9"/>
    <w:rsid w:val="00E278FE"/>
    <w:rsid w:val="00E520E2"/>
    <w:rsid w:val="00E81F13"/>
    <w:rsid w:val="00EB1336"/>
    <w:rsid w:val="00EE6341"/>
    <w:rsid w:val="00F14E22"/>
    <w:rsid w:val="00F14F89"/>
    <w:rsid w:val="00F16285"/>
    <w:rsid w:val="00F33AC3"/>
    <w:rsid w:val="00F8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874E9"/>
    <w:rPr>
      <w:color w:val="0000FF"/>
      <w:u w:val="single"/>
    </w:rPr>
  </w:style>
  <w:style w:type="paragraph" w:customStyle="1" w:styleId="PL">
    <w:name w:val="PL"/>
    <w:link w:val="PLChar"/>
    <w:rsid w:val="00D16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eastAsia="en-US"/>
    </w:rPr>
  </w:style>
  <w:style w:type="character" w:customStyle="1" w:styleId="PLChar">
    <w:name w:val="PL Char"/>
    <w:link w:val="PL"/>
    <w:rsid w:val="00D161B0"/>
    <w:rPr>
      <w:rFonts w:ascii="Courier New" w:eastAsia="SimSun" w:hAnsi="Courier New" w:cs="Times New Roman"/>
      <w:noProof/>
      <w:sz w:val="16"/>
      <w:szCs w:val="20"/>
      <w:lang w:eastAsia="en-US"/>
    </w:rPr>
  </w:style>
  <w:style w:type="paragraph" w:customStyle="1" w:styleId="TH">
    <w:name w:val="TH"/>
    <w:basedOn w:val="Normal"/>
    <w:link w:val="THChar"/>
    <w:rsid w:val="00EB1336"/>
    <w:pPr>
      <w:keepNext/>
      <w:keepLines/>
      <w:widowControl w:val="0"/>
      <w:spacing w:before="60" w:after="0" w:line="240" w:lineRule="auto"/>
      <w:jc w:val="center"/>
    </w:pPr>
    <w:rPr>
      <w:rFonts w:ascii="Arial" w:eastAsia="SimSun" w:hAnsi="Arial" w:cs="Times New Roman"/>
      <w:b/>
      <w:lang w:val="x-none" w:eastAsia="x-none"/>
    </w:rPr>
  </w:style>
  <w:style w:type="character" w:customStyle="1" w:styleId="THChar">
    <w:name w:val="TH Char"/>
    <w:link w:val="TH"/>
    <w:locked/>
    <w:rsid w:val="00EB1336"/>
    <w:rPr>
      <w:rFonts w:ascii="Arial" w:eastAsia="SimSun" w:hAnsi="Arial" w:cs="Times New Roman"/>
      <w:b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700</Words>
  <Characters>4234</Characters>
  <Application>Microsoft Office Word</Application>
  <DocSecurity>0</DocSecurity>
  <Lines>94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78</cp:revision>
  <dcterms:created xsi:type="dcterms:W3CDTF">2016-02-08T14:26:00Z</dcterms:created>
  <dcterms:modified xsi:type="dcterms:W3CDTF">2016-08-12T20:44:00Z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02a4dd4e-7954-4a93-bd42-0d47e3713000</vt:lpwstr>
  </property>
  <property fmtid="{D5CDD505-2E9C-101B-9397-08002B2CF9AE}" pid="3" name="CTP_TimeStamp">
    <vt:lpwstr>2016-08-12 20:44:54Z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