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212D84">
        <w:rPr>
          <w:b/>
          <w:noProof/>
          <w:sz w:val="24"/>
          <w:szCs w:val="24"/>
          <w:lang w:eastAsia="ko-KR"/>
        </w:rPr>
        <w:t>164411</w:t>
      </w:r>
    </w:p>
    <w:p w:rsidR="00E2462A" w:rsidRDefault="00E2462A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Nanjing, China, 23</w:t>
      </w:r>
      <w:r w:rsidRPr="006F0C6D"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/>
          <w:b/>
          <w:noProof/>
          <w:sz w:val="24"/>
        </w:rPr>
        <w:t xml:space="preserve"> – 27</w:t>
      </w:r>
      <w:r w:rsidRPr="006F0C6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>, May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A4A73" w:rsidRPr="00CA4A73">
        <w:rPr>
          <w:rFonts w:ascii="Arial" w:hAnsi="Arial" w:cs="Arial"/>
          <w:sz w:val="24"/>
          <w:szCs w:val="24"/>
        </w:rPr>
        <w:t>6.13.4.7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08021B" w:rsidRPr="0008021B">
        <w:rPr>
          <w:rFonts w:ascii="Arial" w:hAnsi="Arial" w:cs="Arial"/>
          <w:sz w:val="24"/>
          <w:szCs w:val="24"/>
        </w:rPr>
        <w:t>On Power headroom reporting for NB-</w:t>
      </w:r>
      <w:proofErr w:type="spellStart"/>
      <w:r w:rsidR="0008021B" w:rsidRPr="0008021B">
        <w:rPr>
          <w:rFonts w:ascii="Arial" w:hAnsi="Arial" w:cs="Arial"/>
          <w:sz w:val="24"/>
          <w:szCs w:val="24"/>
        </w:rPr>
        <w:t>IoT</w:t>
      </w:r>
      <w:proofErr w:type="spellEnd"/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9E04DF">
        <w:rPr>
          <w:rFonts w:ascii="Arial" w:hAnsi="Arial" w:cs="Arial"/>
          <w:sz w:val="24"/>
          <w:szCs w:val="24"/>
          <w:lang w:eastAsia="ko-KR"/>
        </w:rPr>
        <w:t>Approval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B31958" w:rsidRDefault="0008021B" w:rsidP="009A69CC">
      <w:pPr>
        <w:rPr>
          <w:rFonts w:cs="v4.2.0"/>
        </w:rPr>
      </w:pPr>
      <w:r>
        <w:rPr>
          <w:rFonts w:cs="v4.2.0"/>
        </w:rPr>
        <w:t>RAN1 discussed power head room (PHR) reporting as agreed the following:</w:t>
      </w:r>
    </w:p>
    <w:p w:rsidR="0008021B" w:rsidRDefault="0008021B" w:rsidP="0008021B">
      <w:pPr>
        <w:pStyle w:val="LGTdoc"/>
        <w:numPr>
          <w:ilvl w:val="0"/>
          <w:numId w:val="40"/>
        </w:numPr>
        <w:spacing w:line="240" w:lineRule="auto"/>
        <w:ind w:left="116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NB-</w:t>
      </w:r>
      <w:r>
        <w:rPr>
          <w:sz w:val="20"/>
          <w:szCs w:val="20"/>
          <w:lang w:val="en-GB"/>
        </w:rPr>
        <w:t xml:space="preserve">PHR </w:t>
      </w:r>
      <w:r>
        <w:rPr>
          <w:sz w:val="20"/>
          <w:szCs w:val="20"/>
          <w:lang w:val="en-GB" w:eastAsia="zh-CN"/>
        </w:rPr>
        <w:t>is</w:t>
      </w:r>
      <w:r>
        <w:rPr>
          <w:sz w:val="20"/>
          <w:szCs w:val="20"/>
          <w:lang w:val="en-GB"/>
        </w:rPr>
        <w:t xml:space="preserve"> computed </w:t>
      </w:r>
      <w:r>
        <w:rPr>
          <w:sz w:val="20"/>
          <w:szCs w:val="20"/>
          <w:lang w:val="en-GB" w:eastAsia="zh-CN"/>
        </w:rPr>
        <w:t xml:space="preserve">based on a 15kHz single-tone transmit power for NB-PUSCH data transmission regardless of the actual subcarrier spacing:        </w:t>
      </w:r>
      <w:r>
        <w:rPr>
          <w:sz w:val="20"/>
          <w:szCs w:val="20"/>
          <w:lang w:val="en-GB" w:eastAsia="zh-CN"/>
        </w:rPr>
        <w:br/>
      </w:r>
      <w:r>
        <w:rPr>
          <w:sz w:val="20"/>
          <w:szCs w:val="20"/>
        </w:rPr>
        <w:t>PH</w:t>
      </w:r>
      <w:r>
        <w:rPr>
          <w:sz w:val="20"/>
          <w:szCs w:val="20"/>
          <w:lang w:eastAsia="ja-JP"/>
        </w:rPr>
        <w:t>(</w:t>
      </w:r>
      <w:proofErr w:type="spellStart"/>
      <w:r>
        <w:rPr>
          <w:sz w:val="20"/>
          <w:szCs w:val="20"/>
          <w:lang w:eastAsia="ja-JP"/>
        </w:rPr>
        <w:t>i</w:t>
      </w:r>
      <w:proofErr w:type="spellEnd"/>
      <w:r>
        <w:rPr>
          <w:sz w:val="20"/>
          <w:szCs w:val="20"/>
          <w:lang w:eastAsia="ja-JP"/>
        </w:rPr>
        <w:t>)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ja-JP"/>
        </w:rPr>
        <w:t>=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  <w:lang w:eastAsia="ja-JP"/>
        </w:rPr>
        <w:t>P</w:t>
      </w:r>
      <w:r>
        <w:rPr>
          <w:sz w:val="20"/>
          <w:szCs w:val="20"/>
          <w:vertAlign w:val="subscript"/>
          <w:lang w:eastAsia="ja-JP"/>
        </w:rPr>
        <w:t>CMAX,c</w:t>
      </w:r>
      <w:proofErr w:type="spellEnd"/>
      <w:r>
        <w:rPr>
          <w:sz w:val="20"/>
          <w:szCs w:val="20"/>
          <w:lang w:eastAsia="ja-JP"/>
        </w:rPr>
        <w:t>(</w:t>
      </w:r>
      <w:proofErr w:type="spellStart"/>
      <w:r>
        <w:rPr>
          <w:sz w:val="20"/>
          <w:szCs w:val="20"/>
          <w:lang w:eastAsia="ja-JP"/>
        </w:rPr>
        <w:t>i</w:t>
      </w:r>
      <w:proofErr w:type="spellEnd"/>
      <w:r>
        <w:rPr>
          <w:sz w:val="20"/>
          <w:szCs w:val="20"/>
          <w:lang w:eastAsia="ja-JP"/>
        </w:rPr>
        <w:t>)</w:t>
      </w:r>
      <w:r>
        <w:rPr>
          <w:sz w:val="20"/>
          <w:szCs w:val="20"/>
        </w:rPr>
        <w:t>-</w:t>
      </w:r>
      <w:r>
        <w:rPr>
          <w:sz w:val="20"/>
          <w:szCs w:val="20"/>
          <w:lang w:eastAsia="ja-JP"/>
        </w:rPr>
        <w:t>{</w:t>
      </w:r>
      <w:proofErr w:type="spellStart"/>
      <w:r>
        <w:rPr>
          <w:sz w:val="20"/>
          <w:szCs w:val="20"/>
          <w:lang w:eastAsia="ja-JP"/>
        </w:rPr>
        <w:t>P</w:t>
      </w:r>
      <w:r>
        <w:rPr>
          <w:sz w:val="20"/>
          <w:szCs w:val="20"/>
          <w:vertAlign w:val="subscript"/>
          <w:lang w:eastAsia="ja-JP"/>
        </w:rPr>
        <w:t>O_NPUSCH,c</w:t>
      </w:r>
      <w:proofErr w:type="spellEnd"/>
      <w:r>
        <w:rPr>
          <w:sz w:val="20"/>
          <w:szCs w:val="20"/>
          <w:lang w:eastAsia="ja-JP"/>
        </w:rPr>
        <w:t>(</w:t>
      </w:r>
      <w:r>
        <w:rPr>
          <w:sz w:val="20"/>
          <w:szCs w:val="20"/>
        </w:rPr>
        <w:t>1</w:t>
      </w:r>
      <w:r>
        <w:rPr>
          <w:sz w:val="20"/>
          <w:szCs w:val="20"/>
          <w:lang w:eastAsia="ja-JP"/>
        </w:rPr>
        <w:t>)+α</w:t>
      </w:r>
      <w:r>
        <w:rPr>
          <w:sz w:val="20"/>
          <w:szCs w:val="20"/>
          <w:vertAlign w:val="subscript"/>
          <w:lang w:eastAsia="ja-JP"/>
        </w:rPr>
        <w:t>c</w:t>
      </w:r>
      <w:r>
        <w:rPr>
          <w:sz w:val="20"/>
          <w:szCs w:val="20"/>
          <w:lang w:eastAsia="ja-JP"/>
        </w:rPr>
        <w:t>(</w:t>
      </w:r>
      <w:r>
        <w:rPr>
          <w:sz w:val="20"/>
          <w:szCs w:val="20"/>
        </w:rPr>
        <w:t>1</w:t>
      </w:r>
      <w:r>
        <w:rPr>
          <w:sz w:val="20"/>
          <w:szCs w:val="20"/>
          <w:lang w:eastAsia="ja-JP"/>
        </w:rPr>
        <w:t>)</w:t>
      </w:r>
      <w:r>
        <w:rPr>
          <w:sz w:val="20"/>
          <w:szCs w:val="20"/>
        </w:rPr>
        <w:t>∙</w:t>
      </w:r>
      <w:proofErr w:type="spellStart"/>
      <w:r>
        <w:rPr>
          <w:sz w:val="20"/>
          <w:szCs w:val="20"/>
          <w:lang w:eastAsia="ja-JP"/>
        </w:rPr>
        <w:t>PL</w:t>
      </w:r>
      <w:r>
        <w:rPr>
          <w:sz w:val="20"/>
          <w:szCs w:val="20"/>
          <w:vertAlign w:val="subscript"/>
          <w:lang w:eastAsia="ja-JP"/>
        </w:rPr>
        <w:t>c</w:t>
      </w:r>
      <w:proofErr w:type="spellEnd"/>
      <w:r>
        <w:rPr>
          <w:sz w:val="20"/>
          <w:szCs w:val="20"/>
          <w:lang w:eastAsia="ja-JP"/>
        </w:rPr>
        <w:t>}</w:t>
      </w:r>
    </w:p>
    <w:p w:rsidR="0008021B" w:rsidRDefault="0008021B" w:rsidP="0008021B">
      <w:pPr>
        <w:pStyle w:val="LGTdoc"/>
        <w:numPr>
          <w:ilvl w:val="0"/>
          <w:numId w:val="40"/>
        </w:numPr>
        <w:spacing w:line="240" w:lineRule="auto"/>
        <w:ind w:left="116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There will be 4 reportable values of PHR</w:t>
      </w:r>
    </w:p>
    <w:p w:rsidR="0008021B" w:rsidRPr="0008021B" w:rsidRDefault="0008021B" w:rsidP="0008021B">
      <w:pPr>
        <w:pStyle w:val="LGTdoc"/>
        <w:numPr>
          <w:ilvl w:val="0"/>
          <w:numId w:val="40"/>
        </w:numPr>
        <w:spacing w:line="240" w:lineRule="auto"/>
        <w:ind w:left="1160"/>
        <w:rPr>
          <w:sz w:val="20"/>
          <w:szCs w:val="20"/>
          <w:lang w:val="en-GB" w:eastAsia="zh-CN"/>
        </w:rPr>
      </w:pPr>
      <w:r w:rsidRPr="0008021B">
        <w:rPr>
          <w:sz w:val="20"/>
          <w:szCs w:val="20"/>
          <w:lang w:val="en-GB" w:eastAsia="zh-CN"/>
        </w:rPr>
        <w:t xml:space="preserve">Exact values to be determined by RAN4 and specified in 36.133. </w:t>
      </w:r>
    </w:p>
    <w:p w:rsidR="0008021B" w:rsidRDefault="0008021B" w:rsidP="009A69CC">
      <w:pPr>
        <w:rPr>
          <w:rFonts w:cs="v4.2.0"/>
        </w:rPr>
      </w:pPr>
    </w:p>
    <w:p w:rsidR="0008021B" w:rsidRPr="002C76FD" w:rsidRDefault="0008021B" w:rsidP="009A69CC">
      <w:pPr>
        <w:rPr>
          <w:rFonts w:cs="v4.2.0"/>
        </w:rPr>
      </w:pPr>
      <w:r>
        <w:rPr>
          <w:rFonts w:cs="v4.2.0"/>
        </w:rPr>
        <w:t xml:space="preserve">RAN4 </w:t>
      </w:r>
      <w:r w:rsidR="00AC66B5">
        <w:rPr>
          <w:rFonts w:cs="v4.2.0"/>
        </w:rPr>
        <w:t xml:space="preserve">should discuss and </w:t>
      </w:r>
      <w:r>
        <w:rPr>
          <w:rFonts w:cs="v4.2.0"/>
        </w:rPr>
        <w:t>determine the PHR reporting values/ranges. This paper makes a proposal on PHR reporting in 36.133.</w:t>
      </w: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08021B">
        <w:rPr>
          <w:lang w:val="en-US" w:eastAsia="ko-KR"/>
        </w:rPr>
        <w:t>LTE P</w:t>
      </w:r>
      <w:r w:rsidR="009927B2">
        <w:rPr>
          <w:lang w:val="en-US" w:eastAsia="ko-KR"/>
        </w:rPr>
        <w:t>ower Headroom Report</w:t>
      </w:r>
      <w:r w:rsidR="0008021B">
        <w:rPr>
          <w:lang w:val="en-US" w:eastAsia="ko-KR"/>
        </w:rPr>
        <w:t xml:space="preserve"> Mapping</w:t>
      </w:r>
    </w:p>
    <w:p w:rsidR="0008021B" w:rsidRDefault="0008021B" w:rsidP="0008021B">
      <w:r>
        <w:t xml:space="preserve">The power headroom reporting range is from -23 ...+40 </w:t>
      </w:r>
      <w:proofErr w:type="spellStart"/>
      <w:r>
        <w:t>dB.</w:t>
      </w:r>
      <w:proofErr w:type="spellEnd"/>
      <w:r>
        <w:t xml:space="preserve"> Table </w:t>
      </w:r>
      <w:r w:rsidR="008F20C0">
        <w:t xml:space="preserve">9.1.8.4-1 </w:t>
      </w:r>
      <w:r w:rsidR="000F782D">
        <w:t xml:space="preserve">in </w:t>
      </w:r>
      <w:r w:rsidR="00E6401E">
        <w:t xml:space="preserve">section 9.1.8.4 in </w:t>
      </w:r>
      <w:r w:rsidR="000F782D">
        <w:t>[1]</w:t>
      </w:r>
      <w:r>
        <w:t xml:space="preserve"> defines the report mapping</w:t>
      </w:r>
      <w:r w:rsidR="00704D3D">
        <w:t xml:space="preserve"> as follows</w:t>
      </w:r>
      <w:r w:rsidR="003B0C26">
        <w:t>:</w:t>
      </w:r>
    </w:p>
    <w:p w:rsidR="0008021B" w:rsidRPr="0008021B" w:rsidRDefault="0008021B" w:rsidP="0008021B">
      <w:pPr>
        <w:pStyle w:val="TH"/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</w:pPr>
      <w:r w:rsidRPr="0008021B"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  <w:t>Table 1: Power headroom report mapping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Measured quantity value (dB)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-23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-22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-22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-21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-21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-20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-20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-19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-19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-18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-18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-17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BC"/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BC"/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34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35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35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36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POWER_HEADROOM_59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36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37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37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38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38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39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39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PH </w:t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3C"/>
            </w: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40</w:t>
            </w:r>
          </w:p>
        </w:tc>
      </w:tr>
      <w:tr w:rsidR="0008021B" w:rsidRPr="0008021B" w:rsidTr="0008021B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POWER_HEADROOM_63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1B" w:rsidRPr="0008021B" w:rsidRDefault="0008021B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PH ≥ 40 </w:t>
            </w:r>
          </w:p>
        </w:tc>
      </w:tr>
    </w:tbl>
    <w:p w:rsidR="0008021B" w:rsidRDefault="0008021B" w:rsidP="00913C1D">
      <w:pPr>
        <w:rPr>
          <w:lang w:val="en-US" w:eastAsia="ko-KR"/>
        </w:rPr>
      </w:pPr>
    </w:p>
    <w:p w:rsidR="009927B2" w:rsidRDefault="00B352FC" w:rsidP="009927B2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9927B2">
        <w:rPr>
          <w:rFonts w:hint="eastAsia"/>
          <w:lang w:val="en-US" w:eastAsia="ko-KR"/>
        </w:rPr>
        <w:tab/>
      </w:r>
      <w:r w:rsidR="009927B2">
        <w:rPr>
          <w:lang w:val="en-US" w:eastAsia="ko-KR"/>
        </w:rPr>
        <w:t>NB-</w:t>
      </w:r>
      <w:proofErr w:type="spellStart"/>
      <w:r w:rsidR="009927B2">
        <w:rPr>
          <w:lang w:val="en-US" w:eastAsia="ko-KR"/>
        </w:rPr>
        <w:t>IoT</w:t>
      </w:r>
      <w:proofErr w:type="spellEnd"/>
      <w:r w:rsidR="009927B2">
        <w:rPr>
          <w:lang w:val="en-US" w:eastAsia="ko-KR"/>
        </w:rPr>
        <w:t xml:space="preserve"> Power Headroom Report Mapping</w:t>
      </w:r>
    </w:p>
    <w:p w:rsidR="009927B2" w:rsidRDefault="009927B2" w:rsidP="009927B2">
      <w:pPr>
        <w:rPr>
          <w:rFonts w:eastAsiaTheme="minorHAnsi"/>
          <w:sz w:val="18"/>
          <w:szCs w:val="18"/>
          <w:lang w:val="en-US"/>
        </w:rPr>
      </w:pPr>
      <w:r>
        <w:rPr>
          <w:sz w:val="18"/>
          <w:szCs w:val="18"/>
        </w:rPr>
        <w:t xml:space="preserve">The power headroom reporting range is from -23 ...+40 </w:t>
      </w:r>
      <w:proofErr w:type="spellStart"/>
      <w:r>
        <w:rPr>
          <w:sz w:val="18"/>
          <w:szCs w:val="18"/>
        </w:rPr>
        <w:t>dB.</w:t>
      </w:r>
      <w:proofErr w:type="spellEnd"/>
      <w:r>
        <w:rPr>
          <w:sz w:val="18"/>
          <w:szCs w:val="18"/>
        </w:rPr>
        <w:t xml:space="preserve"> </w:t>
      </w:r>
      <w:r w:rsidR="00713311">
        <w:rPr>
          <w:sz w:val="18"/>
          <w:szCs w:val="18"/>
        </w:rPr>
        <w:t>The following table is the proposed</w:t>
      </w:r>
      <w:r>
        <w:rPr>
          <w:sz w:val="18"/>
          <w:szCs w:val="18"/>
        </w:rPr>
        <w:t xml:space="preserve"> </w:t>
      </w:r>
      <w:r w:rsidR="00713311">
        <w:rPr>
          <w:sz w:val="18"/>
          <w:szCs w:val="18"/>
        </w:rPr>
        <w:t>report mapping for NB-</w:t>
      </w:r>
      <w:proofErr w:type="spellStart"/>
      <w:r w:rsidR="00713311">
        <w:rPr>
          <w:sz w:val="18"/>
          <w:szCs w:val="18"/>
        </w:rPr>
        <w:t>IoT</w:t>
      </w:r>
      <w:proofErr w:type="spellEnd"/>
      <w:r w:rsidR="001C0BBF">
        <w:rPr>
          <w:sz w:val="18"/>
          <w:szCs w:val="18"/>
        </w:rPr>
        <w:t>. W</w:t>
      </w:r>
      <w:r w:rsidR="001C0BBF" w:rsidRPr="001C0BBF">
        <w:rPr>
          <w:sz w:val="18"/>
          <w:szCs w:val="18"/>
        </w:rPr>
        <w:t xml:space="preserve">e don’t need </w:t>
      </w:r>
      <w:r w:rsidR="001C0BBF">
        <w:rPr>
          <w:sz w:val="18"/>
          <w:szCs w:val="18"/>
        </w:rPr>
        <w:t>lot of</w:t>
      </w:r>
      <w:r w:rsidR="001C0BBF" w:rsidRPr="001C0BBF">
        <w:rPr>
          <w:sz w:val="18"/>
          <w:szCs w:val="18"/>
        </w:rPr>
        <w:t xml:space="preserve"> granularity after 10 dB </w:t>
      </w:r>
      <w:r w:rsidR="001C0BBF">
        <w:rPr>
          <w:sz w:val="18"/>
          <w:szCs w:val="18"/>
        </w:rPr>
        <w:t>since only</w:t>
      </w:r>
      <w:r w:rsidR="001C0BBF" w:rsidRPr="001C0BBF">
        <w:rPr>
          <w:sz w:val="18"/>
          <w:szCs w:val="18"/>
        </w:rPr>
        <w:t xml:space="preserve"> QPSK</w:t>
      </w:r>
      <w:r w:rsidR="001C0BBF">
        <w:rPr>
          <w:sz w:val="18"/>
          <w:szCs w:val="18"/>
        </w:rPr>
        <w:t xml:space="preserve"> modulation is supported for Category NB1.</w:t>
      </w:r>
    </w:p>
    <w:p w:rsidR="009927B2" w:rsidRPr="002958C0" w:rsidRDefault="009927B2" w:rsidP="009927B2">
      <w:pPr>
        <w:pStyle w:val="TH"/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</w:pPr>
      <w:r w:rsidRPr="002958C0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lastRenderedPageBreak/>
        <w:t>Table 2: NB-</w:t>
      </w:r>
      <w:proofErr w:type="spellStart"/>
      <w:r w:rsidRPr="002958C0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t>IoT</w:t>
      </w:r>
      <w:proofErr w:type="spellEnd"/>
      <w:r w:rsidRPr="002958C0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t xml:space="preserve"> Power headroom report mapping</w:t>
      </w:r>
    </w:p>
    <w:tbl>
      <w:tblPr>
        <w:tblW w:w="6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2888"/>
      </w:tblGrid>
      <w:tr w:rsidR="009927B2" w:rsidRPr="002958C0" w:rsidTr="001B6614">
        <w:trPr>
          <w:jc w:val="center"/>
        </w:trPr>
        <w:tc>
          <w:tcPr>
            <w:tcW w:w="3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2958C0" w:rsidRDefault="009927B2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2958C0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Reported value</w:t>
            </w:r>
          </w:p>
        </w:tc>
        <w:tc>
          <w:tcPr>
            <w:tcW w:w="2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2958C0" w:rsidRDefault="009927B2" w:rsidP="001B6614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2958C0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Measured quantity value (dB)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POWER_HEADROOM_0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-23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 w:rsidR="00713311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PH &lt; 3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POWER_HEADROOM_1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713311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3</w:t>
            </w:r>
            <w:r w:rsidR="009927B2"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PH &lt; 6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POWER_HEADROOM_2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713311" w:rsidP="00B352FC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6</w:t>
            </w:r>
            <w:r w:rsidR="009927B2"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</w:t>
            </w:r>
            <w:r w:rsidR="00B352FC" w:rsidRPr="0008021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A3"/>
            </w:r>
            <w:r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 xml:space="preserve"> PH &lt; 1</w:t>
            </w:r>
            <w:r w:rsidR="009927B2" w:rsidRPr="009927B2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0</w:t>
            </w:r>
          </w:p>
        </w:tc>
      </w:tr>
      <w:tr w:rsidR="009927B2" w:rsidRPr="009927B2" w:rsidTr="001B6614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  <w:t>POWER_HEADROOM_3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9927B2" w:rsidRDefault="009927B2" w:rsidP="001B6614">
            <w:pPr>
              <w:pStyle w:val="T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</w:pPr>
            <w:r w:rsidRPr="009927B2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  <w:t xml:space="preserve">PH </w:t>
            </w:r>
            <w:r w:rsidR="00713311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  <w:t>≥ 1</w:t>
            </w:r>
            <w:r w:rsidRPr="009927B2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18"/>
                <w:szCs w:val="18"/>
                <w:lang w:eastAsia="en-US"/>
              </w:rPr>
              <w:t>0</w:t>
            </w:r>
          </w:p>
        </w:tc>
      </w:tr>
    </w:tbl>
    <w:p w:rsidR="0008021B" w:rsidRDefault="0008021B" w:rsidP="00913C1D">
      <w:pPr>
        <w:rPr>
          <w:lang w:val="en-US" w:eastAsia="ko-KR"/>
        </w:rPr>
      </w:pPr>
    </w:p>
    <w:p w:rsidR="0008021B" w:rsidRPr="00FA0E26" w:rsidRDefault="00B352FC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made the following </w:t>
      </w:r>
      <w:r w:rsidR="0008021B">
        <w:rPr>
          <w:lang w:val="en-US" w:eastAsia="ko-KR"/>
        </w:rPr>
        <w:t>proposal</w:t>
      </w:r>
      <w:r w:rsidR="00AE2E96" w:rsidRPr="00377307">
        <w:rPr>
          <w:lang w:val="en-US" w:eastAsia="ko-KR"/>
        </w:rPr>
        <w:t xml:space="preserve"> on </w:t>
      </w:r>
      <w:r w:rsidR="0008021B">
        <w:rPr>
          <w:lang w:val="en-US" w:eastAsia="ko-KR"/>
        </w:rPr>
        <w:t>PHR report mapping</w:t>
      </w:r>
      <w:r w:rsidR="00AE2E96" w:rsidRPr="00377307">
        <w:rPr>
          <w:lang w:val="en-US" w:eastAsia="ko-KR"/>
        </w:rPr>
        <w:t xml:space="preserve"> for NB-IOT:</w:t>
      </w:r>
    </w:p>
    <w:p w:rsidR="00DF0858" w:rsidRDefault="00DF0858" w:rsidP="00DF0858">
      <w:pPr>
        <w:rPr>
          <w:rFonts w:cs="v4.2.0"/>
          <w:b/>
        </w:rPr>
      </w:pPr>
      <w:r>
        <w:rPr>
          <w:b/>
          <w:lang w:val="en-US" w:eastAsia="ko-KR"/>
        </w:rPr>
        <w:t>Proposal</w:t>
      </w:r>
      <w:r w:rsidRPr="009748EE">
        <w:rPr>
          <w:b/>
          <w:lang w:val="en-US" w:eastAsia="ko-KR"/>
        </w:rPr>
        <w:t xml:space="preserve">: </w:t>
      </w:r>
      <w:r w:rsidRPr="009748EE">
        <w:rPr>
          <w:rFonts w:cs="v4.2.0"/>
          <w:b/>
        </w:rPr>
        <w:t xml:space="preserve">The </w:t>
      </w:r>
      <w:r>
        <w:rPr>
          <w:rFonts w:cs="v4.2.0"/>
          <w:b/>
        </w:rPr>
        <w:t>NB-</w:t>
      </w:r>
      <w:proofErr w:type="spellStart"/>
      <w:r>
        <w:rPr>
          <w:rFonts w:cs="v4.2.0"/>
          <w:b/>
        </w:rPr>
        <w:t>IoT</w:t>
      </w:r>
      <w:proofErr w:type="spellEnd"/>
      <w:r>
        <w:rPr>
          <w:rFonts w:cs="v4.2.0"/>
          <w:b/>
        </w:rPr>
        <w:t xml:space="preserve"> </w:t>
      </w:r>
      <w:r w:rsidR="00730C03">
        <w:rPr>
          <w:rFonts w:cs="v4.2.0"/>
          <w:b/>
        </w:rPr>
        <w:t xml:space="preserve">PHR report mapping can be </w:t>
      </w:r>
      <w:r w:rsidR="00EF5FD2">
        <w:rPr>
          <w:rFonts w:cs="v4.2.0"/>
          <w:b/>
        </w:rPr>
        <w:t xml:space="preserve">specified </w:t>
      </w:r>
      <w:r w:rsidR="00730C03">
        <w:rPr>
          <w:rFonts w:cs="v4.2.0"/>
          <w:b/>
        </w:rPr>
        <w:t>as follows:</w:t>
      </w:r>
    </w:p>
    <w:p w:rsidR="009927B2" w:rsidRPr="00B352FC" w:rsidRDefault="009927B2" w:rsidP="009927B2">
      <w:pPr>
        <w:pStyle w:val="TH"/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</w:pPr>
      <w:bookmarkStart w:id="1" w:name="_GoBack"/>
      <w:bookmarkEnd w:id="1"/>
      <w:r w:rsidRPr="00B352FC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t>Table 2: NB-</w:t>
      </w:r>
      <w:proofErr w:type="spellStart"/>
      <w:r w:rsidRPr="00B352FC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t>IoT</w:t>
      </w:r>
      <w:proofErr w:type="spellEnd"/>
      <w:r w:rsidRPr="00B352FC">
        <w:rPr>
          <w:rFonts w:ascii="Times New Roman" w:eastAsia="Malgun Gothic" w:hAnsi="Times New Roman" w:cs="Times New Roman"/>
          <w:color w:val="auto"/>
          <w:kern w:val="0"/>
          <w:sz w:val="18"/>
          <w:szCs w:val="18"/>
          <w:lang w:eastAsia="en-US"/>
        </w:rPr>
        <w:t xml:space="preserve"> Power headroom report mapping</w:t>
      </w:r>
    </w:p>
    <w:tbl>
      <w:tblPr>
        <w:tblW w:w="6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2888"/>
      </w:tblGrid>
      <w:tr w:rsidR="009927B2" w:rsidRPr="00B352FC" w:rsidTr="009927B2">
        <w:trPr>
          <w:jc w:val="center"/>
        </w:trPr>
        <w:tc>
          <w:tcPr>
            <w:tcW w:w="3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Reported value</w:t>
            </w:r>
          </w:p>
        </w:tc>
        <w:tc>
          <w:tcPr>
            <w:tcW w:w="2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27B2" w:rsidRPr="00B352FC" w:rsidRDefault="009927B2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color w:val="auto"/>
                <w:kern w:val="0"/>
                <w:szCs w:val="18"/>
                <w:lang w:eastAsia="en-US"/>
              </w:rPr>
              <w:t>Measured quantity value (dB)</w:t>
            </w:r>
          </w:p>
        </w:tc>
      </w:tr>
      <w:tr w:rsidR="00713311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B352FC" w:rsidRDefault="00713311" w:rsidP="00713311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>POWER_HEADROOM_0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713311" w:rsidRDefault="00713311" w:rsidP="00713311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-23 </w:t>
            </w: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 PH &lt; 3</w:t>
            </w:r>
          </w:p>
        </w:tc>
      </w:tr>
      <w:tr w:rsidR="00713311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B352FC" w:rsidRDefault="00713311" w:rsidP="00713311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>POWER_HEADROOM_1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713311" w:rsidRDefault="00713311" w:rsidP="00713311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3 </w:t>
            </w: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 PH &lt; 6</w:t>
            </w:r>
          </w:p>
        </w:tc>
      </w:tr>
      <w:tr w:rsidR="00713311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B352FC" w:rsidRDefault="00713311" w:rsidP="00713311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>POWER_HEADROOM_2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713311" w:rsidRDefault="00713311" w:rsidP="00713311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</w:pP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6 </w:t>
            </w: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  <w:lang w:eastAsia="en-US"/>
              </w:rPr>
              <w:sym w:font="Symbol" w:char="F0A3"/>
            </w:r>
            <w:r w:rsidRPr="00713311">
              <w:rPr>
                <w:rFonts w:ascii="Times New Roman" w:eastAsia="Malgun Gothic" w:hAnsi="Times New Roman" w:cs="Times New Roman"/>
                <w:b/>
                <w:color w:val="auto"/>
                <w:kern w:val="0"/>
                <w:szCs w:val="18"/>
                <w:lang w:eastAsia="en-US"/>
              </w:rPr>
              <w:t xml:space="preserve"> PH &lt; 10</w:t>
            </w:r>
          </w:p>
        </w:tc>
      </w:tr>
      <w:tr w:rsidR="00713311" w:rsidRPr="00B352FC" w:rsidTr="009927B2">
        <w:trPr>
          <w:jc w:val="center"/>
        </w:trPr>
        <w:tc>
          <w:tcPr>
            <w:tcW w:w="3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B352FC" w:rsidRDefault="00713311" w:rsidP="00713311">
            <w:pPr>
              <w:pStyle w:val="TH"/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</w:pPr>
            <w:r w:rsidRPr="00B352FC"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  <w:t>POWER_HEADROOM_3</w:t>
            </w:r>
          </w:p>
        </w:tc>
        <w:tc>
          <w:tcPr>
            <w:tcW w:w="2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3311" w:rsidRPr="00713311" w:rsidRDefault="00713311" w:rsidP="00713311">
            <w:pPr>
              <w:pStyle w:val="TH"/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</w:pPr>
            <w:r w:rsidRPr="00713311">
              <w:rPr>
                <w:rFonts w:ascii="Times New Roman" w:eastAsia="Malgun Gothic" w:hAnsi="Times New Roman" w:cs="Times New Roman"/>
                <w:color w:val="auto"/>
                <w:kern w:val="0"/>
                <w:sz w:val="18"/>
                <w:szCs w:val="18"/>
                <w:lang w:eastAsia="en-US"/>
              </w:rPr>
              <w:t>PH ≥ 10</w:t>
            </w:r>
          </w:p>
        </w:tc>
      </w:tr>
    </w:tbl>
    <w:p w:rsidR="00730C03" w:rsidRDefault="00730C03" w:rsidP="00DF0858">
      <w:pPr>
        <w:rPr>
          <w:rFonts w:cs="v4.2.0"/>
          <w:b/>
        </w:rPr>
      </w:pPr>
    </w:p>
    <w:p w:rsidR="003E5671" w:rsidRPr="003E5671" w:rsidRDefault="005D42D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E16C01" w:rsidRDefault="00736866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>
        <w:t>TS36.133</w:t>
      </w:r>
      <w:r w:rsidR="009B6738">
        <w:t xml:space="preserve"> v13.2.0</w:t>
      </w:r>
      <w:r w:rsidR="00E16C01">
        <w:t>, “</w:t>
      </w:r>
      <w:r w:rsidR="009B6738">
        <w:t>Requirements for support of radio resource management”</w:t>
      </w:r>
      <w:r w:rsidR="00E16C01">
        <w:t xml:space="preserve"> </w:t>
      </w:r>
    </w:p>
    <w:bookmarkEnd w:id="2"/>
    <w:bookmarkEnd w:id="3"/>
    <w:bookmarkEnd w:id="4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F41" w:rsidRDefault="00264F41">
      <w:r>
        <w:separator/>
      </w:r>
    </w:p>
    <w:p w:rsidR="00264F41" w:rsidRDefault="00264F41"/>
  </w:endnote>
  <w:endnote w:type="continuationSeparator" w:id="0">
    <w:p w:rsidR="00264F41" w:rsidRDefault="00264F41">
      <w:r>
        <w:continuationSeparator/>
      </w:r>
    </w:p>
    <w:p w:rsidR="00264F41" w:rsidRDefault="00264F41"/>
  </w:endnote>
  <w:endnote w:type="continuationNotice" w:id="1">
    <w:p w:rsidR="00264F41" w:rsidRDefault="00264F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1FCE">
      <w:rPr>
        <w:rStyle w:val="PageNumber"/>
      </w:rPr>
      <w:t>2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F41" w:rsidRDefault="00264F41">
      <w:r>
        <w:separator/>
      </w:r>
    </w:p>
    <w:p w:rsidR="00264F41" w:rsidRDefault="00264F41"/>
  </w:footnote>
  <w:footnote w:type="continuationSeparator" w:id="0">
    <w:p w:rsidR="00264F41" w:rsidRDefault="00264F41">
      <w:r>
        <w:continuationSeparator/>
      </w:r>
    </w:p>
    <w:p w:rsidR="00264F41" w:rsidRDefault="00264F41"/>
  </w:footnote>
  <w:footnote w:type="continuationNotice" w:id="1">
    <w:p w:rsidR="00264F41" w:rsidRDefault="00264F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37"/>
  </w:num>
  <w:num w:numId="3">
    <w:abstractNumId w:val="26"/>
  </w:num>
  <w:num w:numId="4">
    <w:abstractNumId w:val="22"/>
  </w:num>
  <w:num w:numId="5">
    <w:abstractNumId w:val="31"/>
  </w:num>
  <w:num w:numId="6">
    <w:abstractNumId w:val="29"/>
  </w:num>
  <w:num w:numId="7">
    <w:abstractNumId w:val="2"/>
  </w:num>
  <w:num w:numId="8">
    <w:abstractNumId w:val="6"/>
  </w:num>
  <w:num w:numId="9">
    <w:abstractNumId w:val="28"/>
  </w:num>
  <w:num w:numId="10">
    <w:abstractNumId w:val="3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0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  <w:num w:numId="20">
    <w:abstractNumId w:val="19"/>
  </w:num>
  <w:num w:numId="21">
    <w:abstractNumId w:val="32"/>
  </w:num>
  <w:num w:numId="22">
    <w:abstractNumId w:val="10"/>
  </w:num>
  <w:num w:numId="23">
    <w:abstractNumId w:val="30"/>
  </w:num>
  <w:num w:numId="24">
    <w:abstractNumId w:val="0"/>
  </w:num>
  <w:num w:numId="25">
    <w:abstractNumId w:val="24"/>
  </w:num>
  <w:num w:numId="26">
    <w:abstractNumId w:val="17"/>
  </w:num>
  <w:num w:numId="27">
    <w:abstractNumId w:val="4"/>
  </w:num>
  <w:num w:numId="28">
    <w:abstractNumId w:val="25"/>
  </w:num>
  <w:num w:numId="29">
    <w:abstractNumId w:val="27"/>
  </w:num>
  <w:num w:numId="30">
    <w:abstractNumId w:val="38"/>
  </w:num>
  <w:num w:numId="31">
    <w:abstractNumId w:val="15"/>
  </w:num>
  <w:num w:numId="32">
    <w:abstractNumId w:val="36"/>
  </w:num>
  <w:num w:numId="33">
    <w:abstractNumId w:val="34"/>
  </w:num>
  <w:num w:numId="34">
    <w:abstractNumId w:val="14"/>
  </w:num>
  <w:num w:numId="35">
    <w:abstractNumId w:val="7"/>
  </w:num>
  <w:num w:numId="36">
    <w:abstractNumId w:val="23"/>
  </w:num>
  <w:num w:numId="37">
    <w:abstractNumId w:val="13"/>
  </w:num>
  <w:num w:numId="38">
    <w:abstractNumId w:val="3"/>
  </w:num>
  <w:num w:numId="39">
    <w:abstractNumId w:val="21"/>
  </w:num>
  <w:num w:numId="4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BBF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4F41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311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1FC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391EE4-60BC-4B8E-8DE6-B5547A43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20</cp:revision>
  <dcterms:created xsi:type="dcterms:W3CDTF">2016-05-12T20:55:00Z</dcterms:created>
  <dcterms:modified xsi:type="dcterms:W3CDTF">2016-05-13T01:00:00Z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